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8640" w:type="dxa"/>
      </w:tblPr>
      <w:tblGrid>
        <w:gridCol w:w="9122"/>
      </w:tblGrid>
      <w:tr>
        <w:tc>
          <w:tcPr>
            <w:tcW w:type="dxa" w:w="9122"/>
            <w:shd w:val="clear" w:color="auto" w:fill="1B2A4A"/>
            <w:tcMar>
              <w:top w:w="360" w:type="dxa"/>
              <w:bottom w:w="360" w:type="dxa"/>
              <w:left w:w="360" w:type="dxa"/>
              <w:right w:w="3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8BAFD4"/>
                <w:sz w:val="18"/>
              </w:rPr>
              <w:t>ИДЕАЛЬНАЯ МОДЕЛЬ ПАРТНЁРСТВА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>Ridges — Маркетплейсы</w:t>
            </w:r>
          </w:p>
          <w:p>
            <w:pPr>
              <w:jc w:val="center"/>
            </w:pPr>
            <w:r>
              <w:rPr>
                <w:rFonts w:ascii="Arial" w:hAnsi="Arial"/>
                <w:color w:val="A8C8E8"/>
                <w:sz w:val="24"/>
              </w:rPr>
              <w:t>WB · Ozon · B2C · Три равных партнёра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i/>
                <w:color w:val="6090B0"/>
                <w:sz w:val="18"/>
              </w:rPr>
              <w:t>Апрель 2026 · Конфиденциально · Рабочий документ</w:t>
            </w:r>
          </w:p>
        </w:tc>
      </w:tr>
    </w:tbl>
    <w:p/>
    <w:p>
      <w:pPr>
        <w:spacing w:before="320" w:after="80"/>
      </w:pPr>
      <w:r>
        <w:rPr>
          <w:rFonts w:ascii="Arial" w:hAnsi="Arial"/>
          <w:b/>
          <w:color w:val="1F3864"/>
          <w:sz w:val="28"/>
        </w:rPr>
        <w:t>1. Суть партнёрства</w:t>
      </w:r>
    </w:p>
    <w:p>
      <w:pPr>
        <w:spacing w:before="40" w:after="120"/>
        <w:pBdr>
          <w:bottom w:val="single" w:sz="8" w:space="1" w:color="2E75B6"/>
        </w:pBdr>
      </w:pPr>
    </w:p>
    <w:p>
      <w:pPr>
        <w:spacing w:after="100"/>
        <w:jc w:val="both"/>
      </w:pPr>
      <w:r>
        <w:rPr>
          <w:rFonts w:ascii="Arial" w:hAnsi="Arial"/>
          <w:i w:val="0"/>
          <w:sz w:val="22"/>
        </w:rPr>
        <w:t>Три партнёра с равными долями (33,3% каждый) ведут совместный бизнес по продаже товаров под брендом Ridges на маркетплейсах Wildberries и Ozon. Каждый действует по своим сильным качествам и несёт полную ответственность за свою зону. Стратегия — общая.</w:t>
      </w:r>
    </w:p>
    <w:p/>
    <w:tbl>
      <w:tblPr>
        <w:tblW w:type="auto" w:w="0"/>
        <w:tblLook w:firstColumn="1" w:firstRow="1" w:lastColumn="0" w:lastRow="0" w:noHBand="0" w:noVBand="1" w:val="04A0"/>
        <w:tblW w:w="8640" w:type="dxa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4F7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tcW w:w="2880" w:type="dx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12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Султанов Руслан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A9CCE3"/>
                <w:sz w:val="20"/>
              </w:rPr>
              <w:t>Визионер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33,3 %</w:t>
            </w:r>
          </w:p>
        </w:tc>
        <w:tc>
          <w:tcPr>
            <w:tcW w:type="dxa" w:w="3041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W w:w="2880" w:type="dx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12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Евдокимов Иван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A9CCE3"/>
                <w:sz w:val="20"/>
              </w:rPr>
              <w:t>Коммерсант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33,3 %</w:t>
            </w:r>
          </w:p>
        </w:tc>
        <w:tc>
          <w:tcPr>
            <w:tcW w:type="dxa" w:w="3041"/>
            <w:shd w:val="clear" w:color="auto" w:fill="154360"/>
            <w:tcBorders>
              <w:top w:val="single" w:sz="4" w:space="0" w:color="154360"/>
              <w:left w:val="single" w:sz="4" w:space="0" w:color="154360"/>
              <w:bottom w:val="single" w:sz="4" w:space="0" w:color="154360"/>
              <w:right w:val="single" w:sz="4" w:space="0" w:color="154360"/>
            </w:tcBorders>
            <w:tcW w:w="2880" w:type="dx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12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Газизов Денис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A9CCE3"/>
                <w:sz w:val="20"/>
              </w:rPr>
              <w:t>Архитектор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33,4 %</w:t>
            </w:r>
          </w:p>
        </w:tc>
      </w:tr>
      <w:tr>
        <w:tc>
          <w:tcPr>
            <w:tcW w:type="dxa" w:w="3041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1B2A4A"/>
                <w:sz w:val="18"/>
              </w:rPr>
              <w:t>Капитал, склад, фулфилмент (Китай), B2B-связи</w:t>
            </w:r>
          </w:p>
        </w:tc>
        <w:tc>
          <w:tcPr>
            <w:tcW w:type="dxa" w:w="3041"/>
            <w:shd w:val="clear" w:color="auto" w:fill="F4F9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1B2A4A"/>
                <w:sz w:val="18"/>
              </w:rPr>
              <w:t>Закупки, реклама WB/Ozon, SKU, остатки, команда</w:t>
            </w:r>
          </w:p>
        </w:tc>
        <w:tc>
          <w:tcPr>
            <w:tcW w:type="dxa" w:w="3041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1B2A4A"/>
                <w:sz w:val="18"/>
              </w:rPr>
              <w:t>Финансы P&amp;L, стратегия, найм, контроль ОМ</w:t>
            </w:r>
          </w:p>
        </w:tc>
      </w:tr>
    </w:tbl>
    <w:p/>
    <w:p>
      <w:pPr>
        <w:spacing w:before="320" w:after="80"/>
      </w:pPr>
      <w:r>
        <w:rPr>
          <w:rFonts w:ascii="Arial" w:hAnsi="Arial"/>
          <w:b/>
          <w:color w:val="1F3864"/>
          <w:sz w:val="28"/>
        </w:rPr>
        <w:t>2. Роли и зоны ответственности</w:t>
      </w:r>
    </w:p>
    <w:p>
      <w:pPr>
        <w:spacing w:before="40" w:after="120"/>
        <w:pBdr>
          <w:bottom w:val="single" w:sz="8" w:space="1" w:color="2E75B6"/>
        </w:pBdr>
      </w:pPr>
    </w:p>
    <w:p>
      <w:pPr>
        <w:spacing w:after="100"/>
        <w:jc w:val="both"/>
      </w:pPr>
      <w:r>
        <w:rPr>
          <w:rFonts w:ascii="Arial" w:hAnsi="Arial"/>
          <w:i w:val="0"/>
          <w:sz w:val="22"/>
        </w:rPr>
        <w:t>Каждый партнёр — единственный ответственный за свою зону. В чужую зону не вмешиваемся без приглашения.</w:t>
      </w:r>
    </w:p>
    <w:p/>
    <w:tbl>
      <w:tblPr>
        <w:tblW w:type="auto" w:w="0"/>
        <w:tblLook w:firstColumn="1" w:firstRow="1" w:lastColumn="0" w:lastRow="0" w:noHBand="0" w:noVBand="1" w:val="04A0"/>
        <w:tblW w:w="8640" w:type="dxa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4F7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Султанов Руслан</w:t>
              <w:br/>
              <w:t>Визионер</w:t>
            </w:r>
          </w:p>
        </w:tc>
        <w:tc>
          <w:tcPr>
            <w:tcW w:type="dxa" w:w="3041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Евдокимов Иван</w:t>
              <w:br/>
              <w:t>Коммерсант</w:t>
            </w:r>
          </w:p>
        </w:tc>
        <w:tc>
          <w:tcPr>
            <w:tcW w:type="dxa" w:w="3041"/>
            <w:shd w:val="clear" w:color="auto" w:fill="154360"/>
            <w:tcBorders>
              <w:top w:val="single" w:sz="4" w:space="0" w:color="154360"/>
              <w:left w:val="single" w:sz="4" w:space="0" w:color="154360"/>
              <w:bottom w:val="single" w:sz="4" w:space="0" w:color="154360"/>
              <w:right w:val="single" w:sz="4" w:space="0" w:color="154360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Газизов Денис</w:t>
              <w:br/>
              <w:t>Архитектор</w:t>
            </w:r>
          </w:p>
        </w:tc>
      </w:tr>
      <w:tr>
        <w:tc>
          <w:tcPr>
            <w:tcW w:type="dxa" w:w="3041"/>
            <w:shd w:val="clear" w:color="auto" w:fill="F4F9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1B2A4A"/>
                <w:sz w:val="18"/>
              </w:rPr>
              <w:t>· Переговоры с поставщиками</w:t>
              <w:br/>
              <w:t>· Переговоры с подрядчиками</w:t>
              <w:br/>
              <w:t>· Поиск китайского фулфилмента</w:t>
              <w:br/>
              <w:t>· Анализ рынка и трендов</w:t>
              <w:br/>
              <w:t>· Встречи с предпринимателями</w:t>
              <w:br/>
              <w:t>· Генерация новых идей и гипотез</w:t>
              <w:br/>
              <w:t>· Развитие B2B-партнёрств</w:t>
            </w:r>
          </w:p>
        </w:tc>
        <w:tc>
          <w:tcPr>
            <w:tcW w:type="dxa" w:w="3041"/>
            <w:shd w:val="clear" w:color="auto" w:fill="F4F9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1B2A4A"/>
                <w:sz w:val="18"/>
              </w:rPr>
              <w:t>· Закупки товара (РФ)</w:t>
              <w:br/>
              <w:t>· Реклама WB и Ozon</w:t>
              <w:br/>
              <w:t>· Управление SKU и ассортиментом</w:t>
              <w:br/>
              <w:t>· Контроль остатков МП и склада</w:t>
              <w:br/>
              <w:t>· Тестирование новых SKU</w:t>
              <w:br/>
              <w:t>· Анализ конкурентов</w:t>
              <w:br/>
              <w:t>· Оперативное управление командой</w:t>
            </w:r>
          </w:p>
        </w:tc>
        <w:tc>
          <w:tcPr>
            <w:tcW w:type="dxa" w:w="3041"/>
            <w:shd w:val="clear" w:color="auto" w:fill="F4F9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1B2A4A"/>
                <w:sz w:val="18"/>
              </w:rPr>
              <w:t>· Ведение P&amp;L и Cash Flow</w:t>
              <w:br/>
              <w:t>· Распределение прибыли</w:t>
              <w:br/>
              <w:t>· Контроль рекламного бюджета</w:t>
              <w:br/>
              <w:t>· Контроль операционного менеджера</w:t>
              <w:br/>
              <w:t>· Найм ключевых сотрудников</w:t>
              <w:br/>
              <w:t>· Налоги и отчётность ИП</w:t>
              <w:br/>
              <w:t>· Регистрация товарного знака</w:t>
            </w:r>
          </w:p>
        </w:tc>
      </w:tr>
      <w:tr>
        <w:tc>
          <w:tcPr>
            <w:tcW w:type="dxa" w:w="3041"/>
            <w:shd w:val="clear" w:color="auto" w:fill="FEF9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KPI: ≥ 1 новая идея/гипотеза в месяц,</w:t>
              <w:br/>
              <w:t>≥ 2 встречи с поставщиками в месяц</w:t>
            </w:r>
          </w:p>
        </w:tc>
        <w:tc>
          <w:tcPr>
            <w:tcW w:type="dxa" w:w="3041"/>
            <w:shd w:val="clear" w:color="auto" w:fill="FEF9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KPI: DRR ≤ план, SKU в топ-10,</w:t>
              <w:br/>
              <w:t>остатки &gt; 2 недель продаж</w:t>
            </w:r>
          </w:p>
        </w:tc>
        <w:tc>
          <w:tcPr>
            <w:tcW w:type="dxa" w:w="3041"/>
            <w:shd w:val="clear" w:color="auto" w:fill="FEF9E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/>
                <w:color w:val="555555"/>
                <w:sz w:val="18"/>
              </w:rPr>
              <w:t>KPI: P&amp;L актуален еженедельно,</w:t>
              <w:br/>
              <w:t>кассовый разрыв = 0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W w:w="2880" w:type="dxa"/>
          </w:tcPr>
          <w:p/>
        </w:tc>
        <w:tc>
          <w:tcPr>
            <w:tcW w:type="dxa" w:w="3041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W w:w="2880" w:type="dxa"/>
          </w:tcPr>
          <w:p/>
        </w:tc>
        <w:tc>
          <w:tcPr>
            <w:tcW w:type="dxa" w:w="3041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W w:w="2880" w:type="dxa"/>
          </w:tcPr>
          <w:p/>
        </w:tc>
      </w:tr>
    </w:tbl>
    <w:p/>
    <w:p>
      <w:pPr>
        <w:spacing w:before="320" w:after="80"/>
      </w:pPr>
      <w:r>
        <w:rPr>
          <w:rFonts w:ascii="Arial" w:hAnsi="Arial"/>
          <w:b/>
          <w:color w:val="1F3864"/>
          <w:sz w:val="28"/>
        </w:rPr>
        <w:t>3. Управление и принятие решений</w:t>
      </w:r>
    </w:p>
    <w:p>
      <w:pPr>
        <w:spacing w:before="40" w:after="120"/>
        <w:pBdr>
          <w:bottom w:val="single" w:sz="8" w:space="1" w:color="2E75B6"/>
        </w:pBdr>
      </w:pPr>
    </w:p>
    <w:tbl>
      <w:tblPr>
        <w:tblW w:type="auto" w:w="0"/>
        <w:tblLook w:firstColumn="1" w:firstRow="1" w:lastColumn="0" w:lastRow="0" w:noHBand="0" w:noVBand="1" w:val="04A0"/>
        <w:tblW w:w="8640" w:type="dxa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00" w:type="dxa"/>
            <w:tcMar>
              <w:top w:w="160" w:type="dxa"/>
              <w:bottom w:w="160" w:type="dxa"/>
              <w:left w:w="160" w:type="dxa"/>
              <w:right w:w="160" w:type="dxa"/>
            </w:tcMar>
            <w:shd w:val="clear" w:color="auto" w:fill="1B2A4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ТИП РЕШЕНИЯ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040" w:type="dxa"/>
            <w:tcMar>
              <w:top w:w="160" w:type="dxa"/>
              <w:bottom w:w="160" w:type="dxa"/>
              <w:left w:w="160" w:type="dxa"/>
              <w:right w:w="160" w:type="dxa"/>
            </w:tcMar>
            <w:shd w:val="clear" w:color="auto" w:fill="1B2A4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КАК ПРИНИМАЕТСЯ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00" w:type="dxa"/>
            <w:tcMar>
              <w:top w:w="160" w:type="dxa"/>
              <w:bottom w:w="160" w:type="dxa"/>
              <w:left w:w="160" w:type="dxa"/>
              <w:right w:w="160" w:type="dxa"/>
            </w:tcMar>
            <w:shd w:val="clear" w:color="auto" w:fill="EBF5FB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Решения в своей зоне ответственности</w:t>
              <w:br/>
              <w:t>(в рамках согласованного бюджета)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040" w:type="dxa"/>
            <w:tcMar>
              <w:top w:w="160" w:type="dxa"/>
              <w:bottom w:w="160" w:type="dxa"/>
              <w:left w:w="160" w:type="dxa"/>
              <w:right w:w="160" w:type="dxa"/>
            </w:tcMar>
            <w:shd w:val="clear" w:color="auto" w:fill="EBF5FB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✅  Партнёр принимает единолично</w:t>
              <w:br/>
              <w:t>Остальные информируются на еженедельном трекинге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00" w:type="dxa"/>
            <w:tcMar>
              <w:top w:w="160" w:type="dxa"/>
              <w:bottom w:w="160" w:type="dxa"/>
              <w:left w:w="160" w:type="dxa"/>
              <w:right w:w="160" w:type="dxa"/>
            </w:tcMar>
            <w:shd w:val="clear" w:color="auto" w:fill="FEF9E7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Стратегические решения:</w:t>
              <w:br/>
              <w:t>· Крупные расходы и инвестиции</w:t>
              <w:br/>
              <w:t>· Найм и увольнение ключевых сотрудников</w:t>
              <w:br/>
              <w:t>· Дивиденды и распределение прибыли</w:t>
              <w:br/>
              <w:t>· Премии команде</w:t>
              <w:br/>
              <w:t>· Займы из общей кассы</w:t>
              <w:br/>
              <w:t>· Новые товарные категории или каналы</w:t>
              <w:br/>
              <w:t>· Вход нового партнёра или инвестора</w:t>
              <w:br/>
              <w:t>· Изменение долей и юридической структуры</w:t>
              <w:br/>
              <w:t>· Партнёрские и командные поездки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040" w:type="dxa"/>
            <w:tcMar>
              <w:top w:w="160" w:type="dxa"/>
              <w:bottom w:w="160" w:type="dxa"/>
              <w:left w:w="160" w:type="dxa"/>
              <w:right w:w="160" w:type="dxa"/>
            </w:tcMar>
            <w:shd w:val="clear" w:color="auto" w:fill="FEF9E7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🗳  Решение большинством голосов (2 из 3)</w:t>
              <w:br/>
              <w:br/>
              <w:t>При голосовании 1:1:1 — выносится на следующую встречу.</w:t>
              <w:br/>
              <w:t>Решение принимает тот, чья зона ответственности,</w:t>
              <w:br/>
              <w:t>если остальные 1:1</w:t>
            </w:r>
          </w:p>
        </w:tc>
      </w:tr>
    </w:tbl>
    <w:p/>
    <w:p>
      <w:pPr>
        <w:spacing w:before="80" w:after="80"/>
      </w:pPr>
      <w:r>
        <w:rPr>
          <w:rFonts w:ascii="Arial" w:hAnsi="Arial"/>
          <w:b/>
          <w:color w:val="2E75B6"/>
          <w:sz w:val="24"/>
        </w:rPr>
        <w:t xml:space="preserve">   Ритм встреч</w:t>
      </w:r>
    </w:p>
    <w:tbl>
      <w:tblPr>
        <w:tblW w:type="auto" w:w="0"/>
        <w:tblLook w:firstColumn="1" w:firstRow="1" w:lastColumn="0" w:lastRow="0" w:noHBand="0" w:noVBand="1" w:val="04A0"/>
        <w:tblW w:w="8640" w:type="dxa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EBF5FB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80"/>
            </w:pPr>
            <w:r>
              <w:rPr>
                <w:rFonts w:ascii="Arial" w:hAnsi="Arial"/>
                <w:b/>
                <w:color w:val="1A5276"/>
                <w:sz w:val="20"/>
              </w:rPr>
              <w:t>🗓  Еженедельно</w:t>
            </w:r>
          </w:p>
          <w:p>
            <w:pPr>
              <w:spacing w:after="80"/>
            </w:pPr>
            <w:r>
              <w:rPr>
                <w:rFonts w:ascii="Arial" w:hAnsi="Arial"/>
                <w:color w:val="444444"/>
                <w:sz w:val="18"/>
              </w:rPr>
              <w:t>Трекинг — цифры, статус задач, оперативные решения</w:t>
            </w:r>
          </w:p>
        </w:tc>
        <w:tc>
          <w:tcPr>
            <w:tcW w:type="dxa" w:w="3041"/>
            <w:shd w:val="clear" w:color="auto" w:fill="EAF2FF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80"/>
            </w:pPr>
            <w:r>
              <w:rPr>
                <w:rFonts w:ascii="Arial" w:hAnsi="Arial"/>
                <w:b/>
                <w:color w:val="1B4F72"/>
                <w:sz w:val="20"/>
              </w:rPr>
              <w:t>📅  3 раза в год</w:t>
            </w:r>
          </w:p>
          <w:p>
            <w:pPr>
              <w:spacing w:after="80"/>
            </w:pPr>
            <w:r>
              <w:rPr>
                <w:rFonts w:ascii="Arial" w:hAnsi="Arial"/>
                <w:color w:val="444444"/>
                <w:sz w:val="18"/>
              </w:rPr>
              <w:t>Стратегическая сессия партнёров + поездка как награда</w:t>
            </w:r>
          </w:p>
        </w:tc>
        <w:tc>
          <w:tcPr>
            <w:tcW w:type="dxa" w:w="3041"/>
            <w:shd w:val="clear" w:color="auto" w:fill="EAFAF1"/>
            <w:tcBorders>
              <w:top w:val="single" w:sz="4" w:space="0" w:color="CCDDEE"/>
              <w:left w:val="single" w:sz="4" w:space="0" w:color="CCDDEE"/>
              <w:bottom w:val="single" w:sz="4" w:space="0" w:color="CCDDEE"/>
              <w:right w:val="single" w:sz="4" w:space="0" w:color="CCDDEE"/>
            </w:tcBorders>
            <w:tcW w:w="2880" w:type="dx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80"/>
            </w:pPr>
            <w:r>
              <w:rPr>
                <w:rFonts w:ascii="Arial" w:hAnsi="Arial"/>
                <w:b/>
                <w:color w:val="145A32"/>
                <w:sz w:val="20"/>
              </w:rPr>
              <w:t>🏆  1 раз в год</w:t>
            </w:r>
          </w:p>
          <w:p>
            <w:pPr>
              <w:spacing w:after="80"/>
            </w:pPr>
            <w:r>
              <w:rPr>
                <w:rFonts w:ascii="Arial" w:hAnsi="Arial"/>
                <w:color w:val="444444"/>
                <w:sz w:val="18"/>
              </w:rPr>
              <w:t>Выездное мероприятие для всей команды</w:t>
            </w:r>
          </w:p>
        </w:tc>
      </w:tr>
    </w:tbl>
    <w:p/>
    <w:p>
      <w:pPr>
        <w:spacing w:before="320" w:after="80"/>
      </w:pPr>
      <w:r>
        <w:rPr>
          <w:rFonts w:ascii="Arial" w:hAnsi="Arial"/>
          <w:b/>
          <w:color w:val="1F3864"/>
          <w:sz w:val="28"/>
        </w:rPr>
        <w:t>4. Финансы и прибыль</w:t>
      </w:r>
    </w:p>
    <w:p>
      <w:pPr>
        <w:spacing w:before="40" w:after="120"/>
        <w:pBdr>
          <w:bottom w:val="single" w:sz="8" w:space="1" w:color="2E75B6"/>
        </w:pBdr>
      </w:pPr>
    </w:p>
    <w:tbl>
      <w:tblPr>
        <w:tblW w:type="auto" w:w="0"/>
        <w:tblLook w:firstColumn="1" w:firstRow="1" w:lastColumn="0" w:lastRow="0" w:noHBand="0" w:noVBand="1" w:val="04A0"/>
        <w:tblW w:w="8640" w:type="dxa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40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D6E4F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Доли в прибыли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4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4F9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Равные — 33,3% каждому партнёру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40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D6E4F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Выплата дивидендов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4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AFC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Периодичность и суммы — решение большинства (2 из 3)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40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D6E4F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Займы из кассы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4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4F9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Разрешены после согласования всеми партнёрами. Условия — по договорённости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40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D6E4F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Докапитализация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4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AFC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Принимается на партнёрской встрече. Никто не обязан без согласия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40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D6E4F0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sz w:val="20"/>
              </w:rPr>
              <w:t>Резервный фонд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4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4F9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Не менее 10% от чистой прибыли ежемесячно до достижения 2-месячного операционного запаса</w:t>
            </w:r>
          </w:p>
        </w:tc>
      </w:tr>
    </w:tbl>
    <w:p/>
    <w:p>
      <w:pPr>
        <w:spacing w:before="320" w:after="80"/>
      </w:pPr>
      <w:r>
        <w:rPr>
          <w:rFonts w:ascii="Arial" w:hAnsi="Arial"/>
          <w:b/>
          <w:color w:val="1F3864"/>
          <w:sz w:val="28"/>
        </w:rPr>
        <w:t>5. Выход из партнёрства</w:t>
      </w:r>
    </w:p>
    <w:p>
      <w:pPr>
        <w:spacing w:before="40" w:after="120"/>
        <w:pBdr>
          <w:bottom w:val="single" w:sz="8" w:space="1" w:color="2E75B6"/>
        </w:pBdr>
      </w:pPr>
    </w:p>
    <w:tbl>
      <w:tblPr>
        <w:tblW w:type="auto" w:w="0"/>
        <w:tblLook w:firstColumn="1" w:firstRow="1" w:lastColumn="0" w:lastRow="0" w:noHBand="0" w:noVBand="1" w:val="04A0"/>
        <w:tblW w:w="8640" w:type="dxa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4F9FF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1B2A4A"/>
                <w:sz w:val="28"/>
              </w:rPr>
              <w:t>🚪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40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4F9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20"/>
              </w:rPr>
              <w:t>Уведомление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6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4F9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1B2A4A"/>
                <w:sz w:val="20"/>
              </w:rPr>
              <w:t>Письменно, не менее чем за 90 дней до выхода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AFCFF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1B2A4A"/>
                <w:sz w:val="28"/>
              </w:rPr>
              <w:t>🤝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40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AFC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20"/>
              </w:rPr>
              <w:t>Преимущественное право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6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AFC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1B2A4A"/>
                <w:sz w:val="20"/>
              </w:rPr>
              <w:t>Долю сначала предлагают партнёрам — они имеют приоритет выкупа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4F9FF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1B2A4A"/>
                <w:sz w:val="28"/>
              </w:rPr>
              <w:t>🔒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40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4F9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20"/>
              </w:rPr>
              <w:t>Вето на стороннего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6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4F9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1B2A4A"/>
                <w:sz w:val="20"/>
              </w:rPr>
              <w:t>Продажа третьему лицу — только при согласии ВСЕХ партнёров.</w:t>
              <w:br/>
              <w:t>Один партнёр может заблокировать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AFCFF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1B2A4A"/>
                <w:sz w:val="28"/>
              </w:rPr>
              <w:t>💰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40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AFC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20"/>
              </w:rPr>
              <w:t>Оценка доли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6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AFC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1B2A4A"/>
                <w:sz w:val="20"/>
              </w:rPr>
              <w:t>Договариваются партнёры. При несогласии — независимый оценщик.</w:t>
              <w:br/>
              <w:t>Расходы на оценку из общей прибыли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4F9FF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 w:val="0"/>
                <w:i w:val="0"/>
                <w:color w:val="1B2A4A"/>
                <w:sz w:val="28"/>
              </w:rPr>
              <w:t>🏦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40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4F9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i w:val="0"/>
                <w:color w:val="1B2A4A"/>
                <w:sz w:val="20"/>
              </w:rPr>
              <w:t>Выплата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60" w:type="dxa"/>
            <w:tcMar>
              <w:top w:w="140" w:type="dxa"/>
              <w:bottom w:w="140" w:type="dxa"/>
              <w:left w:w="140" w:type="dxa"/>
              <w:right w:w="140" w:type="dxa"/>
            </w:tcMar>
            <w:shd w:val="clear" w:color="auto" w:fill="F4F9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 w:val="0"/>
                <w:i w:val="0"/>
                <w:color w:val="1B2A4A"/>
                <w:sz w:val="20"/>
              </w:rPr>
              <w:t>Из общей прибыли компании. Сроки — по договорённости партнёров</w:t>
            </w:r>
          </w:p>
        </w:tc>
      </w:tr>
    </w:tbl>
    <w:p/>
    <w:p>
      <w:pPr>
        <w:spacing w:before="320" w:after="80"/>
      </w:pPr>
      <w:r>
        <w:rPr>
          <w:rFonts w:ascii="Arial" w:hAnsi="Arial"/>
          <w:b/>
          <w:color w:val="1F3864"/>
          <w:sz w:val="28"/>
        </w:rPr>
        <w:t>6. Культура партнёрства</w:t>
      </w:r>
    </w:p>
    <w:p>
      <w:pPr>
        <w:spacing w:before="40" w:after="120"/>
        <w:pBdr>
          <w:bottom w:val="single" w:sz="8" w:space="1" w:color="2E75B6"/>
        </w:pBdr>
      </w:pPr>
    </w:p>
    <w:tbl>
      <w:tblPr>
        <w:tblW w:type="auto" w:w="0"/>
        <w:tblLook w:firstColumn="1" w:firstRow="1" w:lastColumn="0" w:lastRow="0" w:noHBand="0" w:noVBand="1" w:val="04A0"/>
        <w:tblW w:w="8640" w:type="dxa"/>
      </w:tblPr>
      <w:tblGrid>
        <w:gridCol w:w="4561"/>
        <w:gridCol w:w="4561"/>
      </w:tblGrid>
      <w:tr>
        <w:tc>
          <w:tcPr>
            <w:tcW w:type="dxa" w:w="4561"/>
            <w:shd w:val="clear" w:color="auto" w:fill="EBF5FB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W w:w="4320" w:type="dx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80"/>
            </w:pPr>
            <w:r>
              <w:rPr>
                <w:rFonts w:ascii="Arial" w:hAnsi="Arial"/>
                <w:b/>
                <w:color w:val="1B4F72"/>
                <w:sz w:val="20"/>
              </w:rPr>
              <w:t>● Каждый по сильным сторонам</w:t>
            </w:r>
          </w:p>
          <w:p>
            <w:pPr>
              <w:spacing w:after="120"/>
            </w:pPr>
            <w:r>
              <w:rPr>
                <w:rFonts w:ascii="Arial" w:hAnsi="Arial"/>
                <w:color w:val="444444"/>
                <w:sz w:val="18"/>
              </w:rPr>
              <w:t>Роли не пересекаются. Каждый хозяин своей зоны и отвечает за результат</w:t>
            </w:r>
          </w:p>
        </w:tc>
        <w:tc>
          <w:tcPr>
            <w:tcW w:type="dxa" w:w="4561"/>
            <w:shd w:val="clear" w:color="auto" w:fill="EAFAF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W w:w="4320" w:type="dx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80"/>
            </w:pPr>
            <w:r>
              <w:rPr>
                <w:rFonts w:ascii="Arial" w:hAnsi="Arial"/>
                <w:b/>
                <w:color w:val="145A32"/>
                <w:sz w:val="20"/>
              </w:rPr>
              <w:t>● Стратегия — общая</w:t>
            </w:r>
          </w:p>
          <w:p>
            <w:pPr>
              <w:spacing w:after="120"/>
            </w:pPr>
            <w:r>
              <w:rPr>
                <w:rFonts w:ascii="Arial" w:hAnsi="Arial"/>
                <w:color w:val="444444"/>
                <w:sz w:val="18"/>
              </w:rPr>
              <w:t>Все трое участвуют в стратегических решениях. Никто не отстранён от большой картины</w:t>
            </w:r>
          </w:p>
        </w:tc>
      </w:tr>
      <w:tr>
        <w:tc>
          <w:tcPr>
            <w:tcW w:type="dxa" w:w="4561"/>
            <w:shd w:val="clear" w:color="auto" w:fill="F5EE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W w:w="4320" w:type="dx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80"/>
            </w:pPr>
            <w:r>
              <w:rPr>
                <w:rFonts w:ascii="Arial" w:hAnsi="Arial"/>
                <w:b/>
                <w:color w:val="6C3483"/>
                <w:sz w:val="20"/>
              </w:rPr>
              <w:t>● Прозрачность</w:t>
            </w:r>
          </w:p>
          <w:p>
            <w:pPr>
              <w:spacing w:after="120"/>
            </w:pPr>
            <w:r>
              <w:rPr>
                <w:rFonts w:ascii="Arial" w:hAnsi="Arial"/>
                <w:color w:val="444444"/>
                <w:sz w:val="18"/>
              </w:rPr>
              <w:t>Еженедельный трекинг — открытые цифры, открытые проблемы. Нет скрытых повесток</w:t>
            </w:r>
          </w:p>
        </w:tc>
        <w:tc>
          <w:tcPr>
            <w:tcW w:type="dxa" w:w="4561"/>
            <w:shd w:val="clear" w:color="auto" w:fill="FDEDE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W w:w="4320" w:type="dx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80"/>
            </w:pPr>
            <w:r>
              <w:rPr>
                <w:rFonts w:ascii="Arial" w:hAnsi="Arial"/>
                <w:b/>
                <w:color w:val="7B241C"/>
                <w:sz w:val="20"/>
              </w:rPr>
              <w:t>● Уважение к зонам</w:t>
            </w:r>
          </w:p>
          <w:p>
            <w:pPr>
              <w:spacing w:after="120"/>
            </w:pPr>
            <w:r>
              <w:rPr>
                <w:rFonts w:ascii="Arial" w:hAnsi="Arial"/>
                <w:color w:val="444444"/>
                <w:sz w:val="18"/>
              </w:rPr>
              <w:t>В чужую зону не лезем без приглашения. Доверие — основа скорости</w:t>
            </w:r>
          </w:p>
        </w:tc>
      </w:tr>
      <w:tr>
        <w:tc>
          <w:tcPr>
            <w:tcW w:type="dxa" w:w="4561"/>
            <w:shd w:val="clear" w:color="auto" w:fill="FEF9E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W w:w="4320" w:type="dx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80"/>
            </w:pPr>
            <w:r>
              <w:rPr>
                <w:rFonts w:ascii="Arial" w:hAnsi="Arial"/>
                <w:b/>
                <w:color w:val="784212"/>
                <w:sz w:val="20"/>
              </w:rPr>
              <w:t>● Конфликт — через диалог</w:t>
            </w:r>
          </w:p>
          <w:p>
            <w:pPr>
              <w:spacing w:after="120"/>
            </w:pPr>
            <w:r>
              <w:rPr>
                <w:rFonts w:ascii="Arial" w:hAnsi="Arial"/>
                <w:color w:val="444444"/>
                <w:sz w:val="18"/>
              </w:rPr>
              <w:t>Разногласия решаются на встрече, не в мессенджерах. Голосование — последний инструмент</w:t>
            </w:r>
          </w:p>
        </w:tc>
        <w:tc>
          <w:tcPr>
            <w:tcW w:type="dxa" w:w="4561"/>
            <w:shd w:val="clear" w:color="auto" w:fill="EAF2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W w:w="4320" w:type="dx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80"/>
            </w:pPr>
            <w:r>
              <w:rPr>
                <w:rFonts w:ascii="Arial" w:hAnsi="Arial"/>
                <w:b/>
                <w:color w:val="1A5276"/>
                <w:sz w:val="20"/>
              </w:rPr>
              <w:t>● Награда за результат</w:t>
            </w:r>
          </w:p>
          <w:p>
            <w:pPr>
              <w:spacing w:after="120"/>
            </w:pPr>
            <w:r>
              <w:rPr>
                <w:rFonts w:ascii="Arial" w:hAnsi="Arial"/>
                <w:color w:val="444444"/>
                <w:sz w:val="18"/>
              </w:rPr>
              <w:t>3 поездки собственников в год. 1 командная поездка. Это не бонус — это часть договора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8640" w:type="dxa"/>
      </w:tblPr>
      <w:tblGrid>
        <w:gridCol w:w="9122"/>
      </w:tblGrid>
      <w:tr>
        <w:tc>
          <w:tcPr>
            <w:tcW w:type="dxa" w:w="9122"/>
            <w:shd w:val="clear" w:color="auto" w:fill="EBF5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color w:val="1A5276"/>
                <w:sz w:val="18"/>
              </w:rPr>
              <w:t>Документ отражает идеальную модель партнёрства в Ridges в понимании Газизова Д.Р. Подлежит обсуждению и согласованию всеми тремя партнёрами. После согласования становится основой для обновлённого Соглашения о партнёрстве.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