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412951"/>
      <w:bookmarkStart w:id="1" w:name="_Ref491742389"/>
      <w:r>
        <w:lastRenderedPageBreak/>
        <w:t>Ehrenwörtliche Erklärung</w:t>
      </w:r>
      <w:bookmarkEnd w:id="0"/>
    </w:p>
    <w:p w:rsidR="00C969F6" w:rsidRDefault="00C969F6" w:rsidP="00C969F6">
      <w:r>
        <w:t xml:space="preserve">„Hiermit versichere ich, </w:t>
      </w:r>
      <w:r w:rsidR="002C14FF">
        <w:t>Malte 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412952"/>
      <w:r>
        <w:lastRenderedPageBreak/>
        <w:t>Kurzfassung</w:t>
      </w:r>
      <w:bookmarkEnd w:id="1"/>
      <w:bookmarkEnd w:id="2"/>
    </w:p>
    <w:p w:rsidR="00284FA6" w:rsidRDefault="00284FA6">
      <w:pPr>
        <w:pStyle w:val="berschrift1"/>
        <w:pageBreakBefore w:val="0"/>
        <w:numPr>
          <w:ilvl w:val="0"/>
          <w:numId w:val="0"/>
        </w:numPr>
        <w:rPr>
          <w:lang w:val="en-GB"/>
        </w:rPr>
      </w:pPr>
      <w:bookmarkStart w:id="3" w:name="_Ref491691319"/>
      <w:bookmarkStart w:id="4" w:name="_Toc507412953"/>
      <w:r>
        <w:rPr>
          <w:lang w:val="en-GB"/>
        </w:rPr>
        <w:t>Abstract</w:t>
      </w:r>
      <w:bookmarkEnd w:id="3"/>
      <w:bookmarkEnd w:id="4"/>
      <w:r>
        <w:rPr>
          <w:lang w:val="en-GB"/>
        </w:rPr>
        <w:t xml:space="preserve"> </w:t>
      </w:r>
    </w:p>
    <w:p w:rsidR="00284FA6" w:rsidRDefault="00284FA6">
      <w:pPr>
        <w:pStyle w:val="berschrift1"/>
        <w:numPr>
          <w:ilvl w:val="0"/>
          <w:numId w:val="0"/>
        </w:numPr>
      </w:pPr>
      <w:bookmarkStart w:id="5" w:name="_Toc507412954"/>
      <w:r>
        <w:lastRenderedPageBreak/>
        <w:t>Inhaltsverzeichnis</w:t>
      </w:r>
      <w:bookmarkEnd w:id="5"/>
    </w:p>
    <w:p w:rsidR="001E7F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1E7F0B">
        <w:t>Ehrenwörtliche Erklärung</w:t>
      </w:r>
      <w:r w:rsidR="001E7F0B">
        <w:tab/>
      </w:r>
      <w:r w:rsidR="001E7F0B">
        <w:fldChar w:fldCharType="begin"/>
      </w:r>
      <w:r w:rsidR="001E7F0B">
        <w:instrText xml:space="preserve"> PAGEREF _Toc507412951 \h </w:instrText>
      </w:r>
      <w:r w:rsidR="001E7F0B">
        <w:fldChar w:fldCharType="separate"/>
      </w:r>
      <w:r w:rsidR="001E7F0B">
        <w:t>2</w:t>
      </w:r>
      <w:r w:rsidR="001E7F0B">
        <w:fldChar w:fldCharType="end"/>
      </w:r>
    </w:p>
    <w:p w:rsidR="001E7F0B" w:rsidRDefault="001E7F0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_Toc507412952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rsidRPr="00906C43">
        <w:rPr>
          <w:lang w:val="en-GB"/>
        </w:rPr>
        <w:t>Abstract</w:t>
      </w:r>
      <w:r>
        <w:tab/>
      </w:r>
      <w:r>
        <w:fldChar w:fldCharType="begin"/>
      </w:r>
      <w:r>
        <w:instrText xml:space="preserve"> PAGEREF _Toc507412953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_Toc507412954 \h </w:instrText>
      </w:r>
      <w:r>
        <w:fldChar w:fldCharType="separate"/>
      </w:r>
      <w:r>
        <w:t>4</w:t>
      </w:r>
      <w:r>
        <w:fldChar w:fldCharType="end"/>
      </w:r>
    </w:p>
    <w:p w:rsidR="001E7F0B" w:rsidRDefault="001E7F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_Toc507412955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_Toc507412956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_Toc507412957 \h </w:instrText>
      </w:r>
      <w:r>
        <w:fldChar w:fldCharType="separate"/>
      </w:r>
      <w:r>
        <w:t>6</w:t>
      </w:r>
      <w:r>
        <w:fldChar w:fldCharType="end"/>
      </w:r>
    </w:p>
    <w:p w:rsidR="001E7F0B" w:rsidRDefault="001E7F0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_Toc507412958 \h </w:instrText>
      </w:r>
      <w:r>
        <w:fldChar w:fldCharType="separate"/>
      </w:r>
      <w:r>
        <w:t>7</w:t>
      </w:r>
      <w:r>
        <w:fldChar w:fldCharType="end"/>
      </w:r>
    </w:p>
    <w:p w:rsidR="001E7F0B" w:rsidRDefault="001E7F0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_Toc507412959 \h </w:instrText>
      </w:r>
      <w:r>
        <w:fldChar w:fldCharType="separate"/>
      </w:r>
      <w:r>
        <w:t>8</w:t>
      </w:r>
      <w:r>
        <w:fldChar w:fldCharType="end"/>
      </w:r>
    </w:p>
    <w:p w:rsidR="001E7F0B" w:rsidRDefault="001E7F0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_Toc507412960 \h </w:instrText>
      </w:r>
      <w:r>
        <w:fldChar w:fldCharType="separate"/>
      </w:r>
      <w:r>
        <w:t>9</w:t>
      </w:r>
      <w:r>
        <w:fldChar w:fldCharType="end"/>
      </w:r>
    </w:p>
    <w:p w:rsidR="001E7F0B" w:rsidRDefault="001E7F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_Toc507412961 \h </w:instrText>
      </w:r>
      <w:r>
        <w:fldChar w:fldCharType="separate"/>
      </w:r>
      <w:r>
        <w:t>11</w:t>
      </w:r>
      <w:r>
        <w:fldChar w:fldCharType="end"/>
      </w:r>
    </w:p>
    <w:p w:rsidR="001E7F0B" w:rsidRDefault="001E7F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_Toc507412962 \h </w:instrText>
      </w:r>
      <w:r>
        <w:fldChar w:fldCharType="separate"/>
      </w:r>
      <w:r>
        <w:t>12</w:t>
      </w:r>
      <w:r>
        <w:fldChar w:fldCharType="end"/>
      </w:r>
    </w:p>
    <w:p w:rsidR="001E7F0B" w:rsidRDefault="001E7F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_Toc507412963 \h </w:instrText>
      </w:r>
      <w:r>
        <w:fldChar w:fldCharType="separate"/>
      </w:r>
      <w:r>
        <w:t>12</w:t>
      </w:r>
      <w:r>
        <w:fldChar w:fldCharType="end"/>
      </w:r>
    </w:p>
    <w:p w:rsidR="001E7F0B" w:rsidRDefault="001E7F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_Toc507412964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_Toc507412965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_Toc507412966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_Toc507412967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_Toc507412968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_Toc507412969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_Toc507412970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_Toc507412971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_Toc507412972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_Toc507412973 \h </w:instrText>
      </w:r>
      <w:r>
        <w:fldChar w:fldCharType="separate"/>
      </w:r>
      <w:r>
        <w:t>15</w:t>
      </w:r>
      <w:r>
        <w:fldChar w:fldCharType="end"/>
      </w:r>
    </w:p>
    <w:p w:rsidR="001E7F0B" w:rsidRDefault="001E7F0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_Toc507412974 \h </w:instrText>
      </w:r>
      <w:r>
        <w:fldChar w:fldCharType="separate"/>
      </w:r>
      <w:r>
        <w:t>16</w:t>
      </w:r>
      <w:r>
        <w:fldChar w:fldCharType="end"/>
      </w:r>
    </w:p>
    <w:p w:rsidR="00284FA6" w:rsidRDefault="00284FA6">
      <w:pPr>
        <w:pStyle w:val="berschrift1"/>
        <w:numPr>
          <w:ilvl w:val="0"/>
          <w:numId w:val="0"/>
        </w:numPr>
      </w:pPr>
      <w:r>
        <w:rPr>
          <w:noProof/>
          <w:sz w:val="24"/>
        </w:rPr>
        <w:lastRenderedPageBreak/>
        <w:fldChar w:fldCharType="end"/>
      </w:r>
      <w:bookmarkStart w:id="6" w:name="_Toc507412955"/>
      <w:r>
        <w:t>Abbildungsverzeichnis</w:t>
      </w:r>
      <w:bookmarkEnd w:id="6"/>
    </w:p>
    <w:p w:rsidR="00284FA6" w:rsidRDefault="00284FA6">
      <w:pPr>
        <w:pStyle w:val="berschrift1"/>
        <w:pageBreakBefore w:val="0"/>
        <w:numPr>
          <w:ilvl w:val="0"/>
          <w:numId w:val="0"/>
        </w:numPr>
      </w:pPr>
      <w:bookmarkStart w:id="7" w:name="_Toc507412956"/>
      <w:r>
        <w:t>Tabellenverzeichnis</w:t>
      </w:r>
      <w:bookmarkEnd w:id="7"/>
    </w:p>
    <w:p w:rsidR="00284FA6" w:rsidRDefault="00284FA6">
      <w:pPr>
        <w:pStyle w:val="berschrift1"/>
        <w:numPr>
          <w:ilvl w:val="0"/>
          <w:numId w:val="0"/>
        </w:numPr>
      </w:pPr>
      <w:bookmarkStart w:id="8" w:name="_Toc507412957"/>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412958"/>
      <w:r>
        <w:lastRenderedPageBreak/>
        <w:t>Vorwort</w:t>
      </w:r>
      <w:bookmarkEnd w:id="9"/>
    </w:p>
    <w:p w:rsidR="00284FA6" w:rsidRDefault="00284FA6">
      <w:pPr>
        <w:pStyle w:val="berschrift1"/>
      </w:pPr>
      <w:bookmarkStart w:id="10" w:name="_Ref490562273"/>
      <w:bookmarkStart w:id="11" w:name="_Toc507412959"/>
      <w:r>
        <w:lastRenderedPageBreak/>
        <w:t>Überblick</w:t>
      </w:r>
      <w:bookmarkEnd w:id="10"/>
      <w:bookmarkEnd w:id="11"/>
    </w:p>
    <w:p w:rsidR="00284FA6" w:rsidRDefault="00284FA6">
      <w:pPr>
        <w:pStyle w:val="berschrift1"/>
      </w:pPr>
      <w:bookmarkStart w:id="12" w:name="_Ref491749133"/>
      <w:bookmarkStart w:id="13" w:name="_Ref491749190"/>
      <w:bookmarkStart w:id="14" w:name="_Toc507412960"/>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412961"/>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7412962"/>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412963"/>
      <w:r>
        <w:t>Das Konzept der Continuous Integration</w:t>
      </w:r>
      <w:bookmarkEnd w:id="18"/>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t>, S. 15-16</w:t>
      </w:r>
      <w:r w:rsidR="001F2DCF">
        <w:t>) verwendet</w:t>
      </w:r>
      <w:r>
        <w:t>.</w:t>
      </w:r>
    </w:p>
    <w:p w:rsidR="002B4E0C" w:rsidRDefault="002B4E0C" w:rsidP="00D16BAE">
      <w:pPr>
        <w:pStyle w:val="berschrift3"/>
      </w:pPr>
      <w:bookmarkStart w:id="19" w:name="_Toc507412964"/>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 nötig sind, abgelegt werden.</w:t>
      </w:r>
    </w:p>
    <w:p w:rsidR="002B4E0C" w:rsidRDefault="002B4E0C" w:rsidP="00D16BAE">
      <w:pPr>
        <w:pStyle w:val="berschrift3"/>
      </w:pPr>
      <w:bookmarkStart w:id="20" w:name="_Toc507412965"/>
      <w:r>
        <w:t>Automatisierter Build</w:t>
      </w:r>
      <w:bookmarkEnd w:id="2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412966"/>
      <w:r>
        <w:t>Selbsttestender Build</w:t>
      </w:r>
      <w:bookmarkStart w:id="22" w:name="_GoBack"/>
      <w:bookmarkEnd w:id="21"/>
      <w:bookmarkEnd w:id="22"/>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3" w:name="_Toc507412967"/>
      <w:r>
        <w:t>Häufige Integration</w:t>
      </w:r>
      <w:bookmarkEnd w:id="23"/>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xml:space="preserve">, Ihren Code in ein Versionskontrollsystem einzuchecken. Simon Wiest (2006, S.34)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4" w:name="_Toc507412968"/>
      <w:r>
        <w:t xml:space="preserve">Builds und Tests nach jeder </w:t>
      </w:r>
      <w:r w:rsidR="00E871A2">
        <w:t>Änderung</w:t>
      </w:r>
      <w:bookmarkEnd w:id="24"/>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6C62FC">
        <w:t xml:space="preserve">, S. 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w:t>
      </w:r>
      <w:r>
        <w:lastRenderedPageBreak/>
        <w:t>zu dem verwalteten Reposi</w:t>
      </w:r>
      <w:r w:rsidR="00B33C63">
        <w:t>tory</w:t>
      </w:r>
      <w:r w:rsidR="00B33C63">
        <w:rPr>
          <w:rStyle w:val="Funotenzeichen"/>
        </w:rPr>
        <w:footnoteReference w:id="1"/>
      </w:r>
      <w:r w:rsidR="008E3AAB">
        <w:t xml:space="preserve"> hinzufügt, bzw. einen sogenannten </w:t>
      </w:r>
      <w:r w:rsidR="008E3AAB" w:rsidRPr="008E3AAB">
        <w:rPr>
          <w:i/>
        </w:rPr>
        <w:t>commit</w:t>
      </w:r>
      <w:r w:rsidR="008E3AAB">
        <w:rPr>
          <w:rStyle w:val="Funotenzeichen"/>
        </w:rPr>
        <w:footnoteReference w:id="2"/>
      </w:r>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DA291D" w:rsidRDefault="00710D92" w:rsidP="00DA291D">
      <w:pPr>
        <w:pStyle w:val="Abbildu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342.75pt" o:bordertopcolor="this" o:borderleftcolor="this" o:borderbottomcolor="this" o:borderrightcolor="this">
            <v:imagedata r:id="rId8" o:title="AcroRd32_2018-02-26_14-47-59"/>
            <w10:bordertop type="single" width="4"/>
            <w10:borderleft type="single" width="4"/>
            <w10:borderbottom type="single" width="4"/>
            <w10:borderright type="single" width="4"/>
          </v:shape>
        </w:pict>
      </w:r>
    </w:p>
    <w:p w:rsidR="00E114C0" w:rsidRPr="00DA291D" w:rsidRDefault="00DA291D" w:rsidP="00DA291D">
      <w:pPr>
        <w:pStyle w:val="Beschriftung"/>
      </w:pPr>
      <w:r w:rsidRPr="00DA291D">
        <w:t xml:space="preserve">Abbildung </w:t>
      </w:r>
      <w:fldSimple w:instr=" SEQ Abbildung \* ARABIC ">
        <w:r w:rsidRPr="00DA291D">
          <w:t>1</w:t>
        </w:r>
      </w:fldSimple>
      <w:r w:rsidRPr="00DA291D">
        <w:t>: Ablauf der Kontinuier</w:t>
      </w:r>
      <w:r w:rsidR="00831D99">
        <w:t>lichen Integration (CI), Quelle</w:t>
      </w:r>
      <w:r w:rsidRPr="00DA291D">
        <w:t>: Dr. Simon Wiest „Continuous Integration mit Hudson“ (2010, S.14)</w:t>
      </w:r>
    </w:p>
    <w:p w:rsidR="00DA291D" w:rsidRPr="00DA291D" w:rsidRDefault="00DA291D" w:rsidP="00DA291D">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p>
    <w:p w:rsidR="002B4E0C" w:rsidRDefault="002B4E0C" w:rsidP="006C62FC">
      <w:pPr>
        <w:pStyle w:val="berschrift3"/>
      </w:pPr>
      <w:bookmarkStart w:id="25" w:name="_Toc507412969"/>
      <w:r>
        <w:lastRenderedPageBreak/>
        <w:t>Schnelle Build-Zyklen</w:t>
      </w:r>
      <w:bookmarkEnd w:id="25"/>
    </w:p>
    <w:p w:rsidR="002021EA" w:rsidRPr="002021EA"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p>
    <w:p w:rsidR="002B4E0C" w:rsidRDefault="002B4E0C" w:rsidP="006C62FC">
      <w:pPr>
        <w:pStyle w:val="berschrift3"/>
      </w:pPr>
      <w:bookmarkStart w:id="26" w:name="_Toc507412970"/>
      <w:r>
        <w:t>Tests in gespiegelter Produktionsumgebung</w:t>
      </w:r>
      <w:bookmarkEnd w:id="26"/>
    </w:p>
    <w:p w:rsidR="002B4E0C" w:rsidRDefault="002B4E0C" w:rsidP="006C62FC">
      <w:pPr>
        <w:pStyle w:val="berschrift3"/>
      </w:pPr>
      <w:bookmarkStart w:id="27" w:name="_Toc507412971"/>
      <w:r>
        <w:t>Einfacher Zugriff auf Build-Ergebnisse</w:t>
      </w:r>
      <w:bookmarkEnd w:id="27"/>
    </w:p>
    <w:p w:rsidR="002B4E0C" w:rsidRDefault="002B4E0C" w:rsidP="006C62FC">
      <w:pPr>
        <w:pStyle w:val="berschrift3"/>
      </w:pPr>
      <w:bookmarkStart w:id="28" w:name="_Toc507412972"/>
      <w:r>
        <w:t>Automatisierte Berichte</w:t>
      </w:r>
      <w:bookmarkEnd w:id="28"/>
    </w:p>
    <w:p w:rsidR="002B4E0C" w:rsidRDefault="002B4E0C" w:rsidP="006C62FC">
      <w:pPr>
        <w:pStyle w:val="berschrift3"/>
      </w:pPr>
      <w:bookmarkStart w:id="29" w:name="_Toc507412973"/>
      <w:r>
        <w:t>Automatisierte Verteilung</w:t>
      </w:r>
      <w:bookmarkEnd w:id="29"/>
    </w:p>
    <w:p w:rsidR="002B4E0C" w:rsidRDefault="002B4E0C" w:rsidP="00CA3051"/>
    <w:p w:rsidR="00284FA6" w:rsidRDefault="006B77EF">
      <w:pPr>
        <w:pStyle w:val="berschrift1"/>
        <w:numPr>
          <w:ilvl w:val="0"/>
          <w:numId w:val="0"/>
        </w:numPr>
      </w:pPr>
      <w:bookmarkStart w:id="30" w:name="_Toc507412974"/>
      <w:r>
        <w:lastRenderedPageBreak/>
        <w:t>Quellen</w:t>
      </w:r>
      <w:r w:rsidR="00284FA6">
        <w:t>verzeichnis</w:t>
      </w:r>
      <w:bookmarkEnd w:id="30"/>
    </w:p>
    <w:p w:rsidR="00E91075" w:rsidRDefault="00E91075">
      <w:pPr>
        <w:pStyle w:val="Literaturverzeichnis"/>
      </w:pPr>
      <w:r w:rsidRPr="00E91075">
        <w:rPr>
          <w:b/>
        </w:rPr>
        <w:t>Dr. Simon Wiest</w:t>
      </w:r>
      <w:r>
        <w:t xml:space="preserve"> (</w:t>
      </w:r>
      <w:r w:rsidRPr="00E91075">
        <w:t>2010): Continuous Integration mit Hudson, Grundladen</w:t>
      </w:r>
      <w:r>
        <w:t xml:space="preserve"> und Praxiswissen für Einsteiger und Umsteiger</w:t>
      </w:r>
      <w:r w:rsidR="0026112F">
        <w:t>.</w:t>
      </w:r>
      <w:r>
        <w:t xml:space="preserve"> Heidelberg: </w:t>
      </w:r>
      <w:proofErr w:type="gramStart"/>
      <w:r w:rsidR="00D317C1">
        <w:t>d</w:t>
      </w:r>
      <w:r>
        <w:t>punkt</w:t>
      </w:r>
      <w:r w:rsidR="00D317C1">
        <w:t>.Verlag</w:t>
      </w:r>
      <w:proofErr w:type="gramEnd"/>
    </w:p>
    <w:p w:rsidR="002C38E9" w:rsidRDefault="0026112F">
      <w:pPr>
        <w:pStyle w:val="Literaturverzeichnis"/>
        <w:rPr>
          <w:lang w:val="en-US"/>
        </w:rPr>
      </w:pPr>
      <w:r w:rsidRPr="007B0E7C">
        <w:rPr>
          <w:b/>
          <w:lang w:val="en-US"/>
        </w:rPr>
        <w:t>Martin Fowler</w:t>
      </w:r>
      <w:r w:rsidRPr="007B0E7C">
        <w:rPr>
          <w:lang w:val="en-US"/>
        </w:rPr>
        <w:t xml:space="preserve"> (2006): Continuous Integration. </w:t>
      </w:r>
      <w:r w:rsidR="007B0E7C">
        <w:rPr>
          <w:lang w:val="en-US"/>
        </w:rPr>
        <w:t>ht</w:t>
      </w:r>
      <w:r w:rsidR="007B0E7C" w:rsidRPr="007B0E7C">
        <w:rPr>
          <w:lang w:val="en-US"/>
        </w:rPr>
        <w:t xml:space="preserve">tps://www.martinfowler.com/articles/continuousIntegration.html </w:t>
      </w:r>
      <w:r w:rsidR="002C38E9" w:rsidRPr="007B0E7C">
        <w:rPr>
          <w:lang w:val="en-US"/>
        </w:rPr>
        <w:t>(23.</w:t>
      </w:r>
      <w:r w:rsidR="002C38E9">
        <w:rPr>
          <w:lang w:val="en-US"/>
        </w:rPr>
        <w:t xml:space="preserve"> </w:t>
      </w:r>
      <w:r w:rsidR="002C38E9">
        <w:rPr>
          <w:rFonts w:ascii="Arial" w:hAnsi="Arial" w:cs="Arial"/>
          <w:color w:val="222222"/>
          <w:sz w:val="21"/>
          <w:szCs w:val="21"/>
          <w:shd w:val="clear" w:color="auto" w:fill="F7F7F7"/>
        </w:rPr>
        <w:t xml:space="preserve">Februar </w:t>
      </w:r>
      <w:r w:rsidR="002C38E9" w:rsidRPr="007B0E7C">
        <w:rPr>
          <w:lang w:val="en-US"/>
        </w:rPr>
        <w:t>2018)</w:t>
      </w:r>
    </w:p>
    <w:p w:rsidR="002C38E9" w:rsidRDefault="002C38E9" w:rsidP="002C38E9">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21. Juni 2017): </w:t>
      </w:r>
      <w:r w:rsidRPr="002C38E9">
        <w:rPr>
          <w:rFonts w:ascii="Arial" w:hAnsi="Arial" w:cs="Arial"/>
          <w:color w:val="222222"/>
          <w:sz w:val="21"/>
          <w:szCs w:val="21"/>
          <w:shd w:val="clear" w:color="auto" w:fill="F7F7F7"/>
        </w:rPr>
        <w:t>Seite „Repository“.</w:t>
      </w:r>
      <w:r w:rsidRPr="002C38E9">
        <w:rPr>
          <w:rFonts w:ascii="Arial" w:hAnsi="Arial" w:cs="Arial"/>
          <w:b/>
          <w:color w:val="222222"/>
          <w:sz w:val="21"/>
          <w:szCs w:val="21"/>
          <w:shd w:val="clear" w:color="auto" w:fill="F7F7F7"/>
        </w:rPr>
        <w:t xml:space="preserve"> </w:t>
      </w:r>
      <w:hyperlink r:id="rId9" w:history="1">
        <w:r w:rsidRPr="002C38E9">
          <w:rPr>
            <w:rStyle w:val="Hyperlink"/>
            <w:rFonts w:ascii="Arial" w:hAnsi="Arial" w:cs="Arial"/>
            <w:color w:val="auto"/>
            <w:sz w:val="21"/>
            <w:szCs w:val="21"/>
            <w:u w:val="none"/>
            <w:shd w:val="clear" w:color="auto" w:fill="F7F7F7"/>
          </w:rPr>
          <w:t>https://de.wikipedia.org/w/index.php?title=Repository&amp;oldid=166597004</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8E3AAB">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18. August 2015): </w:t>
      </w:r>
      <w:r w:rsidRPr="002C38E9">
        <w:rPr>
          <w:rFonts w:ascii="Arial" w:hAnsi="Arial" w:cs="Arial"/>
          <w:color w:val="222222"/>
          <w:sz w:val="21"/>
          <w:szCs w:val="21"/>
          <w:shd w:val="clear" w:color="auto" w:fill="F7F7F7"/>
        </w:rPr>
        <w:t>Seite „</w:t>
      </w:r>
      <w:r>
        <w:rPr>
          <w:rFonts w:ascii="Arial" w:hAnsi="Arial" w:cs="Arial"/>
          <w:color w:val="222222"/>
          <w:sz w:val="21"/>
          <w:szCs w:val="21"/>
          <w:shd w:val="clear" w:color="auto" w:fill="F7F7F7"/>
        </w:rPr>
        <w:t>Commit</w:t>
      </w:r>
      <w:r w:rsidRPr="002C38E9">
        <w:rPr>
          <w:rFonts w:ascii="Arial" w:hAnsi="Arial" w:cs="Arial"/>
          <w:color w:val="222222"/>
          <w:sz w:val="21"/>
          <w:szCs w:val="21"/>
          <w:shd w:val="clear" w:color="auto" w:fill="F7F7F7"/>
        </w:rPr>
        <w:t>“.</w:t>
      </w:r>
      <w:r w:rsidRPr="002C38E9">
        <w:rPr>
          <w:rFonts w:ascii="Arial" w:hAnsi="Arial" w:cs="Arial"/>
          <w:b/>
          <w:color w:val="222222"/>
          <w:sz w:val="21"/>
          <w:szCs w:val="21"/>
          <w:shd w:val="clear" w:color="auto" w:fill="F7F7F7"/>
        </w:rPr>
        <w:t xml:space="preserve"> </w:t>
      </w:r>
      <w:hyperlink r:id="rId10" w:history="1">
        <w:r w:rsidRPr="008E3AAB">
          <w:rPr>
            <w:rStyle w:val="Hyperlink"/>
            <w:rFonts w:ascii="Arial" w:hAnsi="Arial" w:cs="Arial"/>
            <w:color w:val="auto"/>
            <w:sz w:val="21"/>
            <w:szCs w:val="21"/>
            <w:u w:val="none"/>
            <w:shd w:val="clear" w:color="auto" w:fill="F7F7F7"/>
          </w:rPr>
          <w:t>https://de.wikipedia.org/w/index.php?title=Commit&amp;oldid=145145351</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2C38E9">
      <w:pPr>
        <w:pStyle w:val="Literaturverzeichnis"/>
        <w:rPr>
          <w:rFonts w:ascii="Arial" w:hAnsi="Arial" w:cs="Arial"/>
          <w:color w:val="222222"/>
          <w:sz w:val="21"/>
          <w:szCs w:val="21"/>
          <w:shd w:val="clear" w:color="auto" w:fill="F7F7F7"/>
        </w:rPr>
      </w:pPr>
    </w:p>
    <w:sectPr w:rsidR="008E3AAB" w:rsidSect="00831D99">
      <w:headerReference w:type="first" r:id="rId11"/>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130" w:rsidRDefault="00B92130">
      <w:pPr>
        <w:spacing w:before="0" w:line="240" w:lineRule="auto"/>
      </w:pPr>
      <w:r>
        <w:separator/>
      </w:r>
    </w:p>
  </w:endnote>
  <w:endnote w:type="continuationSeparator" w:id="0">
    <w:p w:rsidR="00B92130" w:rsidRDefault="00B921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130" w:rsidRDefault="00B92130">
      <w:pPr>
        <w:spacing w:before="0" w:line="240" w:lineRule="auto"/>
      </w:pPr>
      <w:r>
        <w:separator/>
      </w:r>
    </w:p>
  </w:footnote>
  <w:footnote w:type="continuationSeparator" w:id="0">
    <w:p w:rsidR="00B92130" w:rsidRDefault="00B92130">
      <w:pPr>
        <w:spacing w:before="0" w:line="240" w:lineRule="auto"/>
      </w:pPr>
      <w:r>
        <w:continuationSeparator/>
      </w:r>
    </w:p>
  </w:footnote>
  <w:footnote w:id="1">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2">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2"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5"/>
  </w:num>
  <w:num w:numId="15">
    <w:abstractNumId w:val="16"/>
  </w:num>
  <w:num w:numId="16">
    <w:abstractNumId w:val="17"/>
  </w:num>
  <w:num w:numId="17">
    <w:abstractNumId w:val="14"/>
  </w:num>
  <w:num w:numId="18">
    <w:abstractNumId w:val="33"/>
  </w:num>
  <w:num w:numId="19">
    <w:abstractNumId w:val="32"/>
  </w:num>
  <w:num w:numId="20">
    <w:abstractNumId w:val="15"/>
  </w:num>
  <w:num w:numId="21">
    <w:abstractNumId w:val="12"/>
  </w:num>
  <w:num w:numId="22">
    <w:abstractNumId w:val="29"/>
  </w:num>
  <w:num w:numId="23">
    <w:abstractNumId w:val="35"/>
  </w:num>
  <w:num w:numId="24">
    <w:abstractNumId w:val="34"/>
  </w:num>
  <w:num w:numId="25">
    <w:abstractNumId w:val="19"/>
  </w:num>
  <w:num w:numId="26">
    <w:abstractNumId w:val="23"/>
  </w:num>
  <w:num w:numId="27">
    <w:abstractNumId w:val="10"/>
  </w:num>
  <w:num w:numId="28">
    <w:abstractNumId w:val="21"/>
  </w:num>
  <w:num w:numId="29">
    <w:abstractNumId w:val="30"/>
  </w:num>
  <w:num w:numId="30">
    <w:abstractNumId w:val="27"/>
  </w:num>
  <w:num w:numId="31">
    <w:abstractNumId w:val="28"/>
  </w:num>
  <w:num w:numId="32">
    <w:abstractNumId w:val="11"/>
  </w:num>
  <w:num w:numId="33">
    <w:abstractNumId w:val="31"/>
  </w:num>
  <w:num w:numId="34">
    <w:abstractNumId w:val="24"/>
  </w:num>
  <w:num w:numId="35">
    <w:abstractNumId w:val="22"/>
  </w:num>
  <w:num w:numId="36">
    <w:abstractNumId w:val="13"/>
  </w:num>
  <w:num w:numId="37">
    <w:abstractNumId w:val="20"/>
  </w:num>
  <w:num w:numId="38">
    <w:abstractNumId w:val="26"/>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08A1"/>
    <w:rsid w:val="0003242D"/>
    <w:rsid w:val="00080B9A"/>
    <w:rsid w:val="00097B2B"/>
    <w:rsid w:val="000D03E1"/>
    <w:rsid w:val="00111AC6"/>
    <w:rsid w:val="001145B7"/>
    <w:rsid w:val="00151F46"/>
    <w:rsid w:val="0019585B"/>
    <w:rsid w:val="001E3D25"/>
    <w:rsid w:val="001E7F0B"/>
    <w:rsid w:val="001F0A1B"/>
    <w:rsid w:val="001F2DCF"/>
    <w:rsid w:val="002021EA"/>
    <w:rsid w:val="0026112F"/>
    <w:rsid w:val="002713DA"/>
    <w:rsid w:val="00284FA6"/>
    <w:rsid w:val="0029592F"/>
    <w:rsid w:val="002B4E0C"/>
    <w:rsid w:val="002C0D9B"/>
    <w:rsid w:val="002C14FF"/>
    <w:rsid w:val="002C38E9"/>
    <w:rsid w:val="00307D2A"/>
    <w:rsid w:val="00340216"/>
    <w:rsid w:val="003508A4"/>
    <w:rsid w:val="00376DCD"/>
    <w:rsid w:val="003E11CA"/>
    <w:rsid w:val="003F6E7B"/>
    <w:rsid w:val="00440D21"/>
    <w:rsid w:val="004678BE"/>
    <w:rsid w:val="004A1FA2"/>
    <w:rsid w:val="00514E85"/>
    <w:rsid w:val="00517784"/>
    <w:rsid w:val="00555AF3"/>
    <w:rsid w:val="00583AA1"/>
    <w:rsid w:val="005921A2"/>
    <w:rsid w:val="005A6F92"/>
    <w:rsid w:val="005D26BD"/>
    <w:rsid w:val="00627289"/>
    <w:rsid w:val="0066763B"/>
    <w:rsid w:val="006B77EF"/>
    <w:rsid w:val="006C62FC"/>
    <w:rsid w:val="006D040D"/>
    <w:rsid w:val="006D45A1"/>
    <w:rsid w:val="006E7126"/>
    <w:rsid w:val="007035C5"/>
    <w:rsid w:val="00710D92"/>
    <w:rsid w:val="007648E0"/>
    <w:rsid w:val="007A060E"/>
    <w:rsid w:val="007B0E7C"/>
    <w:rsid w:val="007D231F"/>
    <w:rsid w:val="007D2548"/>
    <w:rsid w:val="007D3976"/>
    <w:rsid w:val="00805892"/>
    <w:rsid w:val="00824316"/>
    <w:rsid w:val="00831D99"/>
    <w:rsid w:val="00862DDF"/>
    <w:rsid w:val="008722CD"/>
    <w:rsid w:val="00874A06"/>
    <w:rsid w:val="008752C2"/>
    <w:rsid w:val="008A105A"/>
    <w:rsid w:val="008A424C"/>
    <w:rsid w:val="008C44B0"/>
    <w:rsid w:val="008E3AAB"/>
    <w:rsid w:val="008F6BAA"/>
    <w:rsid w:val="00967BCF"/>
    <w:rsid w:val="009D5459"/>
    <w:rsid w:val="00A17980"/>
    <w:rsid w:val="00A35092"/>
    <w:rsid w:val="00A5114A"/>
    <w:rsid w:val="00AA7141"/>
    <w:rsid w:val="00AC08F5"/>
    <w:rsid w:val="00AD07B6"/>
    <w:rsid w:val="00AE1C36"/>
    <w:rsid w:val="00B1362C"/>
    <w:rsid w:val="00B33C63"/>
    <w:rsid w:val="00B6721B"/>
    <w:rsid w:val="00B92130"/>
    <w:rsid w:val="00BA1564"/>
    <w:rsid w:val="00BA20A8"/>
    <w:rsid w:val="00BA7590"/>
    <w:rsid w:val="00BF0354"/>
    <w:rsid w:val="00BF7EB9"/>
    <w:rsid w:val="00C24E59"/>
    <w:rsid w:val="00C33387"/>
    <w:rsid w:val="00C35F46"/>
    <w:rsid w:val="00C969F6"/>
    <w:rsid w:val="00CA3051"/>
    <w:rsid w:val="00CE73C2"/>
    <w:rsid w:val="00D11665"/>
    <w:rsid w:val="00D16BAE"/>
    <w:rsid w:val="00D317C1"/>
    <w:rsid w:val="00DA291D"/>
    <w:rsid w:val="00E016C0"/>
    <w:rsid w:val="00E114C0"/>
    <w:rsid w:val="00E50A11"/>
    <w:rsid w:val="00E85A0A"/>
    <w:rsid w:val="00E871A2"/>
    <w:rsid w:val="00E91075"/>
    <w:rsid w:val="00EB2F98"/>
    <w:rsid w:val="00F30BCD"/>
    <w:rsid w:val="00F969DC"/>
    <w:rsid w:val="00FA207B"/>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5CD15"/>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28BFD-2AE7-4666-8C03-14E82262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2006</Words>
  <Characters>12644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39</cp:revision>
  <cp:lastPrinted>2011-10-23T20:42:00Z</cp:lastPrinted>
  <dcterms:created xsi:type="dcterms:W3CDTF">2011-09-21T18:30:00Z</dcterms:created>
  <dcterms:modified xsi:type="dcterms:W3CDTF">2018-02-26T22:29:00Z</dcterms:modified>
</cp:coreProperties>
</file>