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12D6D" w:rsidRPr="00BF0354" w:rsidRDefault="00E12D6D"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proofErr w:type="spellStart"/>
                            <w:r>
                              <w:t>Matr</w:t>
                            </w:r>
                            <w:proofErr w:type="spellEnd"/>
                            <w:r>
                              <w:t>.-Nr.: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proofErr w:type="spellStart"/>
                      <w:r>
                        <w:t>Matr</w:t>
                      </w:r>
                      <w:proofErr w:type="spellEnd"/>
                      <w:r>
                        <w:t>.-Nr.: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12D6D" w:rsidRPr="00BF0354" w:rsidRDefault="00E12D6D"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0280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0280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02808"/>
      <w:r w:rsidRPr="00537179">
        <w:t>Abstract</w:t>
      </w:r>
      <w:bookmarkEnd w:id="3"/>
      <w:bookmarkEnd w:id="4"/>
      <w:r w:rsidRPr="00537179">
        <w:t xml:space="preserve"> </w:t>
      </w:r>
    </w:p>
    <w:p w:rsidR="00284FA6" w:rsidRDefault="00284FA6">
      <w:pPr>
        <w:pStyle w:val="berschrift1"/>
        <w:numPr>
          <w:ilvl w:val="0"/>
          <w:numId w:val="0"/>
        </w:numPr>
      </w:pPr>
      <w:bookmarkStart w:id="5" w:name="_Toc508102809"/>
      <w:r>
        <w:lastRenderedPageBreak/>
        <w:t>Inhaltsverzeichnis</w:t>
      </w:r>
      <w:bookmarkEnd w:id="5"/>
    </w:p>
    <w:p w:rsidR="009141F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9141F9">
        <w:t>Ehrenwörtliche Erklärung</w:t>
      </w:r>
      <w:r w:rsidR="009141F9">
        <w:tab/>
      </w:r>
      <w:r w:rsidR="009141F9">
        <w:fldChar w:fldCharType="begin"/>
      </w:r>
      <w:r w:rsidR="009141F9">
        <w:instrText xml:space="preserve"> PAGEREF _Toc508102806 \h </w:instrText>
      </w:r>
      <w:r w:rsidR="009141F9">
        <w:fldChar w:fldCharType="separate"/>
      </w:r>
      <w:r w:rsidR="009141F9">
        <w:t>2</w:t>
      </w:r>
      <w:r w:rsidR="009141F9">
        <w:fldChar w:fldCharType="end"/>
      </w:r>
    </w:p>
    <w:p w:rsidR="009141F9" w:rsidRDefault="009141F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_Toc508102807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_Toc508102808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_Toc508102809 \h </w:instrText>
      </w:r>
      <w:r>
        <w:fldChar w:fldCharType="separate"/>
      </w:r>
      <w:r>
        <w:t>4</w:t>
      </w:r>
      <w:r>
        <w:fldChar w:fldCharType="end"/>
      </w:r>
    </w:p>
    <w:p w:rsidR="009141F9" w:rsidRDefault="009141F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_Toc508102810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_Toc508102811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_Toc508102812 \h </w:instrText>
      </w:r>
      <w:r>
        <w:fldChar w:fldCharType="separate"/>
      </w:r>
      <w:r>
        <w:t>7</w:t>
      </w:r>
      <w:r>
        <w:fldChar w:fldCharType="end"/>
      </w:r>
    </w:p>
    <w:p w:rsidR="009141F9" w:rsidRDefault="009141F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_Toc508102813 \h </w:instrText>
      </w:r>
      <w:r>
        <w:fldChar w:fldCharType="separate"/>
      </w:r>
      <w:r>
        <w:t>8</w:t>
      </w:r>
      <w:r>
        <w:fldChar w:fldCharType="end"/>
      </w:r>
    </w:p>
    <w:p w:rsidR="009141F9" w:rsidRDefault="009141F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_Toc508102814 \h </w:instrText>
      </w:r>
      <w:r>
        <w:fldChar w:fldCharType="separate"/>
      </w:r>
      <w:r>
        <w:t>9</w:t>
      </w:r>
      <w:r>
        <w:fldChar w:fldCharType="end"/>
      </w:r>
    </w:p>
    <w:p w:rsidR="009141F9" w:rsidRDefault="009141F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_Toc508102815 \h </w:instrText>
      </w:r>
      <w:r>
        <w:fldChar w:fldCharType="separate"/>
      </w:r>
      <w:r>
        <w:t>10</w:t>
      </w:r>
      <w:r>
        <w:fldChar w:fldCharType="end"/>
      </w:r>
    </w:p>
    <w:p w:rsidR="009141F9" w:rsidRDefault="009141F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_Toc508102816 \h </w:instrText>
      </w:r>
      <w:r>
        <w:fldChar w:fldCharType="separate"/>
      </w:r>
      <w:r>
        <w:t>12</w:t>
      </w:r>
      <w:r>
        <w:fldChar w:fldCharType="end"/>
      </w:r>
    </w:p>
    <w:p w:rsidR="009141F9" w:rsidRDefault="009141F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_Toc508102817 \h </w:instrText>
      </w:r>
      <w:r>
        <w:fldChar w:fldCharType="separate"/>
      </w:r>
      <w:r>
        <w:t>13</w:t>
      </w:r>
      <w:r>
        <w:fldChar w:fldCharType="end"/>
      </w:r>
    </w:p>
    <w:p w:rsidR="009141F9" w:rsidRDefault="009141F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_Toc508102818 \h </w:instrText>
      </w:r>
      <w:r>
        <w:fldChar w:fldCharType="separate"/>
      </w:r>
      <w:r>
        <w:t>13</w:t>
      </w:r>
      <w:r>
        <w:fldChar w:fldCharType="end"/>
      </w:r>
    </w:p>
    <w:p w:rsidR="009141F9" w:rsidRDefault="009141F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_Toc508102819 \h </w:instrText>
      </w:r>
      <w:r>
        <w:fldChar w:fldCharType="separate"/>
      </w:r>
      <w:r>
        <w:t>14</w:t>
      </w:r>
      <w:r>
        <w:fldChar w:fldCharType="end"/>
      </w:r>
    </w:p>
    <w:p w:rsidR="009141F9" w:rsidRDefault="009141F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_Toc508102820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_Toc508102821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_Toc508102822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_Toc508102823 \h </w:instrText>
      </w:r>
      <w:r>
        <w:fldChar w:fldCharType="separate"/>
      </w:r>
      <w:r>
        <w:t>16</w:t>
      </w:r>
      <w:r>
        <w:fldChar w:fldCharType="end"/>
      </w:r>
    </w:p>
    <w:p w:rsidR="009141F9" w:rsidRDefault="009141F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_Toc508102824 \h </w:instrText>
      </w:r>
      <w:r>
        <w:fldChar w:fldCharType="separate"/>
      </w:r>
      <w:r>
        <w:t>17</w:t>
      </w:r>
      <w:r>
        <w:fldChar w:fldCharType="end"/>
      </w:r>
    </w:p>
    <w:p w:rsidR="009141F9" w:rsidRDefault="009141F9">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_Toc508102825 \h </w:instrText>
      </w:r>
      <w:r>
        <w:fldChar w:fldCharType="separate"/>
      </w:r>
      <w:r>
        <w:t>18</w:t>
      </w:r>
      <w:r>
        <w:fldChar w:fldCharType="end"/>
      </w:r>
    </w:p>
    <w:p w:rsidR="009141F9" w:rsidRDefault="009141F9">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_Toc508102826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_Toc508102827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_Toc508102828 \h </w:instrText>
      </w:r>
      <w:r>
        <w:fldChar w:fldCharType="separate"/>
      </w:r>
      <w:r>
        <w:t>20</w:t>
      </w:r>
      <w:r>
        <w:fldChar w:fldCharType="end"/>
      </w:r>
    </w:p>
    <w:p w:rsidR="009141F9" w:rsidRDefault="009141F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_Toc508102829 \h </w:instrText>
      </w:r>
      <w:r>
        <w:fldChar w:fldCharType="separate"/>
      </w:r>
      <w:r>
        <w:t>21</w:t>
      </w:r>
      <w:r>
        <w:fldChar w:fldCharType="end"/>
      </w:r>
    </w:p>
    <w:p w:rsidR="009141F9" w:rsidRDefault="009141F9">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_Toc508102830 \h </w:instrText>
      </w:r>
      <w:r>
        <w:fldChar w:fldCharType="separate"/>
      </w:r>
      <w:r>
        <w:t>23</w:t>
      </w:r>
      <w:r>
        <w:fldChar w:fldCharType="end"/>
      </w:r>
    </w:p>
    <w:p w:rsidR="009141F9" w:rsidRDefault="009141F9">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_Toc508102831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_Toc508102832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513BB">
        <w:rPr>
          <w:i/>
        </w:rPr>
        <w:t>Anaconda</w:t>
      </w:r>
      <w:r>
        <w:tab/>
      </w:r>
      <w:r>
        <w:fldChar w:fldCharType="begin"/>
      </w:r>
      <w:r>
        <w:instrText xml:space="preserve"> PAGEREF _Toc508102833 \h </w:instrText>
      </w:r>
      <w:r>
        <w:fldChar w:fldCharType="separate"/>
      </w:r>
      <w:r>
        <w:t>24</w:t>
      </w:r>
      <w:r>
        <w:fldChar w:fldCharType="end"/>
      </w:r>
    </w:p>
    <w:p w:rsidR="009141F9" w:rsidRDefault="009141F9">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_Toc508102834 \h </w:instrText>
      </w:r>
      <w:r>
        <w:fldChar w:fldCharType="separate"/>
      </w:r>
      <w:r>
        <w:t>25</w:t>
      </w:r>
      <w:r>
        <w:fldChar w:fldCharType="end"/>
      </w:r>
    </w:p>
    <w:p w:rsidR="009141F9" w:rsidRDefault="009141F9">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_Toc508102835 \h </w:instrText>
      </w:r>
      <w:r>
        <w:fldChar w:fldCharType="separate"/>
      </w:r>
      <w:r>
        <w:t>26</w:t>
      </w:r>
      <w:r>
        <w:fldChar w:fldCharType="end"/>
      </w:r>
    </w:p>
    <w:p w:rsidR="009141F9" w:rsidRDefault="009141F9">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Unit Tests</w:t>
      </w:r>
      <w:r>
        <w:tab/>
      </w:r>
      <w:r>
        <w:fldChar w:fldCharType="begin"/>
      </w:r>
      <w:r>
        <w:instrText xml:space="preserve"> PAGEREF _Toc508102836 \h </w:instrText>
      </w:r>
      <w:r>
        <w:fldChar w:fldCharType="separate"/>
      </w:r>
      <w:r>
        <w:t>29</w:t>
      </w:r>
      <w:r>
        <w:fldChar w:fldCharType="end"/>
      </w:r>
    </w:p>
    <w:p w:rsidR="009141F9" w:rsidRDefault="009141F9">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_Toc508102837 \h </w:instrText>
      </w:r>
      <w:r>
        <w:fldChar w:fldCharType="separate"/>
      </w:r>
      <w:r>
        <w:t>29</w:t>
      </w:r>
      <w:r>
        <w:fldChar w:fldCharType="end"/>
      </w:r>
    </w:p>
    <w:p w:rsidR="009141F9" w:rsidRDefault="009141F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_Toc508102838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6" w:name="_Toc508102810"/>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8102811"/>
      <w:r>
        <w:t>Tabellenverzeichnis</w:t>
      </w:r>
      <w:bookmarkEnd w:id="7"/>
    </w:p>
    <w:p w:rsidR="00284FA6" w:rsidRDefault="00284FA6">
      <w:pPr>
        <w:pStyle w:val="berschrift1"/>
        <w:numPr>
          <w:ilvl w:val="0"/>
          <w:numId w:val="0"/>
        </w:numPr>
      </w:pPr>
      <w:bookmarkStart w:id="8" w:name="_Toc508102812"/>
      <w:r>
        <w:lastRenderedPageBreak/>
        <w:t>Abkürzungsverzeichnis</w:t>
      </w:r>
      <w:bookmarkEnd w:id="8"/>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Default="00F67558">
      <w:pPr>
        <w:tabs>
          <w:tab w:val="left" w:pos="1440"/>
        </w:tabs>
      </w:pPr>
      <w:r>
        <w:t>VCS</w:t>
      </w:r>
      <w:r>
        <w:tab/>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207A15" w:rsidRDefault="00207A15" w:rsidP="00207A15">
      <w:pPr>
        <w:tabs>
          <w:tab w:val="left" w:pos="1440"/>
        </w:tabs>
      </w:pPr>
      <w:r>
        <w:t>DVCS</w:t>
      </w:r>
      <w:r>
        <w:tab/>
      </w:r>
      <w:r w:rsidRPr="00207A15">
        <w:rPr>
          <w:i/>
        </w:rPr>
        <w:t>Distributed</w:t>
      </w:r>
      <w:r>
        <w:t xml:space="preserve"> </w:t>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34082B" w:rsidRPr="0034082B" w:rsidRDefault="0034082B" w:rsidP="00207A15">
      <w:pPr>
        <w:tabs>
          <w:tab w:val="left" w:pos="1440"/>
        </w:tabs>
      </w:pPr>
      <w:r>
        <w:t>API</w:t>
      </w:r>
      <w:r>
        <w:tab/>
      </w:r>
      <w:proofErr w:type="spellStart"/>
      <w:r>
        <w:rPr>
          <w:i/>
        </w:rPr>
        <w:t>Application</w:t>
      </w:r>
      <w:proofErr w:type="spellEnd"/>
      <w:r>
        <w:rPr>
          <w:i/>
        </w:rPr>
        <w:t xml:space="preserve"> </w:t>
      </w:r>
      <w:proofErr w:type="spellStart"/>
      <w:r>
        <w:rPr>
          <w:i/>
        </w:rPr>
        <w:t>Programming</w:t>
      </w:r>
      <w:proofErr w:type="spellEnd"/>
      <w:r>
        <w:rPr>
          <w:i/>
        </w:rPr>
        <w:t xml:space="preserve"> Interface </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8102813"/>
      <w:r>
        <w:lastRenderedPageBreak/>
        <w:t>Vorwort</w:t>
      </w:r>
      <w:bookmarkEnd w:id="9"/>
    </w:p>
    <w:p w:rsidR="00284FA6" w:rsidRDefault="00284FA6">
      <w:pPr>
        <w:pStyle w:val="berschrift1"/>
      </w:pPr>
      <w:bookmarkStart w:id="10" w:name="_Ref490562273"/>
      <w:bookmarkStart w:id="11" w:name="_Toc508102814"/>
      <w:r>
        <w:lastRenderedPageBreak/>
        <w:t>Überblick</w:t>
      </w:r>
      <w:bookmarkEnd w:id="10"/>
      <w:bookmarkEnd w:id="11"/>
    </w:p>
    <w:p w:rsidR="00284FA6" w:rsidRDefault="00284FA6">
      <w:pPr>
        <w:pStyle w:val="berschrift1"/>
      </w:pPr>
      <w:bookmarkStart w:id="12" w:name="_Ref491749133"/>
      <w:bookmarkStart w:id="13" w:name="_Ref491749190"/>
      <w:bookmarkStart w:id="14" w:name="_Toc508102815"/>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8102816"/>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8102817"/>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8102818"/>
      <w:r>
        <w:t xml:space="preserve">Das Konzept der </w:t>
      </w:r>
      <w:proofErr w:type="spellStart"/>
      <w:r>
        <w:t>Continuous</w:t>
      </w:r>
      <w:proofErr w:type="spellEnd"/>
      <w:r>
        <w:t xml:space="preserve"> Integration</w:t>
      </w:r>
      <w:r w:rsidR="002E6E9E">
        <w:t xml:space="preserve"> und deren Vorteile</w:t>
      </w:r>
      <w:bookmarkEnd w:id="18"/>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8102819"/>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w:t>
      </w:r>
      <w:proofErr w:type="spellStart"/>
      <w:r w:rsidR="00B07F7F">
        <w:t>Git</w:t>
      </w:r>
      <w:proofErr w:type="spellEnd"/>
      <w:r w:rsidR="00B07F7F">
        <w:t xml:space="preserve"> 19. Oktober 2017, Seite „</w:t>
      </w:r>
      <w:proofErr w:type="spellStart"/>
      <w:r w:rsidR="00B07F7F">
        <w:t>Getting</w:t>
      </w:r>
      <w:proofErr w:type="spellEnd"/>
      <w:r w:rsidR="00B07F7F">
        <w:t xml:space="preserve"> </w:t>
      </w:r>
      <w:proofErr w:type="spellStart"/>
      <w:r w:rsidR="00B07F7F">
        <w:t>started</w:t>
      </w:r>
      <w:proofErr w:type="spellEnd"/>
      <w:r w:rsidR="00B07F7F">
        <w:t xml:space="preserve"> - About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xml:space="preserve">, was im Endeffekt aber </w:t>
      </w:r>
      <w:proofErr w:type="spellStart"/>
      <w:r w:rsidR="0050681F">
        <w:t>im</w:t>
      </w:r>
      <w:proofErr w:type="spellEnd"/>
      <w:r w:rsidR="0050681F">
        <w:t xml:space="preserve"> Bezug auf ein VCS dieselbe Bedeutung hat.</w:t>
      </w:r>
      <w:r w:rsidR="005D4AA7">
        <w:t xml:space="preserve">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w:t>
      </w:r>
      <w:r w:rsidR="00973818">
        <w:t>Es ist dann die Rede</w:t>
      </w:r>
      <w:r w:rsidR="005D4AA7">
        <w:t xml:space="preserve">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r w:rsidR="00D73480">
        <w:t xml:space="preserve"> Es können beliebig viele </w:t>
      </w:r>
      <w:proofErr w:type="spellStart"/>
      <w:r w:rsidR="00D73480">
        <w:t>Branches</w:t>
      </w:r>
      <w:proofErr w:type="spellEnd"/>
      <w:r w:rsidR="00D73480">
        <w:t xml:space="preserve">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20" w:name="_Toc508102820"/>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8102821"/>
      <w:r>
        <w:t xml:space="preserve">Selbsttestender </w:t>
      </w:r>
      <w:proofErr w:type="spellStart"/>
      <w:r>
        <w:t>Build</w:t>
      </w:r>
      <w:bookmarkEnd w:id="21"/>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517784">
      <w:pPr>
        <w:pStyle w:val="berschrift3"/>
      </w:pPr>
      <w:bookmarkStart w:id="22" w:name="_Toc508102822"/>
      <w:r>
        <w:lastRenderedPageBreak/>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w:t>
      </w:r>
      <w:proofErr w:type="gramStart"/>
      <w:r>
        <w:t xml:space="preserve">einen sogenannten </w:t>
      </w:r>
      <w:r w:rsidRPr="008722CD">
        <w:rPr>
          <w:i/>
        </w:rPr>
        <w:t>Roll-back</w:t>
      </w:r>
      <w:proofErr w:type="gramEnd"/>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973818" w:rsidP="006C62FC">
      <w:pPr>
        <w:pStyle w:val="Listenabsatz"/>
        <w:numPr>
          <w:ilvl w:val="6"/>
          <w:numId w:val="39"/>
        </w:numPr>
        <w:ind w:left="717"/>
      </w:pPr>
      <w:r>
        <w:t>Es liegt z</w:t>
      </w:r>
      <w:r w:rsidR="00E85A0A">
        <w:t>u jedem Zeitpunkt eines Projekts einen funktionierenden Stand</w:t>
      </w:r>
      <w:r>
        <w:t xml:space="preserve"> vor</w:t>
      </w:r>
      <w:r w:rsidR="00E85A0A">
        <w:t>, auch wenn das nicht heißt, dass dieser fertig ist.</w:t>
      </w:r>
    </w:p>
    <w:p w:rsidR="00D16BAE" w:rsidRDefault="002B4E0C" w:rsidP="00EB2F98">
      <w:pPr>
        <w:pStyle w:val="berschrift3"/>
      </w:pPr>
      <w:bookmarkStart w:id="23" w:name="_Toc508102823"/>
      <w:proofErr w:type="spellStart"/>
      <w:r>
        <w:t>Builds</w:t>
      </w:r>
      <w:proofErr w:type="spellEnd"/>
      <w:r>
        <w:t xml:space="preserve">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w:t>
      </w:r>
      <w:proofErr w:type="gramStart"/>
      <w:r w:rsidR="006C62FC">
        <w:t>Rückstau</w:t>
      </w:r>
      <w:proofErr w:type="gramEnd"/>
      <w:r w:rsidR="006C62FC">
        <w:t xml:space="preserve">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w:t>
      </w:r>
      <w:r>
        <w:lastRenderedPageBreak/>
        <w:t>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E12D6D" w:rsidP="003E0256">
      <w:pPr>
        <w:pStyle w:val="Abbildung"/>
      </w:pPr>
      <w:r>
        <w:rPr>
          <w:noProof/>
        </w:rPr>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12D6D" w:rsidRPr="00E16EBE" w:rsidRDefault="00E12D6D" w:rsidP="00E12D6D">
                            <w:pPr>
                              <w:pStyle w:val="Beschriftung"/>
                              <w:rPr>
                                <w:noProof/>
                              </w:rPr>
                            </w:pPr>
                            <w:r>
                              <w:t xml:space="preserve">Abbildung </w:t>
                            </w:r>
                            <w:fldSimple w:instr=" SEQ Abbildung \* ARABIC ">
                              <w:r w:rsidR="005D4B44">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12D6D" w:rsidRPr="00E16EBE" w:rsidRDefault="00E12D6D" w:rsidP="00E12D6D">
                      <w:pPr>
                        <w:pStyle w:val="Beschriftung"/>
                        <w:rPr>
                          <w:noProof/>
                        </w:rPr>
                      </w:pPr>
                      <w:r>
                        <w:t xml:space="preserve">Abbildung </w:t>
                      </w:r>
                      <w:fldSimple w:instr=" SEQ Abbildung \* ARABIC ">
                        <w:r w:rsidR="005D4B44">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w:t>
      </w:r>
      <w:r w:rsidR="00264169">
        <w:lastRenderedPageBreak/>
        <w:t xml:space="preserve">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8102824"/>
      <w:r>
        <w:t xml:space="preserve">Schnelle </w:t>
      </w:r>
      <w:proofErr w:type="spellStart"/>
      <w:r>
        <w:t>Build</w:t>
      </w:r>
      <w:proofErr w:type="spellEnd"/>
      <w:r>
        <w:t>-Zyklen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8102825"/>
      <w:r>
        <w:lastRenderedPageBreak/>
        <w:t>Tests in gespiegelter Produktionsumgebung</w:t>
      </w:r>
      <w:bookmarkEnd w:id="25"/>
    </w:p>
    <w:p w:rsidR="00945982" w:rsidRDefault="00945982" w:rsidP="00900854">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proofErr w:type="gramStart"/>
      <w:r>
        <w:t>extrem große</w:t>
      </w:r>
      <w:proofErr w:type="gramEnd"/>
      <w:r>
        <w:t xml:space="preserv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w:t>
      </w:r>
      <w:bookmarkStart w:id="26" w:name="_GoBack"/>
      <w:bookmarkEnd w:id="26"/>
      <w:r w:rsidR="00460FB4">
        <w:t xml:space="preserve">gewünschte Hardwarekonfigurationen über das Internet bereitgestellt und müssen somit nicht neu gekauft werden. </w:t>
      </w:r>
      <w:r w:rsidR="00973818">
        <w:t>Werden</w:t>
      </w:r>
      <w:r w:rsidR="00460FB4">
        <w:t xml:space="preserve"> ganze Syste</w:t>
      </w:r>
      <w:r w:rsidR="00460FB4">
        <w:lastRenderedPageBreak/>
        <w:t xml:space="preserve">me bzw. Umgebungen über diesen Service bereitgestellt bekommen </w:t>
      </w:r>
      <w:r w:rsidR="00973818">
        <w:t>ist</w:t>
      </w:r>
      <w:r w:rsidR="00460FB4">
        <w:t xml:space="preserve"> auch </w:t>
      </w:r>
      <w:r w:rsidR="00973818">
        <w:t xml:space="preserve">die Rede </w:t>
      </w:r>
      <w:r w:rsidR="00460FB4">
        <w:t xml:space="preserve">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w:t>
      </w:r>
      <w:proofErr w:type="gramStart"/>
      <w:r w:rsidR="00460FB4">
        <w:t>des Service</w:t>
      </w:r>
      <w:r w:rsidR="00900854">
        <w:t>s</w:t>
      </w:r>
      <w:proofErr w:type="gramEnd"/>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7" w:name="_Toc508102826"/>
      <w:r>
        <w:t xml:space="preserve">Einfacher Zugriff auf </w:t>
      </w:r>
      <w:proofErr w:type="spellStart"/>
      <w:r>
        <w:t>Build</w:t>
      </w:r>
      <w:proofErr w:type="spellEnd"/>
      <w:r>
        <w:t>-Ergebnisse</w:t>
      </w:r>
      <w:bookmarkEnd w:id="27"/>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8" w:name="_Toc508102827"/>
      <w:r>
        <w:t>Automatisierte Berichte</w:t>
      </w:r>
      <w:bookmarkEnd w:id="28"/>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9" w:name="_Toc508102828"/>
      <w:r w:rsidR="002B4E0C">
        <w:t>Automatisierte Verteilung</w:t>
      </w:r>
      <w:bookmarkEnd w:id="29"/>
    </w:p>
    <w:p w:rsidR="00C51B83" w:rsidRDefault="00C51B83" w:rsidP="00C51B83">
      <w:r>
        <w:t xml:space="preserve">Im letzten Schritt kann sich ein CI-System selbst noch um das verteilen eines Produktes kümmern. </w:t>
      </w:r>
      <w:r w:rsidR="00973818">
        <w:t>Es wird</w:t>
      </w:r>
      <w:r>
        <w:t xml:space="preserve">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w:t>
      </w:r>
      <w:r w:rsidR="00CE4589">
        <w:lastRenderedPageBreak/>
        <w:t xml:space="preserv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w:t>
      </w:r>
      <w:proofErr w:type="gramStart"/>
      <w:r>
        <w:t xml:space="preserve">die </w:t>
      </w:r>
      <w:r w:rsidR="00182CA4" w:rsidRPr="00437B31">
        <w:rPr>
          <w:i/>
        </w:rPr>
        <w:t>Roll-back</w:t>
      </w:r>
      <w:proofErr w:type="gramEnd"/>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w:t>
      </w:r>
      <w:proofErr w:type="gramStart"/>
      <w:r>
        <w:t xml:space="preserve">einen </w:t>
      </w:r>
      <w:r w:rsidR="00182CA4" w:rsidRPr="00437B31">
        <w:rPr>
          <w:i/>
        </w:rPr>
        <w:t>Roll-back</w:t>
      </w:r>
      <w:proofErr w:type="gramEnd"/>
      <w:r>
        <w:t xml:space="preserve"> auf einen älteren Stand vollzieh</w:t>
      </w:r>
      <w:r w:rsidR="00973818">
        <w:t>en</w:t>
      </w:r>
      <w:r>
        <w:t xml:space="preserve">. </w:t>
      </w:r>
      <w:r w:rsidR="00CE4589">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bookmarkStart w:id="30" w:name="_Toc508102829"/>
      <w:r>
        <w:t>Nachteile</w:t>
      </w:r>
      <w:r w:rsidR="00894433">
        <w:t xml:space="preserve"> der CI</w:t>
      </w:r>
      <w:bookmarkEnd w:id="30"/>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lastRenderedPageBreak/>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w:t>
      </w:r>
      <w:proofErr w:type="gramStart"/>
      <w:r>
        <w:t>Rückstaus</w:t>
      </w:r>
      <w:proofErr w:type="gramEnd"/>
      <w:r>
        <w:t xml:space="preserve">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31" w:name="_Toc508102830"/>
      <w:r>
        <w:lastRenderedPageBreak/>
        <w:t>Eingeschlagener Realisierungsweg</w:t>
      </w:r>
      <w:bookmarkEnd w:id="31"/>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32" w:name="_Toc508102831"/>
      <w:r>
        <w:t>Verwendete Tools &amp; Softwaretechnologien</w:t>
      </w:r>
      <w:bookmarkEnd w:id="32"/>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3" w:name="_Toc508102832"/>
      <w:r>
        <w:t>Python</w:t>
      </w:r>
      <w:r w:rsidR="003729B6">
        <w:t xml:space="preserve"> als Programmiersprache</w:t>
      </w:r>
      <w:bookmarkEnd w:id="33"/>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proofErr w:type="spellStart"/>
      <w:r w:rsidRPr="00027D52">
        <w:rPr>
          <w:i/>
        </w:rPr>
        <w:t>Anaconda</w:t>
      </w:r>
      <w:proofErr w:type="spellEnd"/>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4" w:name="_Toc508102833"/>
      <w:r>
        <w:t xml:space="preserve">Die Python Distribution </w:t>
      </w:r>
      <w:proofErr w:type="spellStart"/>
      <w:r w:rsidR="00292903" w:rsidRPr="003729B6">
        <w:rPr>
          <w:i/>
        </w:rPr>
        <w:t>Anaconda</w:t>
      </w:r>
      <w:bookmarkEnd w:id="34"/>
      <w:proofErr w:type="spellEnd"/>
    </w:p>
    <w:p w:rsidR="00320274" w:rsidRDefault="00B03378" w:rsidP="00320274">
      <w:pPr>
        <w:pStyle w:val="Aufzhlungszeichen"/>
        <w:numPr>
          <w:ilvl w:val="0"/>
          <w:numId w:val="0"/>
        </w:numPr>
      </w:pPr>
      <w:proofErr w:type="spellStart"/>
      <w:r w:rsidRPr="00320274">
        <w:rPr>
          <w:i/>
        </w:rPr>
        <w:t>Anaconda</w:t>
      </w:r>
      <w:proofErr w:type="spellEnd"/>
      <w:r>
        <w:t xml:space="preserve"> ist eine relative junge Python Distribution und war </w:t>
      </w:r>
      <w:r w:rsidR="00A918D7">
        <w:t>früher unter dem Namen „</w:t>
      </w:r>
      <w:proofErr w:type="spellStart"/>
      <w:r w:rsidR="00A918D7">
        <w:t>Continuum</w:t>
      </w:r>
      <w:proofErr w:type="spellEnd"/>
      <w:r w:rsidR="00A918D7">
        <w:t xml:space="preserve">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proofErr w:type="spellStart"/>
      <w:r w:rsidR="00A918D7" w:rsidRPr="00320274">
        <w:rPr>
          <w:i/>
        </w:rPr>
        <w:t>Anaconda</w:t>
      </w:r>
      <w:proofErr w:type="spellEnd"/>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proofErr w:type="spellStart"/>
      <w:r w:rsidR="00320274" w:rsidRPr="00320274">
        <w:rPr>
          <w:i/>
        </w:rPr>
        <w:t>Conda</w:t>
      </w:r>
      <w:proofErr w:type="spellEnd"/>
      <w:r w:rsidR="00320274">
        <w:t xml:space="preserve"> ins Spiel mit welchem dies äußerst komfortabel gelöst wird. Mit </w:t>
      </w:r>
      <w:proofErr w:type="spellStart"/>
      <w:r w:rsidR="00320274" w:rsidRPr="00320274">
        <w:rPr>
          <w:i/>
        </w:rPr>
        <w:t>Conda</w:t>
      </w:r>
      <w:proofErr w:type="spellEnd"/>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xml:space="preserve">, was den Vorteil mit sich bringt, dass </w:t>
      </w:r>
      <w:proofErr w:type="spellStart"/>
      <w:r w:rsidR="00320274">
        <w:t>Anaconda</w:t>
      </w:r>
      <w:proofErr w:type="spellEnd"/>
      <w:r w:rsidR="00320274">
        <w:t>®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proofErr w:type="spellStart"/>
      <w:r w:rsidRPr="00320274">
        <w:rPr>
          <w:i/>
        </w:rPr>
        <w:t>Anaconda</w:t>
      </w:r>
      <w:proofErr w:type="spellEnd"/>
      <w:r>
        <w:t xml:space="preserve"> braucht, um Packages zu installieren oder um generell mit Python zu arbeiten. Dennoch bietet eine Distribution wie </w:t>
      </w:r>
      <w:proofErr w:type="spellStart"/>
      <w:r w:rsidRPr="00320274">
        <w:rPr>
          <w:i/>
        </w:rPr>
        <w:t>Anaconda</w:t>
      </w:r>
      <w:proofErr w:type="spellEnd"/>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5" w:name="_Toc508102834"/>
      <w:proofErr w:type="spellStart"/>
      <w:r>
        <w:t>PyCharm</w:t>
      </w:r>
      <w:proofErr w:type="spellEnd"/>
      <w:r w:rsidR="003729B6">
        <w:t xml:space="preserve"> als Entwicklungsumgebung</w:t>
      </w:r>
      <w:bookmarkEnd w:id="35"/>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6" w:name="_Toc508102835"/>
      <w:proofErr w:type="spellStart"/>
      <w:r w:rsidRPr="00FD1D33">
        <w:lastRenderedPageBreak/>
        <w:t>Git</w:t>
      </w:r>
      <w:proofErr w:type="spellEnd"/>
      <w:r w:rsidRPr="00FD1D33">
        <w:t xml:space="preserve"> im Zusammenspiel mit </w:t>
      </w:r>
      <w:proofErr w:type="spellStart"/>
      <w:r w:rsidR="00FD1D33" w:rsidRPr="00FD1D33">
        <w:t>TortoiseGit</w:t>
      </w:r>
      <w:proofErr w:type="spellEnd"/>
      <w:r w:rsidR="00FD1D33" w:rsidRPr="00FD1D33">
        <w:t xml:space="preserve"> und </w:t>
      </w:r>
      <w:proofErr w:type="spellStart"/>
      <w:r w:rsidRPr="00FD1D33">
        <w:t>GitLab</w:t>
      </w:r>
      <w:proofErr w:type="spellEnd"/>
      <w:r w:rsidR="00BD3180" w:rsidRPr="00FD1D33">
        <w:t xml:space="preserve"> als Versionskontrollsystem</w:t>
      </w:r>
      <w:bookmarkEnd w:id="36"/>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7" w:name="_Toc508102836"/>
      <w:proofErr w:type="spellStart"/>
      <w:r>
        <w:lastRenderedPageBreak/>
        <w:t>Testing</w:t>
      </w:r>
      <w:proofErr w:type="spellEnd"/>
      <w:r>
        <w:t xml:space="preserve"> mit </w:t>
      </w:r>
      <w:r w:rsidR="0067337F">
        <w:t>Unit Tests</w:t>
      </w:r>
      <w:bookmarkEnd w:id="37"/>
    </w:p>
    <w:p w:rsidR="00BA4065" w:rsidRDefault="00BA4065" w:rsidP="00BA4065">
      <w:r>
        <w:t xml:space="preserve">Das </w:t>
      </w:r>
      <w:proofErr w:type="spellStart"/>
      <w:r w:rsidRPr="00BA4065">
        <w:rPr>
          <w:i/>
        </w:rPr>
        <w:t>Testing</w:t>
      </w:r>
      <w:proofErr w:type="spellEnd"/>
      <w: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Pr>
          <w:i/>
        </w:rPr>
        <w:t>Build</w:t>
      </w:r>
      <w:proofErr w:type="spellEnd"/>
      <w:r>
        <w:rPr>
          <w:i/>
        </w:rPr>
        <w:t>-</w:t>
      </w:r>
      <w:r>
        <w:t>Vorgang überprüfen.</w:t>
      </w:r>
    </w:p>
    <w:p w:rsidR="00BA4065" w:rsidRPr="00BA4065" w:rsidRDefault="00BA4065" w:rsidP="00BA4065">
      <w:r>
        <w:t xml:space="preserve">Die zukünftige Vision, die Diagnosetoolkette von Daimler mit CI weiter zu entwickeln, setzt also ein hohes Maß an Testbarkeit voraus. Dazu gehören dann Ebenso kleinere Tests   </w:t>
      </w:r>
    </w:p>
    <w:p w:rsidR="0067337F" w:rsidRDefault="0067337F" w:rsidP="0067337F">
      <w:pPr>
        <w:pStyle w:val="berschrift3"/>
      </w:pPr>
      <w:bookmarkStart w:id="38" w:name="_Toc508102837"/>
      <w:r>
        <w:t>Luigi</w:t>
      </w:r>
      <w:bookmarkEnd w:id="38"/>
    </w:p>
    <w:p w:rsidR="0067337F" w:rsidRPr="0067337F" w:rsidRDefault="0067337F" w:rsidP="0067337F"/>
    <w:p w:rsidR="00284FA6" w:rsidRDefault="006B77EF">
      <w:pPr>
        <w:pStyle w:val="berschrift1"/>
        <w:numPr>
          <w:ilvl w:val="0"/>
          <w:numId w:val="0"/>
        </w:numPr>
      </w:pPr>
      <w:bookmarkStart w:id="39" w:name="_Toc508102838"/>
      <w:r>
        <w:lastRenderedPageBreak/>
        <w:t>Quellen</w:t>
      </w:r>
      <w:r w:rsidR="00284FA6">
        <w:t>verzeichnis</w:t>
      </w:r>
      <w:bookmarkEnd w:id="39"/>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and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t>
      </w:r>
      <w:proofErr w:type="spellStart"/>
      <w:r>
        <w:t>What</w:t>
      </w:r>
      <w:proofErr w:type="spellEnd"/>
      <w:r>
        <w:t xml:space="preserve"> </w:t>
      </w:r>
      <w:proofErr w:type="spellStart"/>
      <w:r>
        <w:t>is</w:t>
      </w:r>
      <w:proofErr w:type="spellEnd"/>
      <w:r>
        <w:t xml:space="preserve"> Python? Executive Summary.</w:t>
      </w:r>
    </w:p>
    <w:p w:rsidR="00600040" w:rsidRDefault="00A23604" w:rsidP="00E12D6D">
      <w:pPr>
        <w:pStyle w:val="Literaturverzeichnis"/>
      </w:pPr>
      <w:hyperlink r:id="rId14" w:history="1">
        <w:r w:rsidR="00600040" w:rsidRPr="00600040">
          <w:rPr>
            <w:rStyle w:val="Hyperlink"/>
            <w:color w:val="auto"/>
            <w:u w:val="none"/>
          </w:rPr>
          <w:t>https://www.python.org/doc/essays/blurb/</w:t>
        </w:r>
      </w:hyperlink>
      <w:r w:rsidR="00600040">
        <w:t xml:space="preserve"> (5. März 2018)</w:t>
      </w:r>
    </w:p>
    <w:p w:rsidR="00B07F7F" w:rsidRPr="00B07F7F" w:rsidRDefault="00B07F7F" w:rsidP="00E12D6D">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w:t>
      </w:r>
      <w:proofErr w:type="spellStart"/>
      <w:r>
        <w:t>Conda</w:t>
      </w:r>
      <w:proofErr w:type="spellEnd"/>
      <w:r>
        <w:t>“</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B07F7F" w:rsidRPr="00BD1B03" w:rsidRDefault="00B07F7F"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17"/>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604" w:rsidRDefault="00A23604">
      <w:pPr>
        <w:spacing w:before="0" w:line="240" w:lineRule="auto"/>
      </w:pPr>
      <w:r>
        <w:separator/>
      </w:r>
    </w:p>
  </w:endnote>
  <w:endnote w:type="continuationSeparator" w:id="0">
    <w:p w:rsidR="00A23604" w:rsidRDefault="00A236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604" w:rsidRDefault="00A23604">
      <w:pPr>
        <w:spacing w:before="0" w:line="240" w:lineRule="auto"/>
      </w:pPr>
      <w:r>
        <w:separator/>
      </w:r>
    </w:p>
  </w:footnote>
  <w:footnote w:type="continuationSeparator" w:id="0">
    <w:p w:rsidR="00A23604" w:rsidRDefault="00A23604">
      <w:pPr>
        <w:spacing w:before="0" w:line="240" w:lineRule="auto"/>
      </w:pPr>
      <w:r>
        <w:continuationSeparator/>
      </w:r>
    </w:p>
  </w:footnote>
  <w:footnote w:id="1">
    <w:p w:rsidR="00E12D6D" w:rsidRDefault="00E12D6D">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12D6D" w:rsidRDefault="00E12D6D">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12D6D" w:rsidRDefault="00E12D6D">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12D6D" w:rsidRDefault="00E12D6D">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12D6D" w:rsidRPr="00437B31" w:rsidRDefault="00E12D6D">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12D6D" w:rsidRDefault="00E12D6D"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12D6D" w:rsidRDefault="00E12D6D"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12D6D" w:rsidRDefault="00E12D6D"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12D6D" w:rsidRPr="00927A38" w:rsidRDefault="00E12D6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12D6D" w:rsidRPr="00880804" w:rsidRDefault="00E12D6D"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12D6D" w:rsidRDefault="00E12D6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6D" w:rsidRDefault="00E12D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79FC"/>
    <w:rsid w:val="00080B9A"/>
    <w:rsid w:val="0008655A"/>
    <w:rsid w:val="00097B2B"/>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2021EA"/>
    <w:rsid w:val="00207A15"/>
    <w:rsid w:val="00215A84"/>
    <w:rsid w:val="0026112F"/>
    <w:rsid w:val="00264169"/>
    <w:rsid w:val="002713DA"/>
    <w:rsid w:val="00282EF0"/>
    <w:rsid w:val="00284FA6"/>
    <w:rsid w:val="0029179A"/>
    <w:rsid w:val="00292903"/>
    <w:rsid w:val="0029592F"/>
    <w:rsid w:val="002B4E0C"/>
    <w:rsid w:val="002C0D9B"/>
    <w:rsid w:val="002C14FF"/>
    <w:rsid w:val="002C38E9"/>
    <w:rsid w:val="002E6E9E"/>
    <w:rsid w:val="00307D2A"/>
    <w:rsid w:val="00320274"/>
    <w:rsid w:val="00340216"/>
    <w:rsid w:val="0034082B"/>
    <w:rsid w:val="003419D7"/>
    <w:rsid w:val="003508A4"/>
    <w:rsid w:val="003729B6"/>
    <w:rsid w:val="00376DCD"/>
    <w:rsid w:val="003C65E6"/>
    <w:rsid w:val="003D174D"/>
    <w:rsid w:val="003E0256"/>
    <w:rsid w:val="003E11CA"/>
    <w:rsid w:val="003F6E7B"/>
    <w:rsid w:val="004071F4"/>
    <w:rsid w:val="00407AD4"/>
    <w:rsid w:val="00437B31"/>
    <w:rsid w:val="00440D21"/>
    <w:rsid w:val="00444503"/>
    <w:rsid w:val="00460FB4"/>
    <w:rsid w:val="004678BE"/>
    <w:rsid w:val="004A1FA2"/>
    <w:rsid w:val="004C3F63"/>
    <w:rsid w:val="004E12AE"/>
    <w:rsid w:val="0050681F"/>
    <w:rsid w:val="00514E85"/>
    <w:rsid w:val="00517784"/>
    <w:rsid w:val="0053717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4A06"/>
    <w:rsid w:val="008752C2"/>
    <w:rsid w:val="00880804"/>
    <w:rsid w:val="00894433"/>
    <w:rsid w:val="008A105A"/>
    <w:rsid w:val="008A424C"/>
    <w:rsid w:val="008C33CA"/>
    <w:rsid w:val="008C44B0"/>
    <w:rsid w:val="008E2D3A"/>
    <w:rsid w:val="008E3AAB"/>
    <w:rsid w:val="008E678B"/>
    <w:rsid w:val="008F6BAA"/>
    <w:rsid w:val="00900854"/>
    <w:rsid w:val="009141F9"/>
    <w:rsid w:val="00927A38"/>
    <w:rsid w:val="00945982"/>
    <w:rsid w:val="00967BCF"/>
    <w:rsid w:val="00973818"/>
    <w:rsid w:val="009D5459"/>
    <w:rsid w:val="00A17980"/>
    <w:rsid w:val="00A20DEF"/>
    <w:rsid w:val="00A23604"/>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571F7"/>
    <w:rsid w:val="00B6721B"/>
    <w:rsid w:val="00B92130"/>
    <w:rsid w:val="00BA1564"/>
    <w:rsid w:val="00BA20A8"/>
    <w:rsid w:val="00BA4065"/>
    <w:rsid w:val="00BA7590"/>
    <w:rsid w:val="00BC3599"/>
    <w:rsid w:val="00BD1B03"/>
    <w:rsid w:val="00BD3180"/>
    <w:rsid w:val="00BD4145"/>
    <w:rsid w:val="00BF0354"/>
    <w:rsid w:val="00BF7EB9"/>
    <w:rsid w:val="00C24E59"/>
    <w:rsid w:val="00C31972"/>
    <w:rsid w:val="00C33387"/>
    <w:rsid w:val="00C35F46"/>
    <w:rsid w:val="00C51B83"/>
    <w:rsid w:val="00C60B25"/>
    <w:rsid w:val="00C969F6"/>
    <w:rsid w:val="00C96CDF"/>
    <w:rsid w:val="00CA3051"/>
    <w:rsid w:val="00CE011F"/>
    <w:rsid w:val="00CE4589"/>
    <w:rsid w:val="00CE73C2"/>
    <w:rsid w:val="00CF403D"/>
    <w:rsid w:val="00D11665"/>
    <w:rsid w:val="00D16BAE"/>
    <w:rsid w:val="00D24CE8"/>
    <w:rsid w:val="00D317C1"/>
    <w:rsid w:val="00D73480"/>
    <w:rsid w:val="00DA291D"/>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B4970"/>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16BC4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d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4EDC2-C775-4FAF-A493-9E1921AD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6051</Words>
  <Characters>38128</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76</cp:revision>
  <cp:lastPrinted>2011-10-23T20:42:00Z</cp:lastPrinted>
  <dcterms:created xsi:type="dcterms:W3CDTF">2011-09-21T18:30:00Z</dcterms:created>
  <dcterms:modified xsi:type="dcterms:W3CDTF">2018-03-06T12:20:00Z</dcterms:modified>
</cp:coreProperties>
</file>