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A82" w:rsidRPr="00BF0354" w:rsidRDefault="00C43A8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43A82" w:rsidRPr="00BF0354" w:rsidRDefault="00C43A8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A82" w:rsidRDefault="00C43A82" w:rsidP="00BF7EB9">
                            <w:pPr>
                              <w:pStyle w:val="Untertitel"/>
                              <w:rPr>
                                <w:b/>
                              </w:rPr>
                            </w:pPr>
                            <w:r w:rsidRPr="00111AC6">
                              <w:rPr>
                                <w:b/>
                              </w:rPr>
                              <w:t>Bachelorarbeit</w:t>
                            </w:r>
                          </w:p>
                          <w:p w:rsidR="00C43A82" w:rsidRPr="00BF0354" w:rsidRDefault="00C43A82" w:rsidP="00BF7EB9">
                            <w:pPr>
                              <w:pStyle w:val="Untertitel"/>
                            </w:pPr>
                            <w:r w:rsidRPr="00BF0354">
                              <w:t>im Studiengang</w:t>
                            </w:r>
                            <w:r w:rsidRPr="00BF0354">
                              <w:br/>
                            </w:r>
                            <w:r>
                              <w:t>Medieninformatik</w:t>
                            </w:r>
                          </w:p>
                          <w:p w:rsidR="00C43A82" w:rsidRDefault="00C43A82" w:rsidP="005D26BD">
                            <w:pPr>
                              <w:pStyle w:val="Untertitel"/>
                            </w:pPr>
                            <w:r>
                              <w:t>vorgelegt von</w:t>
                            </w:r>
                          </w:p>
                          <w:p w:rsidR="00C43A82" w:rsidRDefault="00C43A82" w:rsidP="00BA7590">
                            <w:pPr>
                              <w:pStyle w:val="Untertitel"/>
                            </w:pPr>
                            <w:r>
                              <w:rPr>
                                <w:b/>
                              </w:rPr>
                              <w:t>Malte Leon Lohrer</w:t>
                            </w:r>
                            <w:r>
                              <w:rPr>
                                <w:b/>
                              </w:rPr>
                              <w:br/>
                            </w:r>
                            <w:r>
                              <w:t>Matr.-Nr.: 27399</w:t>
                            </w:r>
                          </w:p>
                          <w:p w:rsidR="00C43A82" w:rsidRPr="00BA7590" w:rsidRDefault="00C43A82"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43A82" w:rsidRDefault="00C43A82" w:rsidP="00BF7EB9">
                      <w:pPr>
                        <w:pStyle w:val="Untertitel"/>
                        <w:rPr>
                          <w:b/>
                        </w:rPr>
                      </w:pPr>
                      <w:r w:rsidRPr="00111AC6">
                        <w:rPr>
                          <w:b/>
                        </w:rPr>
                        <w:t>Bachelorarbeit</w:t>
                      </w:r>
                    </w:p>
                    <w:p w:rsidR="00C43A82" w:rsidRPr="00BF0354" w:rsidRDefault="00C43A82" w:rsidP="00BF7EB9">
                      <w:pPr>
                        <w:pStyle w:val="Untertitel"/>
                      </w:pPr>
                      <w:r w:rsidRPr="00BF0354">
                        <w:t>im Studiengang</w:t>
                      </w:r>
                      <w:r w:rsidRPr="00BF0354">
                        <w:br/>
                      </w:r>
                      <w:r>
                        <w:t>Medieninformatik</w:t>
                      </w:r>
                    </w:p>
                    <w:p w:rsidR="00C43A82" w:rsidRDefault="00C43A82" w:rsidP="005D26BD">
                      <w:pPr>
                        <w:pStyle w:val="Untertitel"/>
                      </w:pPr>
                      <w:r>
                        <w:t>vorgelegt von</w:t>
                      </w:r>
                    </w:p>
                    <w:p w:rsidR="00C43A82" w:rsidRDefault="00C43A82" w:rsidP="00BA7590">
                      <w:pPr>
                        <w:pStyle w:val="Untertitel"/>
                      </w:pPr>
                      <w:r>
                        <w:rPr>
                          <w:b/>
                        </w:rPr>
                        <w:t>Malte Leon Lohrer</w:t>
                      </w:r>
                      <w:r>
                        <w:rPr>
                          <w:b/>
                        </w:rPr>
                        <w:br/>
                      </w:r>
                      <w:r>
                        <w:t>Matr.-Nr.: 27399</w:t>
                      </w:r>
                    </w:p>
                    <w:p w:rsidR="00C43A82" w:rsidRPr="00BA7590" w:rsidRDefault="00C43A82"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A82" w:rsidRPr="00BF0354" w:rsidRDefault="00C43A82"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43A82" w:rsidRPr="00BF0354" w:rsidRDefault="00C43A82"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705772"/>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Default="00FA4AD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_Toc508705800 \h </w:instrText>
      </w:r>
      <w:r>
        <w:fldChar w:fldCharType="separate"/>
      </w:r>
      <w:r>
        <w:t>29</w:t>
      </w:r>
      <w:r>
        <w:fldChar w:fldCharType="end"/>
      </w:r>
    </w:p>
    <w:p w:rsidR="00FA4AD9" w:rsidRDefault="00FA4AD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Luigi</w:t>
      </w:r>
      <w:r>
        <w:tab/>
      </w:r>
      <w:r>
        <w:fldChar w:fldCharType="begin"/>
      </w:r>
      <w:r>
        <w:instrText xml:space="preserve"> PAGEREF _Toc508705801 \h </w:instrText>
      </w:r>
      <w:r>
        <w:fldChar w:fldCharType="separate"/>
      </w:r>
      <w: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Monaco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705787"/>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43A82" w:rsidRPr="00E16EBE" w:rsidRDefault="00C43A82"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43A82" w:rsidRPr="00E16EBE" w:rsidRDefault="00C43A82"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705790"/>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705791"/>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705792"/>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705797"/>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705798"/>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705799"/>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863D1B" w:rsidRDefault="00863D1B" w:rsidP="00863D1B">
      <w:pPr>
        <w:pStyle w:val="berschrift3"/>
      </w:pPr>
      <w:r>
        <w:lastRenderedPageBreak/>
        <w:t>GUI automatisierung mit pywinauto</w:t>
      </w:r>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4" w:name="_Toc508705801"/>
      <w:r>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lastRenderedPageBreak/>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lastRenderedPageBreak/>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bookmarkStart w:id="35" w:name="_Toc508705802"/>
      <w:r>
        <w:t>Wichtige</w:t>
      </w:r>
      <w:r w:rsidR="00BC2977">
        <w:t xml:space="preserve"> Datenstrukturen</w:t>
      </w:r>
      <w:bookmarkEnd w:id="35"/>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gedacht, wobei hier und im Folgen</w:t>
      </w:r>
      <w:r w:rsidR="00870030">
        <w:lastRenderedPageBreak/>
        <w:t xml:space="preserve">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6" w:name="_Toc508705803"/>
      <w:r>
        <w:t>Das automatisierte Testen des Diagnosetools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7" w:name="_Toc508705804"/>
      <w:r>
        <w:t>Das Erstellen</w:t>
      </w:r>
      <w:r w:rsidR="00C00212">
        <w:t xml:space="preserve"> der Basis-Verzeichnisse</w:t>
      </w:r>
      <w:bookmarkEnd w:id="37"/>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8" w:name="_Toc508705805"/>
      <w:r>
        <w:t>Das Einloggen in das Diagnose</w:t>
      </w:r>
      <w:r w:rsidR="002D00BB">
        <w:t>p</w:t>
      </w:r>
      <w:r>
        <w:t>ortal</w:t>
      </w:r>
      <w:bookmarkEnd w:id="38"/>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bookmarkStart w:id="39" w:name="_Toc508705806"/>
      <w:r>
        <w:t xml:space="preserve">Das downloaden </w:t>
      </w:r>
      <w:r w:rsidR="00285D4D">
        <w:t xml:space="preserve">und parsen </w:t>
      </w:r>
      <w:r>
        <w:t>der Metaview</w:t>
      </w:r>
      <w:bookmarkEnd w:id="39"/>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0" w:name="_Toc508705807"/>
      <w:r w:rsidR="00C00212">
        <w:t xml:space="preserve">Das Erstellen der </w:t>
      </w:r>
      <w:r w:rsidR="00624411">
        <w:t>ECU Verzeichnisse innerhalb des Working Directorys</w:t>
      </w:r>
      <w:bookmarkEnd w:id="40"/>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Pr="00624411">
        <w:rPr>
          <w:i/>
        </w:rPr>
        <w:t>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1" w:name="_Toc508705808"/>
      <w:r>
        <w:t>Download der Diagnosedateien aus dem Diagnoseportal</w:t>
      </w:r>
      <w:bookmarkEnd w:id="41"/>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A(luigi.Task):</w:t>
      </w:r>
    </w:p>
    <w:p w:rsidR="008A4BAB" w:rsidRPr="008A4BAB" w:rsidRDefault="008A4BAB" w:rsidP="008A4BAB">
      <w:pPr>
        <w:ind w:left="357"/>
        <w:rPr>
          <w:rFonts w:ascii="Courier New" w:hAnsi="Courier New" w:cs="Courier New"/>
          <w:sz w:val="20"/>
        </w:rPr>
      </w:pPr>
      <w:r w:rsidRPr="008A4BAB">
        <w:rPr>
          <w:rFonts w:ascii="Courier New" w:hAnsi="Courier New" w:cs="Courier New"/>
          <w:sz w:val="20"/>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8A4BAB" w:rsidRDefault="006F34EA" w:rsidP="008A4BAB">
      <w:pPr>
        <w:ind w:left="714"/>
        <w:rPr>
          <w:rFonts w:ascii="Courier New" w:hAnsi="Courier New" w:cs="Courier New"/>
          <w:sz w:val="20"/>
        </w:rPr>
      </w:pPr>
      <w:r>
        <w:rPr>
          <w:rFonts w:ascii="Courier New" w:hAnsi="Courier New" w:cs="Courier New"/>
          <w:sz w:val="20"/>
        </w:rPr>
        <w:t>Task_B</w:t>
      </w:r>
      <w:r w:rsidR="008A4BAB">
        <w:rPr>
          <w:rFonts w:ascii="Courier New" w:hAnsi="Courier New" w:cs="Courier New"/>
          <w:sz w:val="20"/>
        </w:rPr>
        <w:t>_liste</w:t>
      </w:r>
      <w:r w:rsidR="008A4BAB" w:rsidRPr="008A4BAB">
        <w:rPr>
          <w:rFonts w:ascii="Courier New" w:hAnsi="Courier New" w:cs="Courier New"/>
          <w:sz w:val="20"/>
        </w:rPr>
        <w:t xml:space="preserve"> = [</w:t>
      </w:r>
      <w:r>
        <w:rPr>
          <w:rFonts w:ascii="Courier New" w:hAnsi="Courier New" w:cs="Courier New"/>
          <w:sz w:val="20"/>
        </w:rPr>
        <w:t>Task_B</w:t>
      </w:r>
      <w:r w:rsidR="008A4BAB" w:rsidRPr="008A4BAB">
        <w:rPr>
          <w:rFonts w:ascii="Courier New" w:hAnsi="Courier New" w:cs="Courier New"/>
          <w:sz w:val="20"/>
        </w:rPr>
        <w:t>(ecu) for ecu in ecu_liste]</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Pr="00DE1F57">
        <w:rPr>
          <w:i/>
          <w:szCs w:val="24"/>
        </w:rPr>
        <w:t>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der ODX- bzw. PDX-</w:t>
      </w:r>
      <w:r w:rsidR="00BB55F4">
        <w:rPr>
          <w:szCs w:val="24"/>
        </w:rPr>
        <w:lastRenderedPageBreak/>
        <w:t xml:space="preserve">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BB55F4" w:rsidP="00BB55F4">
      <w:pPr>
        <w:pStyle w:val="berschrift3"/>
      </w:pPr>
      <w:bookmarkStart w:id="42" w:name="_Toc508705809"/>
      <w:r>
        <w:t>Monaco automatisiert Starten</w:t>
      </w:r>
      <w:bookmarkEnd w:id="42"/>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Tool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Pr="00863D1B">
        <w:rPr>
          <w:i/>
        </w:rPr>
        <w:t>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sucht. Sollte diese Hilfsfunktion eine entsprechende Anwendung finden, bedeutet das, dass Monaco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B54D55" w:rsidRPr="00B54D55">
        <w:rPr>
          <w:i/>
        </w:rPr>
        <w:t>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Monaco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C06F9C" w:rsidRDefault="00C06F9C" w:rsidP="000957D2">
      <w:pPr>
        <w:rPr>
          <w:rFonts w:ascii="Courier New" w:hAnsi="Courier New" w:cs="Courier New"/>
          <w:sz w:val="22"/>
          <w:szCs w:val="22"/>
        </w:rPr>
      </w:pPr>
      <w:r w:rsidRPr="00C06F9C">
        <w:rPr>
          <w:rFonts w:ascii="Courier New" w:hAnsi="Courier New" w:cs="Courier New"/>
          <w:sz w:val="22"/>
          <w:szCs w:val="22"/>
        </w:rPr>
        <w:t>Warning_dialog_window</w:t>
      </w:r>
      <w:r>
        <w:rPr>
          <w:rFonts w:ascii="Courier New" w:hAnsi="Courier New" w:cs="Courier New"/>
          <w:sz w:val="22"/>
          <w:szCs w:val="22"/>
        </w:rPr>
        <w:t xml:space="preserve"> </w:t>
      </w:r>
      <w:r w:rsidRPr="00C06F9C">
        <w:rPr>
          <w:rFonts w:ascii="Courier New" w:hAnsi="Courier New" w:cs="Courier New"/>
          <w:sz w:val="22"/>
          <w:szCs w:val="22"/>
        </w:rPr>
        <w:t>=</w:t>
      </w:r>
      <w:r>
        <w:rPr>
          <w:rFonts w:ascii="Courier New" w:hAnsi="Courier New" w:cs="Courier New"/>
          <w:sz w:val="22"/>
          <w:szCs w:val="22"/>
        </w:rPr>
        <w:t xml:space="preserve"> </w:t>
      </w:r>
      <w:r w:rsidRPr="00C06F9C">
        <w:rPr>
          <w:rFonts w:ascii="Courier New" w:hAnsi="Courier New" w:cs="Courier New"/>
          <w:sz w:val="22"/>
          <w:szCs w:val="22"/>
        </w:rPr>
        <w:t>application.window(title=“Warning-Tit</w:t>
      </w:r>
      <w:r>
        <w:rPr>
          <w:rFonts w:ascii="Courier New" w:hAnsi="Courier New" w:cs="Courier New"/>
          <w:sz w:val="22"/>
          <w:szCs w:val="22"/>
        </w:rPr>
        <w:t>le</w:t>
      </w:r>
      <w:r w:rsidRPr="00C06F9C">
        <w:rPr>
          <w:rFonts w:ascii="Courier New" w:hAnsi="Courier New" w:cs="Courier New"/>
          <w:sz w:val="22"/>
          <w:szCs w:val="22"/>
        </w:rPr>
        <w:t>“)</w:t>
      </w:r>
    </w:p>
    <w:p w:rsidR="000957D2" w:rsidRDefault="00C06F9C" w:rsidP="000957D2">
      <w:r>
        <w:lastRenderedPageBreak/>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r>
        <w:t>Die</w:t>
      </w:r>
      <w:r w:rsidR="00D129AF">
        <w:t xml:space="preserve"> PDX-Datei </w:t>
      </w:r>
      <w:r>
        <w:t>E</w:t>
      </w:r>
      <w:r w:rsidR="00D129AF">
        <w:t>ntpacken</w:t>
      </w:r>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r>
        <w:lastRenderedPageBreak/>
        <w:t>Informationen aus der ODX-Datei herausziehen</w:t>
      </w:r>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r>
        <w:t>Die Simulationsdatei mit den richtigen Daten Befüllen</w:t>
      </w:r>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Pr="00BD7E93">
        <w:rPr>
          <w:i/>
        </w:rPr>
        <w:t>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Der Wert dieser Variablen wird dann in die entsprechenden Stel</w:t>
      </w:r>
      <w:r w:rsidR="007B2F3C">
        <w:lastRenderedPageBreak/>
        <w:t xml:space="preserve">len 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7B2F3C" w:rsidRDefault="007B2F3C" w:rsidP="00BD7E93">
      <w:pPr>
        <w:rPr>
          <w:rFonts w:ascii="Courier New" w:hAnsi="Courier New" w:cs="Courier New"/>
          <w:sz w:val="22"/>
          <w:szCs w:val="22"/>
        </w:rPr>
      </w:pPr>
      <w:r w:rsidRPr="007B2F3C">
        <w:rPr>
          <w:rFonts w:ascii="Courier New" w:hAnsi="Courier New" w:cs="Courier New"/>
          <w:sz w:val="22"/>
          <w:szCs w:val="22"/>
        </w:rPr>
        <w:t>Sim_Baum.find('Pfad/zum/Knoten</w:t>
      </w:r>
      <w:r w:rsidRPr="007B2F3C">
        <w:t xml:space="preserve"> </w:t>
      </w:r>
      <w:r w:rsidRPr="007B2F3C">
        <w:rPr>
          <w:rFonts w:ascii="Courier New" w:hAnsi="Courier New" w:cs="Courier New"/>
          <w:sz w:val="22"/>
          <w:szCs w:val="22"/>
        </w:rPr>
        <w:t>').text = Variablenwer</w:t>
      </w:r>
      <w:r>
        <w:rPr>
          <w:rFonts w:ascii="Courier New" w:hAnsi="Courier New" w:cs="Courier New"/>
          <w:sz w:val="22"/>
          <w:szCs w:val="22"/>
        </w:rPr>
        <w:t>t</w:t>
      </w:r>
    </w:p>
    <w:p w:rsidR="00A30E54" w:rsidRDefault="00B30733" w:rsidP="00B30733">
      <w:pPr>
        <w:pStyle w:val="berschrift3"/>
      </w:pPr>
      <w:r>
        <w:t xml:space="preserve"> Die SMR-D-Datei </w:t>
      </w:r>
      <w:r w:rsidR="00847801">
        <w:t>in das dbr-Verzeichnis von Monaco kopieren</w:t>
      </w:r>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Pr="00847801">
        <w:rPr>
          <w:i/>
        </w:rPr>
        <w:t>Monaco</w:t>
      </w:r>
      <w:r>
        <w:rPr>
          <w:i/>
        </w:rPr>
        <w:t xml:space="preserve"> </w:t>
      </w:r>
      <w:r>
        <w:t xml:space="preserve">geschoben. Damit eine Simulation überhaupt ablaufen kann muss in diesem Ordner 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Start der Simulation</w:t>
      </w:r>
    </w:p>
    <w:p w:rsidR="000E2BF9" w:rsidRDefault="00847801" w:rsidP="00847801">
      <w:r>
        <w:t xml:space="preserve">Nachdem nun die Simulations-Datei mit den richtigen Daten befüllt wurde, die SMR-D-Datei im dbr-Verzeichnis von </w:t>
      </w:r>
      <w:r w:rsidRPr="00847801">
        <w:rPr>
          <w:i/>
        </w:rPr>
        <w:t>Monaco</w:t>
      </w:r>
      <w:r>
        <w:rPr>
          <w:i/>
        </w:rPr>
        <w:t xml:space="preserve"> </w:t>
      </w:r>
      <w:r>
        <w:t>liegt und Monaco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972BB3" w:rsidRPr="00972BB3">
        <w:rPr>
          <w:i/>
        </w:rPr>
        <w:t>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972BB3" w:rsidRPr="00972BB3">
        <w:rPr>
          <w:i/>
        </w:rPr>
        <w:t>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dem Prinzip, welches in Kapitel 4.2.6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w:t>
      </w:r>
      <w:r w:rsidR="003E267D">
        <w:lastRenderedPageBreak/>
        <w:t xml:space="preserve">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r>
        <w:t>Schließen des Monaco Workspaces</w:t>
      </w:r>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Monaco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Der Vergleich der Kurztestergebnisse mit den Vorgaben der Simulation</w:t>
      </w:r>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B63610" w:rsidRPr="00B63610">
        <w:rPr>
          <w:i/>
        </w:rPr>
        <w:t>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Pr="00B63610">
        <w:rPr>
          <w:i/>
        </w:rPr>
        <w:t>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lastRenderedPageBreak/>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4F74A0" w:rsidRDefault="004F74A0" w:rsidP="000B4FF5">
      <w:pPr>
        <w:rPr>
          <w:rFonts w:ascii="Courier New" w:hAnsi="Courier New" w:cs="Courier New"/>
        </w:rPr>
      </w:pPr>
      <w:r w:rsidRPr="004F74A0">
        <w:rPr>
          <w:rFonts w:ascii="Courier New" w:hAnsi="Courier New" w:cs="Courier New"/>
        </w:rPr>
        <w:t>Check = (Simulations_dictionary == report_output_dictionary)</w:t>
      </w:r>
    </w:p>
    <w:p w:rsidR="004F74A0" w:rsidRPr="00F12B44"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bookmarkStart w:id="43" w:name="_GoBack"/>
      <w:bookmarkEnd w:id="43"/>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2F8" w:rsidRDefault="00E902F8">
      <w:pPr>
        <w:spacing w:before="0" w:line="240" w:lineRule="auto"/>
      </w:pPr>
      <w:r>
        <w:separator/>
      </w:r>
    </w:p>
  </w:endnote>
  <w:endnote w:type="continuationSeparator" w:id="0">
    <w:p w:rsidR="00E902F8" w:rsidRDefault="00E902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2F8" w:rsidRDefault="00E902F8">
      <w:pPr>
        <w:spacing w:before="0" w:line="240" w:lineRule="auto"/>
      </w:pPr>
      <w:r>
        <w:separator/>
      </w:r>
    </w:p>
  </w:footnote>
  <w:footnote w:type="continuationSeparator" w:id="0">
    <w:p w:rsidR="00E902F8" w:rsidRDefault="00E902F8">
      <w:pPr>
        <w:spacing w:before="0" w:line="240" w:lineRule="auto"/>
      </w:pPr>
      <w:r>
        <w:continuationSeparator/>
      </w:r>
    </w:p>
  </w:footnote>
  <w:footnote w:id="1">
    <w:p w:rsidR="00C43A82" w:rsidRDefault="00C43A82">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C43A82" w:rsidRDefault="00C43A82">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43A82" w:rsidRDefault="00C43A82">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43A82" w:rsidRDefault="00C43A82">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43A82" w:rsidRPr="00437B31" w:rsidRDefault="00C43A82">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C43A82" w:rsidRDefault="00C43A82"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43A82" w:rsidRDefault="00C43A82"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C43A82" w:rsidRDefault="00C43A82"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C43A82" w:rsidRPr="00927A38" w:rsidRDefault="00C43A82"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43A82" w:rsidRPr="00880804" w:rsidRDefault="00C43A82"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43A82" w:rsidRDefault="00C43A82">
      <w:pPr>
        <w:pStyle w:val="Funotentext"/>
      </w:pPr>
    </w:p>
  </w:footnote>
  <w:footnote w:id="11">
    <w:p w:rsidR="00C43A82" w:rsidRPr="00BB7A47" w:rsidRDefault="00C43A82">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43A82" w:rsidRPr="002D4B33" w:rsidRDefault="00C43A82">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43A82" w:rsidRPr="002D4B33" w:rsidRDefault="00C43A82">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C43A82" w:rsidRPr="003F0BA5" w:rsidRDefault="00C43A82">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C43A82" w:rsidRDefault="00C43A82">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538A"/>
    <w:rsid w:val="0019585B"/>
    <w:rsid w:val="00196362"/>
    <w:rsid w:val="001970DA"/>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40216"/>
    <w:rsid w:val="0034082B"/>
    <w:rsid w:val="003419D7"/>
    <w:rsid w:val="003508A4"/>
    <w:rsid w:val="003729B6"/>
    <w:rsid w:val="00376DCD"/>
    <w:rsid w:val="00390FBC"/>
    <w:rsid w:val="003C65E6"/>
    <w:rsid w:val="003D0167"/>
    <w:rsid w:val="003D174D"/>
    <w:rsid w:val="003E0256"/>
    <w:rsid w:val="003E11CA"/>
    <w:rsid w:val="003E267D"/>
    <w:rsid w:val="003F0BA5"/>
    <w:rsid w:val="003F6E7B"/>
    <w:rsid w:val="004071F4"/>
    <w:rsid w:val="00407AD4"/>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50B2"/>
    <w:rsid w:val="00DD727A"/>
    <w:rsid w:val="00DE1F57"/>
    <w:rsid w:val="00DE1FB1"/>
    <w:rsid w:val="00DE60B6"/>
    <w:rsid w:val="00E016C0"/>
    <w:rsid w:val="00E043C0"/>
    <w:rsid w:val="00E114C0"/>
    <w:rsid w:val="00E12D6D"/>
    <w:rsid w:val="00E30123"/>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AAFE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8AC13-B6FD-42CC-B7E0-53CB982E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12167</Words>
  <Characters>76659</Characters>
  <Application>Microsoft Office Word</Application>
  <DocSecurity>0</DocSecurity>
  <Lines>638</Lines>
  <Paragraphs>177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129</cp:revision>
  <cp:lastPrinted>2011-10-23T20:42:00Z</cp:lastPrinted>
  <dcterms:created xsi:type="dcterms:W3CDTF">2011-09-21T18:30:00Z</dcterms:created>
  <dcterms:modified xsi:type="dcterms:W3CDTF">2018-03-14T12:07:00Z</dcterms:modified>
</cp:coreProperties>
</file>