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F67558" w:rsidRDefault="00F67558">
      <w:pPr>
        <w:tabs>
          <w:tab w:val="left" w:pos="1440"/>
        </w:tabs>
      </w:pPr>
      <w:r>
        <w:t>VCS</w:t>
      </w:r>
      <w:r>
        <w:tab/>
        <w:t>Version control system (Deutsch: Versionskontrollsystem)</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503136"/>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Das Konzept der Continuous Integration</w:t>
      </w:r>
      <w:bookmarkEnd w:id="18"/>
      <w:r w:rsidR="002E6E9E">
        <w:t xml:space="preserve"> und deren Vorteile</w:t>
      </w:r>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w:t>
      </w:r>
      <w:r w:rsidR="00E30123">
        <w:rPr>
          <w:rStyle w:val="Funotenzeichen"/>
        </w:rPr>
        <w:footnoteReference w:id="1"/>
      </w:r>
      <w:r w:rsidR="00C35F46">
        <w:t xml:space="preserve"> nötig sind, abgelegt werden.</w:t>
      </w:r>
    </w:p>
    <w:p w:rsidR="002B4E0C" w:rsidRDefault="002B4E0C" w:rsidP="00D16BAE">
      <w:pPr>
        <w:pStyle w:val="berschrift3"/>
      </w:pPr>
      <w:bookmarkStart w:id="20" w:name="_Toc507503139"/>
      <w:r>
        <w:t>Automatisierter Build</w:t>
      </w:r>
      <w:bookmarkEnd w:id="2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503140"/>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503141"/>
      <w:r>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503142"/>
      <w:r>
        <w:t xml:space="preserve">Builds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lastRenderedPageBreak/>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2"/>
      </w:r>
      <w:r w:rsidR="008E3AAB">
        <w:t xml:space="preserve"> hinzufügt, bzw. einen sogenannten </w:t>
      </w:r>
      <w:r w:rsidR="008E3AAB" w:rsidRPr="008E3AAB">
        <w:rPr>
          <w:i/>
        </w:rPr>
        <w:t>commit</w:t>
      </w:r>
      <w:r w:rsidR="008E3AAB">
        <w:rPr>
          <w:rStyle w:val="Funotenzeichen"/>
        </w:rPr>
        <w:footnoteReference w:id="3"/>
      </w:r>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3E0256" w:rsidP="003E0256">
      <w:pPr>
        <w:pStyle w:val="Abbildung"/>
      </w:pPr>
      <w:r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r w:rsidR="00C96CDF">
        <w:t xml:space="preserve">Abbildung </w:t>
      </w:r>
      <w:r w:rsidR="008F7F88">
        <w:fldChar w:fldCharType="begin"/>
      </w:r>
      <w:r w:rsidR="008F7F88">
        <w:instrText xml:space="preserve"> SEQ Abbildung \* ARABIC </w:instrText>
      </w:r>
      <w:r w:rsidR="008F7F88">
        <w:fldChar w:fldCharType="separate"/>
      </w:r>
      <w:r w:rsidR="00C96CDF">
        <w:rPr>
          <w:noProof/>
        </w:rPr>
        <w:t>1</w:t>
      </w:r>
      <w:r w:rsidR="008F7F88">
        <w:rPr>
          <w:noProof/>
        </w:rPr>
        <w:fldChar w:fldCharType="end"/>
      </w:r>
      <w:r w:rsidR="00C96CDF">
        <w:t xml:space="preserve">: </w:t>
      </w:r>
      <w:r w:rsidR="00C96CDF" w:rsidRPr="00E02910">
        <w:t>Ablauf der Kontinuierlichen Integration (CI), Quelle: Dr. Simon Wiest "Continous Integration mit Hudson" (2010: 14)</w:t>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w:t>
      </w:r>
      <w:r w:rsidR="00DA291D">
        <w:lastRenderedPageBreak/>
        <w:t>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7503143"/>
      <w:r>
        <w:t>Schnelle Build-Zyklen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Kent Beck (XXX) gibt einen Zeitaufwand von 10 Minuten für einen build als guten Richtwert an. In der Realität 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kann man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(vgl.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7503144"/>
      <w:r>
        <w:lastRenderedPageBreak/>
        <w:t>Tests in gespiegelter Produktionsumgebung</w:t>
      </w:r>
      <w:bookmarkEnd w:id="25"/>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Auf diese Weise kann man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Hierbei werden gewünschte Hardwarekonfigurationen über das Internet bereitgestellt und müssen somit nicht neu gekauft werden. Wenn man ganze Sys</w:t>
      </w:r>
      <w:r w:rsidR="00460FB4">
        <w:lastRenderedPageBreak/>
        <w:t xml:space="preserve">teme bzw. Umgebungen über diesen Service bereitgestellt bekommen spricht man auch 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man diesen Service allerdings nur für einen absehbaren Zeitraum in Anspruch nimmt,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7503145"/>
      <w:r>
        <w:t>Einfacher Zugriff auf Build-Ergebnisse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7503146"/>
      <w:r>
        <w:t>Automatisierte Berichte</w:t>
      </w:r>
      <w:bookmarkEnd w:id="27"/>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(vgl. Wiest 2010: 41).</w:t>
      </w:r>
    </w:p>
    <w:p w:rsidR="00C51B83" w:rsidRDefault="00C51B83" w:rsidP="00C51B83">
      <w:pPr>
        <w:pStyle w:val="berschrift3"/>
      </w:pPr>
      <w:bookmarkStart w:id="28" w:name="_Toc507503147"/>
      <w:r>
        <w:t xml:space="preserve"> </w:t>
      </w:r>
      <w:r w:rsidR="002B4E0C">
        <w:t>Automatisierte Verteilung</w:t>
      </w:r>
      <w:bookmarkEnd w:id="28"/>
    </w:p>
    <w:p w:rsidR="00C51B83" w:rsidRDefault="00C51B83" w:rsidP="00C51B83">
      <w:r>
        <w:t xml:space="preserve">Im letzten Schritt kann sich ein CI-System selbst noch um das verteilen eines Produktes kümmern. Man spricht hierbei von </w:t>
      </w:r>
      <w:r w:rsidRPr="00C51B83">
        <w:rPr>
          <w:i/>
        </w:rPr>
        <w:t>continuous deployment</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w:t>
      </w:r>
      <w:r w:rsidR="00CE4589">
        <w:lastRenderedPageBreak/>
        <w:t xml:space="preserv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ist man durch ein CI-System stets in der Lage die Ausbringung einer Neuen Software Version rückgängig zu machen, indem man einfach einen </w:t>
      </w:r>
      <w:r w:rsidR="00182CA4" w:rsidRPr="00437B31">
        <w:rPr>
          <w:i/>
        </w:rPr>
        <w:t>Roll-back</w:t>
      </w:r>
      <w:r>
        <w:t xml:space="preserve"> auf einen älteren Stand vollzieht. </w:t>
      </w:r>
      <w:r w:rsidR="00CE4589">
        <w:t>Von diesem älteren Stand ist bereits bekannt, dass er fehlerfrei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lastRenderedPageBreak/>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(vgl. Wiest 2010: 38) zu einer Verzögerung des gesamten Projektzeitplans kommen, weil Entwickler auf die Ergebnisse der Builds warten müssen.</w:t>
      </w:r>
    </w:p>
    <w:p w:rsidR="002E6E9E" w:rsidRDefault="002E6E9E" w:rsidP="002E6E9E"/>
    <w:p w:rsidR="002E6E9E" w:rsidRDefault="00444503" w:rsidP="002E6E9E">
      <w:r>
        <w:t>Die überwiegende Mehrheit der Nachteile, welche die Continuous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7F74E4" w:rsidRDefault="007F74E4" w:rsidP="007F74E4">
      <w:pPr>
        <w:pStyle w:val="berschrift2"/>
      </w:pPr>
      <w:r>
        <w:t>Python</w:t>
      </w:r>
    </w:p>
    <w:p w:rsidR="003D7AB6" w:rsidRDefault="007F74E4" w:rsidP="007F74E4">
      <w:r>
        <w:t xml:space="preserve">Der gesamte Source-Code wurde in mithilfe der Programmiersprache </w:t>
      </w:r>
      <w:r w:rsidRPr="007F74E4">
        <w:rPr>
          <w:i/>
        </w:rPr>
        <w:t>Python</w:t>
      </w:r>
      <w:r>
        <w:t xml:space="preserve"> geschrieben.</w:t>
      </w:r>
      <w:r w:rsidR="003D7AB6">
        <w:t xml:space="preserve"> Python ist eine interpretierte, objektorientierte Programmiersprache mit der sich im vergleich zu anderen Programmiersprachen deutlich schneller Ergebnisse erzielen lassen.</w:t>
      </w:r>
    </w:p>
    <w:p w:rsidR="007F74E4" w:rsidRPr="003D7AB6" w:rsidRDefault="003D7AB6" w:rsidP="007F74E4">
      <w:r>
        <w:t xml:space="preserve">Eine Interpretierte Programmiersprache hat den Vorteil, dass sie schneller ausgeführt werden kann. Sie wird nicht erst durch einen </w:t>
      </w:r>
      <w:r w:rsidRPr="003D7AB6">
        <w:rPr>
          <w:i/>
        </w:rPr>
        <w:t>Compiler</w:t>
      </w:r>
      <w:r>
        <w:rPr>
          <w:rStyle w:val="Funotenzeichen"/>
        </w:rPr>
        <w:footnoteReference w:id="6"/>
      </w:r>
      <w:r>
        <w:rPr>
          <w:i/>
        </w:rPr>
        <w:t xml:space="preserve"> </w:t>
      </w:r>
      <w:r>
        <w:t xml:space="preserve">kompiliert und dadurch in eine für die jeweilige Plattform ausführbare Datei übersetzt sondernd direkt von einem </w:t>
      </w:r>
      <w:r w:rsidRPr="003D7AB6">
        <w:rPr>
          <w:i/>
        </w:rPr>
        <w:t>Interpreter</w:t>
      </w:r>
      <w:r>
        <w:rPr>
          <w:rStyle w:val="Funotenzeichen"/>
        </w:rPr>
        <w:footnoteReference w:id="7"/>
      </w:r>
      <w:r>
        <w:t xml:space="preserve">analysiert und ausgeführt. Das spart Zeit beim Ausführen, bringt allerdings auch die Gefahr mit sich, dass </w:t>
      </w:r>
      <w:r w:rsidR="006E7F9B">
        <w:t xml:space="preserve">zur Laufzeit Fehler auftreten können, welche beim Entwickeln mit einer anderen Programmiersprache wie z.B. mit Java spätestens beim Kompilieren aufgefallen wären. Der Interpreter unterstützt den Entwickler allerdings ausreichend bei der Fehlersuche, indem er eine </w:t>
      </w:r>
      <w:r w:rsidR="006E7F9B" w:rsidRPr="006E7F9B">
        <w:rPr>
          <w:i/>
        </w:rPr>
        <w:t>Ex</w:t>
      </w:r>
      <w:r w:rsidR="006E7F9B">
        <w:rPr>
          <w:i/>
        </w:rPr>
        <w:t>c</w:t>
      </w:r>
      <w:r w:rsidR="006E7F9B" w:rsidRPr="006E7F9B">
        <w:rPr>
          <w:i/>
        </w:rPr>
        <w:t>eption</w:t>
      </w:r>
      <w:r w:rsidR="006E7F9B">
        <w:rPr>
          <w:rStyle w:val="Funotenzeichen"/>
        </w:rPr>
        <w:footnoteReference w:id="8"/>
      </w:r>
      <w:bookmarkStart w:id="29" w:name="_GoBack"/>
      <w:bookmarkEnd w:id="29"/>
    </w:p>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BD1B03">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BD1B03">
      <w:pPr>
        <w:pStyle w:val="Literaturverzeichnis"/>
      </w:pPr>
      <w:r w:rsidRPr="00BD1B03">
        <w:rPr>
          <w:b/>
        </w:rPr>
        <w:t>Martin Fowler</w:t>
      </w:r>
      <w:r w:rsidRPr="00BD1B03">
        <w:t xml:space="preserve"> (2006): Continuous Integration. </w:t>
      </w:r>
      <w:r w:rsidR="007B0E7C" w:rsidRPr="00BD1B03">
        <w:t xml:space="preserve">https://www.martinfowler.com/articles/continuousIntegration.html </w:t>
      </w:r>
      <w:r w:rsidR="002C38E9" w:rsidRPr="00BD1B03">
        <w:t>(23. Februar 2018)</w:t>
      </w:r>
    </w:p>
    <w:p w:rsidR="002C38E9" w:rsidRPr="00BD1B03" w:rsidRDefault="002C38E9" w:rsidP="00BD1B03">
      <w:pPr>
        <w:pStyle w:val="Literaturverzeichnis"/>
      </w:pPr>
      <w:r w:rsidRPr="00BD1B03">
        <w:rPr>
          <w:b/>
        </w:rPr>
        <w:t>Wikipedia, Die freie Enzyklopädie</w:t>
      </w:r>
      <w:r w:rsidRPr="00BD1B03">
        <w:t xml:space="preserve"> (21. Juni 2017): Seite „Repository“. </w:t>
      </w:r>
      <w:hyperlink r:id="rId9"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BD1B03">
      <w:pPr>
        <w:pStyle w:val="Literaturverzeichnis"/>
      </w:pPr>
      <w:r w:rsidRPr="00BD1B03">
        <w:rPr>
          <w:b/>
        </w:rPr>
        <w:t>Wikipedia, Die freie Enzyklopädie</w:t>
      </w:r>
      <w:r w:rsidRPr="00BD1B03">
        <w:t xml:space="preserve"> (18. August 2015): Seite „Commit“. </w:t>
      </w:r>
      <w:hyperlink r:id="rId10" w:history="1">
        <w:r w:rsidRPr="00BD1B03">
          <w:rPr>
            <w:rStyle w:val="Hyperlink"/>
            <w:color w:val="auto"/>
            <w:u w:val="none"/>
          </w:rPr>
          <w:t>https://de.wikipedia.org/w/index.php?title=Commit&amp;oldid=145145351</w:t>
        </w:r>
      </w:hyperlink>
      <w:r w:rsidRPr="00BD1B03">
        <w:t> (26. Februar 2018)</w:t>
      </w:r>
    </w:p>
    <w:p w:rsidR="00BD4145" w:rsidRPr="00BD1B03" w:rsidRDefault="00537179" w:rsidP="00BD1B03">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Pr="00BD1B03" w:rsidRDefault="00BD4145" w:rsidP="00BD1B03">
      <w:pPr>
        <w:pStyle w:val="Literaturverzeichnis"/>
      </w:pPr>
      <w:r w:rsidRPr="00BD1B03">
        <w:rPr>
          <w:b/>
        </w:rPr>
        <w:t>Wikipedia, Die freie Enzyklopädie</w:t>
      </w:r>
      <w:r w:rsidRPr="00BD1B03">
        <w:t xml:space="preserve"> (1. Februar 2018): Seite „Cloud Computing“. </w:t>
      </w:r>
      <w:hyperlink r:id="rId11" w:history="1">
        <w:r w:rsidRPr="00BD1B03">
          <w:rPr>
            <w:rStyle w:val="Hyperlink"/>
            <w:color w:val="auto"/>
            <w:u w:val="none"/>
          </w:rPr>
          <w:t>https://de.wikipedia.org/w/index.php?title=Cloud_Computing&amp;oldid=173573628</w:t>
        </w:r>
      </w:hyperlink>
      <w:r w:rsidRPr="00BD1B03">
        <w:t> (27. Februar 2018)</w:t>
      </w:r>
    </w:p>
    <w:p w:rsidR="008E3AAB" w:rsidRPr="00BD4145" w:rsidRDefault="008E3AAB" w:rsidP="002C38E9">
      <w:pPr>
        <w:pStyle w:val="Literaturverzeichnis"/>
        <w:rPr>
          <w:rFonts w:ascii="Arial" w:hAnsi="Arial" w:cs="Arial"/>
          <w:color w:val="222222"/>
          <w:sz w:val="21"/>
          <w:szCs w:val="21"/>
          <w:shd w:val="clear" w:color="auto" w:fill="F7F7F7"/>
        </w:rPr>
      </w:pPr>
    </w:p>
    <w:sectPr w:rsidR="008E3AAB" w:rsidRPr="00BD4145" w:rsidSect="00831D99">
      <w:headerReference w:type="first" r:id="rId12"/>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F88" w:rsidRDefault="008F7F88">
      <w:pPr>
        <w:spacing w:before="0" w:line="240" w:lineRule="auto"/>
      </w:pPr>
      <w:r>
        <w:separator/>
      </w:r>
    </w:p>
  </w:endnote>
  <w:endnote w:type="continuationSeparator" w:id="0">
    <w:p w:rsidR="008F7F88" w:rsidRDefault="008F7F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F88" w:rsidRDefault="008F7F88">
      <w:pPr>
        <w:spacing w:before="0" w:line="240" w:lineRule="auto"/>
      </w:pPr>
      <w:r>
        <w:separator/>
      </w:r>
    </w:p>
  </w:footnote>
  <w:footnote w:type="continuationSeparator" w:id="0">
    <w:p w:rsidR="008F7F88" w:rsidRDefault="008F7F88">
      <w:pPr>
        <w:spacing w:before="0" w:line="240" w:lineRule="auto"/>
      </w:pPr>
      <w:r>
        <w:continuationSeparator/>
      </w:r>
    </w:p>
  </w:footnote>
  <w:footnote w:id="1">
    <w:p w:rsidR="00E30123" w:rsidRPr="00E30123" w:rsidRDefault="00E30123">
      <w:pPr>
        <w:pStyle w:val="Funotentext"/>
      </w:pPr>
      <w:r>
        <w:rPr>
          <w:rStyle w:val="Funotenzeichen"/>
        </w:rPr>
        <w:footnoteRef/>
      </w:r>
      <w:r>
        <w:t xml:space="preserve"> Als ein </w:t>
      </w:r>
      <w:r w:rsidRPr="00E30123">
        <w:rPr>
          <w:i/>
        </w:rPr>
        <w:t>Build</w:t>
      </w:r>
      <w:r>
        <w:rPr>
          <w:i/>
        </w:rPr>
        <w:t xml:space="preserve"> </w:t>
      </w:r>
      <w:r>
        <w:t xml:space="preserve">bezeichnet man einen fertig gebauten Stand einer Software. Das heißt, dass zumindest der Sourcecode dieser Software kompiliert und anschließend getestet sein muss. </w:t>
      </w:r>
    </w:p>
  </w:footnote>
  <w:footnote w:id="2">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3">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 w:id="4">
    <w:p w:rsidR="00FE1959" w:rsidRDefault="00FE1959">
      <w:pPr>
        <w:pStyle w:val="Funotentext"/>
      </w:pPr>
      <w:r>
        <w:rPr>
          <w:rStyle w:val="Funotenzeichen"/>
        </w:rPr>
        <w:footnoteRef/>
      </w:r>
      <w:r>
        <w:t xml:space="preserve"> „Cloud-Computing beschreibt die Bereitstellung von IT-Infrastruktur [</w:t>
      </w:r>
      <w:r w:rsidR="00C31972">
        <w:t>…</w:t>
      </w:r>
      <w:r>
        <w:t xml:space="preserve">] über das Internet“ (Wikipedia </w:t>
      </w:r>
      <w:r w:rsidR="00702C20">
        <w:t>01. Februar</w:t>
      </w:r>
      <w:r>
        <w:t xml:space="preserve"> </w:t>
      </w:r>
      <w:r w:rsidR="00702C20">
        <w:t>2018</w:t>
      </w:r>
      <w:r>
        <w:t>, Seite „</w:t>
      </w:r>
      <w:r w:rsidR="00702C20">
        <w:t>Cloud Computing</w:t>
      </w:r>
      <w:r>
        <w:t>“)</w:t>
      </w:r>
    </w:p>
  </w:footnote>
  <w:footnote w:id="5">
    <w:p w:rsidR="00437B31" w:rsidRPr="00437B31" w:rsidRDefault="00437B31">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3D7AB6" w:rsidRDefault="003D7AB6">
      <w:pPr>
        <w:pStyle w:val="Funotentext"/>
      </w:pPr>
      <w:r>
        <w:rPr>
          <w:rStyle w:val="Funotenzeichen"/>
        </w:rPr>
        <w:footnoteRef/>
      </w:r>
      <w:r>
        <w:t xml:space="preserve"> Ein Compiler ist ein Computerprogramm, welches Quellcode in eine für die auszuführende Plattform lesbare Form übersetzt, sodass diese Plattform den Code schneller ausführen kann. (Wiki nachschauen)</w:t>
      </w:r>
    </w:p>
  </w:footnote>
  <w:footnote w:id="7">
    <w:p w:rsidR="003D7AB6" w:rsidRDefault="003D7AB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6E7F9B" w:rsidRDefault="006E7F9B">
      <w:pPr>
        <w:pStyle w:val="Funotentext"/>
      </w:pPr>
      <w:r>
        <w:rPr>
          <w:rStyle w:val="Funotenzeichen"/>
        </w:rPr>
        <w:footnoteRef/>
      </w:r>
      <w:r>
        <w:t xml:space="preserve"> Eine Exception signalisiert, dass es bei der Ausführung von Quellcode zu einem Fehler kam. Das Programm wird normalerweise an dieser Stelle abgebrochen, außer eine Exception wird vom Entwickler ausdrücklich erwartet und ignoriert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7"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6"/>
  </w:num>
  <w:num w:numId="16">
    <w:abstractNumId w:val="18"/>
  </w:num>
  <w:num w:numId="17">
    <w:abstractNumId w:val="14"/>
  </w:num>
  <w:num w:numId="18">
    <w:abstractNumId w:val="35"/>
  </w:num>
  <w:num w:numId="19">
    <w:abstractNumId w:val="34"/>
  </w:num>
  <w:num w:numId="20">
    <w:abstractNumId w:val="15"/>
  </w:num>
  <w:num w:numId="21">
    <w:abstractNumId w:val="12"/>
  </w:num>
  <w:num w:numId="22">
    <w:abstractNumId w:val="30"/>
  </w:num>
  <w:num w:numId="23">
    <w:abstractNumId w:val="38"/>
  </w:num>
  <w:num w:numId="24">
    <w:abstractNumId w:val="36"/>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3"/>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7"/>
  </w:num>
  <w:num w:numId="41">
    <w:abstractNumId w:val="17"/>
  </w:num>
  <w:num w:numId="42">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308A1"/>
    <w:rsid w:val="0003242D"/>
    <w:rsid w:val="00080B9A"/>
    <w:rsid w:val="00097B2B"/>
    <w:rsid w:val="000D03E1"/>
    <w:rsid w:val="00111AC6"/>
    <w:rsid w:val="001145B7"/>
    <w:rsid w:val="001153F5"/>
    <w:rsid w:val="00151F46"/>
    <w:rsid w:val="00182CA4"/>
    <w:rsid w:val="0019585B"/>
    <w:rsid w:val="001E3D25"/>
    <w:rsid w:val="001E7F0B"/>
    <w:rsid w:val="001F0A1B"/>
    <w:rsid w:val="001F2DCF"/>
    <w:rsid w:val="002021EA"/>
    <w:rsid w:val="0026112F"/>
    <w:rsid w:val="00264169"/>
    <w:rsid w:val="002713DA"/>
    <w:rsid w:val="00284FA6"/>
    <w:rsid w:val="0029179A"/>
    <w:rsid w:val="0029592F"/>
    <w:rsid w:val="002B4E0C"/>
    <w:rsid w:val="002C0D9B"/>
    <w:rsid w:val="002C14FF"/>
    <w:rsid w:val="002C38E9"/>
    <w:rsid w:val="002E6E9E"/>
    <w:rsid w:val="00307D2A"/>
    <w:rsid w:val="00326FB5"/>
    <w:rsid w:val="00340216"/>
    <w:rsid w:val="003419D7"/>
    <w:rsid w:val="003508A4"/>
    <w:rsid w:val="00376DCD"/>
    <w:rsid w:val="003D174D"/>
    <w:rsid w:val="003D7AB6"/>
    <w:rsid w:val="003E0256"/>
    <w:rsid w:val="003E11CA"/>
    <w:rsid w:val="003F6E7B"/>
    <w:rsid w:val="00437B31"/>
    <w:rsid w:val="00440D21"/>
    <w:rsid w:val="00444503"/>
    <w:rsid w:val="004463D6"/>
    <w:rsid w:val="00460FB4"/>
    <w:rsid w:val="004678BE"/>
    <w:rsid w:val="004A1FA2"/>
    <w:rsid w:val="004E12AE"/>
    <w:rsid w:val="00514E85"/>
    <w:rsid w:val="00517784"/>
    <w:rsid w:val="00537179"/>
    <w:rsid w:val="00555732"/>
    <w:rsid w:val="00555AF3"/>
    <w:rsid w:val="00556530"/>
    <w:rsid w:val="00572D0F"/>
    <w:rsid w:val="00583AA1"/>
    <w:rsid w:val="005921A2"/>
    <w:rsid w:val="005A6F92"/>
    <w:rsid w:val="005D26BD"/>
    <w:rsid w:val="005F7915"/>
    <w:rsid w:val="00627289"/>
    <w:rsid w:val="0066763B"/>
    <w:rsid w:val="006B77EF"/>
    <w:rsid w:val="006C62FC"/>
    <w:rsid w:val="006D040D"/>
    <w:rsid w:val="006D45A1"/>
    <w:rsid w:val="006E7126"/>
    <w:rsid w:val="006E736E"/>
    <w:rsid w:val="006E7F9B"/>
    <w:rsid w:val="00702C20"/>
    <w:rsid w:val="007035C5"/>
    <w:rsid w:val="00710D92"/>
    <w:rsid w:val="007206C2"/>
    <w:rsid w:val="00752089"/>
    <w:rsid w:val="007648E0"/>
    <w:rsid w:val="007A060E"/>
    <w:rsid w:val="007B0E7C"/>
    <w:rsid w:val="007D231F"/>
    <w:rsid w:val="007D2548"/>
    <w:rsid w:val="007D3976"/>
    <w:rsid w:val="007F74E4"/>
    <w:rsid w:val="00805892"/>
    <w:rsid w:val="00824316"/>
    <w:rsid w:val="00831D99"/>
    <w:rsid w:val="00836A3D"/>
    <w:rsid w:val="00862DDF"/>
    <w:rsid w:val="008722CD"/>
    <w:rsid w:val="00874A06"/>
    <w:rsid w:val="008752C2"/>
    <w:rsid w:val="00894433"/>
    <w:rsid w:val="008A105A"/>
    <w:rsid w:val="008A424C"/>
    <w:rsid w:val="008C33CA"/>
    <w:rsid w:val="008C44B0"/>
    <w:rsid w:val="008E3AAB"/>
    <w:rsid w:val="008F6BAA"/>
    <w:rsid w:val="008F7F88"/>
    <w:rsid w:val="00900854"/>
    <w:rsid w:val="00945982"/>
    <w:rsid w:val="00967BCF"/>
    <w:rsid w:val="009D5459"/>
    <w:rsid w:val="00A17980"/>
    <w:rsid w:val="00A20DEF"/>
    <w:rsid w:val="00A35092"/>
    <w:rsid w:val="00A5114A"/>
    <w:rsid w:val="00AA7141"/>
    <w:rsid w:val="00AB1ABC"/>
    <w:rsid w:val="00AC08F5"/>
    <w:rsid w:val="00AD07B6"/>
    <w:rsid w:val="00AE1C36"/>
    <w:rsid w:val="00AF49BC"/>
    <w:rsid w:val="00B1362C"/>
    <w:rsid w:val="00B33C63"/>
    <w:rsid w:val="00B47993"/>
    <w:rsid w:val="00B6721B"/>
    <w:rsid w:val="00B92130"/>
    <w:rsid w:val="00BA1564"/>
    <w:rsid w:val="00BA20A8"/>
    <w:rsid w:val="00BA7590"/>
    <w:rsid w:val="00BD1B03"/>
    <w:rsid w:val="00BD4145"/>
    <w:rsid w:val="00BF0354"/>
    <w:rsid w:val="00BF7EB9"/>
    <w:rsid w:val="00C24E59"/>
    <w:rsid w:val="00C31972"/>
    <w:rsid w:val="00C33387"/>
    <w:rsid w:val="00C35F46"/>
    <w:rsid w:val="00C51B83"/>
    <w:rsid w:val="00C969F6"/>
    <w:rsid w:val="00C96CDF"/>
    <w:rsid w:val="00CA3051"/>
    <w:rsid w:val="00CE4589"/>
    <w:rsid w:val="00CE73C2"/>
    <w:rsid w:val="00D11665"/>
    <w:rsid w:val="00D16BAE"/>
    <w:rsid w:val="00D317C1"/>
    <w:rsid w:val="00DA291D"/>
    <w:rsid w:val="00DE1FB1"/>
    <w:rsid w:val="00E016C0"/>
    <w:rsid w:val="00E114C0"/>
    <w:rsid w:val="00E30123"/>
    <w:rsid w:val="00E50A11"/>
    <w:rsid w:val="00E60ADE"/>
    <w:rsid w:val="00E85A0A"/>
    <w:rsid w:val="00E871A2"/>
    <w:rsid w:val="00E91075"/>
    <w:rsid w:val="00EB2F98"/>
    <w:rsid w:val="00EC35C4"/>
    <w:rsid w:val="00F17231"/>
    <w:rsid w:val="00F30BCD"/>
    <w:rsid w:val="00F67558"/>
    <w:rsid w:val="00F969DC"/>
    <w:rsid w:val="00FA207B"/>
    <w:rsid w:val="00FA244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6548"/>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Cloud_Computing&amp;oldid=173573628" TargetMode="External"/><Relationship Id="rId5" Type="http://schemas.openxmlformats.org/officeDocument/2006/relationships/webSettings" Target="webSettings.xml"/><Relationship Id="rId10"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hyperlink" Target="https://de.wikipedia.org/w/index.php?title=Repository&amp;oldid=166597004"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A43E7-0ED0-4F8D-888A-F5C94C36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3773</Words>
  <Characters>23773</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57</cp:revision>
  <cp:lastPrinted>2011-10-23T20:42:00Z</cp:lastPrinted>
  <dcterms:created xsi:type="dcterms:W3CDTF">2011-09-21T18:30:00Z</dcterms:created>
  <dcterms:modified xsi:type="dcterms:W3CDTF">2018-03-02T13:57:00Z</dcterms:modified>
</cp:coreProperties>
</file>