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proofErr w:type="spellStart"/>
      <w:r>
        <w:t>Continuous</w:t>
      </w:r>
      <w:proofErr w:type="spellEnd"/>
      <w:r>
        <w:t xml:space="preserve"> Integration</w:t>
      </w:r>
    </w:p>
    <w:p w:rsidR="004A1FA2" w:rsidRDefault="004A1FA2">
      <w:pPr>
        <w:tabs>
          <w:tab w:val="left" w:pos="1440"/>
        </w:tabs>
      </w:pPr>
      <w:r>
        <w:t xml:space="preserve">GUI </w:t>
      </w:r>
      <w:r>
        <w:tab/>
      </w:r>
      <w:proofErr w:type="spellStart"/>
      <w:r>
        <w:t>Graphical</w:t>
      </w:r>
      <w:proofErr w:type="spellEnd"/>
      <w:r>
        <w:t xml:space="preserve"> User Interface (</w:t>
      </w:r>
      <w:r w:rsidR="00BA20A8">
        <w:t>Deutsch: Grafische Benutzeroberfläche)</w:t>
      </w:r>
    </w:p>
    <w:p w:rsidR="00F67558" w:rsidRDefault="00F67558">
      <w:pPr>
        <w:tabs>
          <w:tab w:val="left" w:pos="1440"/>
        </w:tabs>
      </w:pPr>
      <w:r>
        <w:t>VCS</w:t>
      </w:r>
      <w:r>
        <w:tab/>
        <w:t xml:space="preserve">Version </w:t>
      </w:r>
      <w:proofErr w:type="spellStart"/>
      <w:r>
        <w:t>control</w:t>
      </w:r>
      <w:proofErr w:type="spellEnd"/>
      <w:r>
        <w:t xml:space="preserve"> </w:t>
      </w:r>
      <w:proofErr w:type="spellStart"/>
      <w:r>
        <w:t>system</w:t>
      </w:r>
      <w:proofErr w:type="spellEnd"/>
      <w:r>
        <w:t xml:space="preserve"> (Deutsch: Versionskontrollsystem)</w:t>
      </w:r>
    </w:p>
    <w:p w:rsidR="00284FA6" w:rsidRDefault="00284FA6">
      <w:pPr>
        <w:tabs>
          <w:tab w:val="left" w:pos="1440"/>
        </w:tabs>
      </w:pPr>
      <w:proofErr w:type="spellStart"/>
      <w:r>
        <w:t>HdM</w:t>
      </w:r>
      <w:proofErr w:type="spellEnd"/>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503136"/>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 xml:space="preserve">Das Konzept der </w:t>
      </w:r>
      <w:proofErr w:type="spellStart"/>
      <w:r>
        <w:t>Continuous</w:t>
      </w:r>
      <w:proofErr w:type="spellEnd"/>
      <w:r>
        <w:t xml:space="preserve"> Integration</w:t>
      </w:r>
      <w:bookmarkEnd w:id="18"/>
      <w:r w:rsidR="002E6E9E">
        <w:t xml:space="preserve"> und deren Vorteile</w:t>
      </w:r>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w:t>
      </w:r>
      <w:proofErr w:type="spellStart"/>
      <w:r w:rsidR="00B07F7F">
        <w:t xml:space="preserve">Git </w:t>
      </w:r>
      <w:proofErr w:type="spellEnd"/>
      <w:r w:rsidR="00B07F7F">
        <w:t>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w:t>
      </w:r>
      <w:r w:rsidR="00973818">
        <w:t>Es ist dann die Rede</w:t>
      </w:r>
      <w:r w:rsidR="005D4AA7">
        <w:t xml:space="preserve">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bookmarkStart w:id="20" w:name="_Toc507503139"/>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bookmarkStart w:id="22" w:name="_GoBack"/>
      <w:bookmarkEnd w:id="22"/>
    </w:p>
    <w:p w:rsidR="00D16BAE" w:rsidRDefault="002B4E0C" w:rsidP="00517784">
      <w:pPr>
        <w:pStyle w:val="berschrift3"/>
      </w:pPr>
      <w:bookmarkStart w:id="23" w:name="_Toc507503141"/>
      <w:r>
        <w:t>Häufige Integration</w:t>
      </w:r>
      <w:bookmarkEnd w:id="23"/>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973818" w:rsidP="006C62FC">
      <w:pPr>
        <w:pStyle w:val="Listenabsatz"/>
        <w:numPr>
          <w:ilvl w:val="6"/>
          <w:numId w:val="39"/>
        </w:numPr>
        <w:ind w:left="717"/>
      </w:pPr>
      <w:r>
        <w:t>Es liegt z</w:t>
      </w:r>
      <w:r w:rsidR="00E85A0A">
        <w:t>u jedem Zeitpunkt eines Projekts einen funktionierenden Stand</w:t>
      </w:r>
      <w:r>
        <w:t xml:space="preserve"> vor</w:t>
      </w:r>
      <w:r w:rsidR="00E85A0A">
        <w:t>, auch wenn das nicht heißt, dass dieser fertig ist.</w:t>
      </w:r>
    </w:p>
    <w:p w:rsidR="00D16BAE" w:rsidRDefault="002B4E0C" w:rsidP="00EB2F98">
      <w:pPr>
        <w:pStyle w:val="berschrift3"/>
      </w:pPr>
      <w:bookmarkStart w:id="24" w:name="_Toc507503142"/>
      <w:proofErr w:type="spellStart"/>
      <w:r>
        <w:t>Builds</w:t>
      </w:r>
      <w:proofErr w:type="spellEnd"/>
      <w:r>
        <w:t xml:space="preserve"> und Tests nach jeder </w:t>
      </w:r>
      <w:r w:rsidR="00E871A2">
        <w:t>Änderung</w:t>
      </w:r>
      <w:bookmarkEnd w:id="24"/>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5" w:name="_Toc507503143"/>
      <w:r>
        <w:t xml:space="preserve">Schnelle </w:t>
      </w:r>
      <w:proofErr w:type="spellStart"/>
      <w:r>
        <w:t>Build</w:t>
      </w:r>
      <w:proofErr w:type="spellEnd"/>
      <w:r>
        <w:t>-Zyklen</w:t>
      </w:r>
      <w:bookmarkEnd w:id="2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6" w:name="_Toc507503144"/>
      <w:r>
        <w:t>Tests in gespiegelter Produktionsumgebung</w:t>
      </w:r>
      <w:bookmarkEnd w:id="26"/>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7" w:name="_Toc507503145"/>
      <w:r>
        <w:lastRenderedPageBreak/>
        <w:t xml:space="preserve">Einfacher Zugriff auf </w:t>
      </w:r>
      <w:proofErr w:type="spellStart"/>
      <w:r>
        <w:t>Build</w:t>
      </w:r>
      <w:proofErr w:type="spellEnd"/>
      <w:r>
        <w:t>-Ergebnisse</w:t>
      </w:r>
      <w:bookmarkEnd w:id="27"/>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8" w:name="_Toc507503146"/>
      <w:r>
        <w:t>Automatisierte Berichte</w:t>
      </w:r>
      <w:bookmarkEnd w:id="28"/>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bookmarkStart w:id="29" w:name="_Toc507503147"/>
      <w:r>
        <w:t xml:space="preserve"> </w:t>
      </w:r>
      <w:r w:rsidR="002B4E0C">
        <w:t>Automatisierte Verteilung</w:t>
      </w:r>
      <w:bookmarkEnd w:id="29"/>
    </w:p>
    <w:p w:rsidR="00C51B83" w:rsidRDefault="00C51B83" w:rsidP="00C51B83">
      <w:r>
        <w:t xml:space="preserve">Im letzten Schritt kann sich ein CI-System selbst noch um das verteilen eines Produktes kümmern. </w:t>
      </w:r>
      <w:r w:rsidR="00973818">
        <w:t>Es wird</w:t>
      </w:r>
      <w:r>
        <w:t xml:space="preserve">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w:t>
      </w:r>
      <w:proofErr w:type="gramStart"/>
      <w:r>
        <w:t xml:space="preserve">einen </w:t>
      </w:r>
      <w:r w:rsidR="00182CA4" w:rsidRPr="00437B31">
        <w:rPr>
          <w:i/>
        </w:rPr>
        <w:t>Roll-back</w:t>
      </w:r>
      <w:proofErr w:type="gramEnd"/>
      <w:r>
        <w:t xml:space="preserve"> auf einen älteren Stand vollzieh</w:t>
      </w:r>
      <w:r w:rsidR="00973818">
        <w:t>en</w:t>
      </w:r>
      <w:r>
        <w:t xml:space="preserve">. </w:t>
      </w:r>
      <w:r w:rsidR="00CE4589">
        <w:t>Von diesem älteren Stand ist bereits bekannt, dass er feh</w:t>
      </w:r>
      <w:r w:rsidR="00CE4589">
        <w:lastRenderedPageBreak/>
        <w:t xml:space="preserve">lerfrei läuft, da 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r>
        <w:t>Python</w:t>
      </w:r>
      <w:r w:rsidR="003729B6">
        <w:t xml:space="preserve"> als Programmiersprache</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r>
        <w:t xml:space="preserve">Die Python Distribution </w:t>
      </w:r>
      <w:proofErr w:type="spellStart"/>
      <w:r w:rsidR="00292903" w:rsidRPr="003729B6">
        <w:rPr>
          <w:i/>
        </w:rPr>
        <w:t>Anaconda</w:t>
      </w:r>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proofErr w:type="spellStart"/>
      <w:r>
        <w:t>PyCharm</w:t>
      </w:r>
      <w:proofErr w:type="spellEnd"/>
      <w:r w:rsidR="003729B6">
        <w:t xml:space="preserve"> als Entwicklungsumgebung</w:t>
      </w:r>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proofErr w:type="spellStart"/>
      <w:r w:rsidRPr="00FD1D33">
        <w:lastRenderedPageBreak/>
        <w:t>Git</w:t>
      </w:r>
      <w:proofErr w:type="spellEnd"/>
      <w:r w:rsidRPr="00FD1D33">
        <w:t xml:space="preserve"> im Zusammenspiel mit </w:t>
      </w:r>
      <w:proofErr w:type="spellStart"/>
      <w:r w:rsidR="00FD1D33" w:rsidRPr="00FD1D33">
        <w:t>TortoiseGit</w:t>
      </w:r>
      <w:proofErr w:type="spellEnd"/>
      <w:r w:rsidR="00FD1D33" w:rsidRPr="00FD1D33">
        <w:t xml:space="preserve"> und </w:t>
      </w:r>
      <w:proofErr w:type="spellStart"/>
      <w:r w:rsidRPr="00FD1D33">
        <w:t>GitLab</w:t>
      </w:r>
      <w:proofErr w:type="spellEnd"/>
      <w:r w:rsidR="00BD3180" w:rsidRPr="00FD1D33">
        <w:t xml:space="preserve"> als Versionskontrollsystem</w:t>
      </w:r>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w:t>
      </w:r>
      <w:r w:rsidR="008E2D3A">
        <w:t xml:space="preserve">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w:t>
      </w:r>
      <w:r w:rsidR="00FD1D33">
        <w:rPr>
          <w:bCs/>
        </w:rPr>
        <w:t xml:space="preserve">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0D6629">
        <w:t xml:space="preserve">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xml:space="preserve">, </w:t>
      </w:r>
      <w:r w:rsidR="000D6629">
        <w:rPr>
          <w:bCs/>
        </w:rPr>
        <w:t>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67337F" w:rsidP="00BD3180">
      <w:pPr>
        <w:pStyle w:val="berschrift3"/>
      </w:pPr>
      <w:r>
        <w:lastRenderedPageBreak/>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r>
        <w:t>.</w:t>
      </w:r>
    </w:p>
    <w:p w:rsidR="00600040" w:rsidRDefault="00600040" w:rsidP="00E12D6D">
      <w:pPr>
        <w:pStyle w:val="Literaturverzeichnis"/>
      </w:pPr>
      <w:hyperlink r:id="rId14"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w:t>
      </w:r>
      <w:r w:rsidR="008E678B">
        <w:t xml:space="preserve">. </w:t>
      </w:r>
      <w:r w:rsidR="008E678B">
        <w:t>Heidelberg</w:t>
      </w:r>
      <w:r w:rsidR="008E678B">
        <w:t>, 4. Auflage</w:t>
      </w:r>
      <w:r w:rsidR="008E678B">
        <w:t xml:space="preserve"> </w:t>
      </w:r>
      <w:proofErr w:type="spellStart"/>
      <w:proofErr w:type="gramStart"/>
      <w:r w:rsidR="008E678B">
        <w:t>dpunkt.</w:t>
      </w:r>
      <w:r w:rsidR="008E678B">
        <w:t>V</w:t>
      </w:r>
      <w:r w:rsidR="008E678B">
        <w:t>erlag</w:t>
      </w:r>
      <w:proofErr w:type="spellEnd"/>
      <w:proofErr w:type="gramEnd"/>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1F7" w:rsidRDefault="00B571F7">
      <w:pPr>
        <w:spacing w:before="0" w:line="240" w:lineRule="auto"/>
      </w:pPr>
      <w:r>
        <w:separator/>
      </w:r>
    </w:p>
  </w:endnote>
  <w:endnote w:type="continuationSeparator" w:id="0">
    <w:p w:rsidR="00B571F7" w:rsidRDefault="00B571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1F7" w:rsidRDefault="00B571F7">
      <w:pPr>
        <w:spacing w:before="0" w:line="240" w:lineRule="auto"/>
      </w:pPr>
      <w:r>
        <w:separator/>
      </w:r>
    </w:p>
  </w:footnote>
  <w:footnote w:type="continuationSeparator" w:id="0">
    <w:p w:rsidR="00B571F7" w:rsidRDefault="00B571F7">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12D6D" w:rsidRDefault="00E12D6D"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15A84"/>
    <w:rsid w:val="0026112F"/>
    <w:rsid w:val="00264169"/>
    <w:rsid w:val="002713DA"/>
    <w:rsid w:val="00282EF0"/>
    <w:rsid w:val="00284FA6"/>
    <w:rsid w:val="0029179A"/>
    <w:rsid w:val="00292903"/>
    <w:rsid w:val="0029592F"/>
    <w:rsid w:val="002B4E0C"/>
    <w:rsid w:val="002C0D9B"/>
    <w:rsid w:val="002C14FF"/>
    <w:rsid w:val="002C38E9"/>
    <w:rsid w:val="002E6E9E"/>
    <w:rsid w:val="00307D2A"/>
    <w:rsid w:val="00320274"/>
    <w:rsid w:val="00340216"/>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27A38"/>
    <w:rsid w:val="00945982"/>
    <w:rsid w:val="00967BCF"/>
    <w:rsid w:val="00973818"/>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571F7"/>
    <w:rsid w:val="00B6721B"/>
    <w:rsid w:val="00B92130"/>
    <w:rsid w:val="00BA1564"/>
    <w:rsid w:val="00BA20A8"/>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B4970"/>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7A74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73647-F56B-4C59-AC40-EF60E121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5799</Words>
  <Characters>36538</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72</cp:revision>
  <cp:lastPrinted>2011-10-23T20:42:00Z</cp:lastPrinted>
  <dcterms:created xsi:type="dcterms:W3CDTF">2011-09-21T18:30:00Z</dcterms:created>
  <dcterms:modified xsi:type="dcterms:W3CDTF">2018-03-05T15:20:00Z</dcterms:modified>
</cp:coreProperties>
</file>