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8C2A5" w14:textId="52303B1C" w:rsidR="00B653CC" w:rsidRPr="00B653CC" w:rsidRDefault="00B653CC" w:rsidP="00B653CC">
      <w:pPr>
        <w:pStyle w:val="Prrafodelista"/>
        <w:numPr>
          <w:ilvl w:val="0"/>
          <w:numId w:val="1"/>
        </w:numPr>
        <w:rPr>
          <w:b/>
          <w:bCs/>
        </w:rPr>
      </w:pPr>
      <w:r w:rsidRPr="00B653CC">
        <w:rPr>
          <w:b/>
          <w:bCs/>
        </w:rPr>
        <w:t xml:space="preserve">El problema que resuelve. </w:t>
      </w:r>
    </w:p>
    <w:p w14:paraId="48E74C0F" w14:textId="371C5843" w:rsidR="00BA349D" w:rsidRDefault="00BA349D" w:rsidP="00B653CC">
      <w:r w:rsidRPr="00BA349D">
        <w:t xml:space="preserve">Hoy el acceso a inferencia de IA de calidad depende de unas pocas corporaciones centralizadas que fijan el precio, capturan el margen de un cómputo que millones ya poseen y procesan cada </w:t>
      </w:r>
      <w:proofErr w:type="spellStart"/>
      <w:r w:rsidRPr="00BA349D">
        <w:t>prompt</w:t>
      </w:r>
      <w:proofErr w:type="spellEnd"/>
      <w:r w:rsidRPr="00BA349D">
        <w:t xml:space="preserve"> en sistemas: usarlas es un acto de fe, y no hay alternativa si cambian las reglas. </w:t>
      </w:r>
      <w:proofErr w:type="spellStart"/>
      <w:r w:rsidRPr="00BA349D">
        <w:t>PyrusLLM</w:t>
      </w:r>
      <w:proofErr w:type="spellEnd"/>
      <w:r w:rsidRPr="00BA349D">
        <w:t xml:space="preserve"> lo reemplaza por un protocolo sin dueño y verificable: </w:t>
      </w:r>
      <w:proofErr w:type="spellStart"/>
      <w:r w:rsidRPr="00BA349D">
        <w:t>cquier</w:t>
      </w:r>
      <w:proofErr w:type="spellEnd"/>
      <w:r w:rsidRPr="00BA349D">
        <w:t xml:space="preserve"> computadora o </w:t>
      </w:r>
      <w:proofErr w:type="spellStart"/>
      <w:r w:rsidRPr="00BA349D">
        <w:t>datacenter</w:t>
      </w:r>
      <w:proofErr w:type="spellEnd"/>
      <w:r w:rsidRPr="00BA349D">
        <w:t xml:space="preserve"> con cómputo ocioso se convierte en proveedor de inferencia, firma criptográficamente su manifiesto y cobra en $QVAC por cada </w:t>
      </w:r>
      <w:proofErr w:type="spellStart"/>
      <w:r w:rsidRPr="00BA349D">
        <w:t>request</w:t>
      </w:r>
      <w:proofErr w:type="spellEnd"/>
      <w:r w:rsidRPr="00BA349D">
        <w:t xml:space="preserve"> atendida vía un pago en x402</w:t>
      </w:r>
      <w:r w:rsidR="004F7848">
        <w:t>,</w:t>
      </w:r>
      <w:r w:rsidRPr="00BA349D">
        <w:t xml:space="preserve"> así el margen queda en manos de quien aporta el cómputo real. </w:t>
      </w:r>
    </w:p>
    <w:p w14:paraId="617640CB" w14:textId="65960FC1" w:rsidR="00B653CC" w:rsidRPr="00BA349D" w:rsidRDefault="00BA349D" w:rsidP="00B653CC">
      <w:r>
        <w:rPr>
          <w:b/>
          <w:bCs/>
        </w:rPr>
        <w:t>2</w:t>
      </w:r>
      <w:r w:rsidRPr="00BA349D">
        <w:rPr>
          <w:b/>
          <w:bCs/>
        </w:rPr>
        <w:t xml:space="preserve">. Público objetivo y evidencia de demanda. </w:t>
      </w:r>
      <w:r w:rsidRPr="00BA349D">
        <w:t xml:space="preserve">Del lado de la demanda: empresas y equipos que hoy dependen de un único proveedor de IA para su operación y necesitan continuidad de servicio, sin atarse a un solo origen. Del lado de la oferta: </w:t>
      </w:r>
      <w:r>
        <w:t>nodos cripto,</w:t>
      </w:r>
      <w:r w:rsidRPr="00BA349D">
        <w:t xml:space="preserve"> </w:t>
      </w:r>
      <w:r>
        <w:t xml:space="preserve">servidores, o </w:t>
      </w:r>
      <w:r w:rsidRPr="00BA349D">
        <w:t>inversores capacidad de adquirir</w:t>
      </w:r>
      <w:r>
        <w:t xml:space="preserve"> hardware para procesamiento AI</w:t>
      </w:r>
      <w:r w:rsidRPr="00BA349D">
        <w:t>, que buscan convertir ese cómputo en un activo productivo. Estamos en etapa de validación de ambos segmentos</w:t>
      </w:r>
      <w:r>
        <w:t>.</w:t>
      </w:r>
    </w:p>
    <w:p w14:paraId="629BE292" w14:textId="77777777" w:rsidR="00BA349D" w:rsidRDefault="00B653CC" w:rsidP="00B653CC">
      <w:pPr>
        <w:rPr>
          <w:b/>
          <w:bCs/>
        </w:rPr>
      </w:pPr>
      <w:r w:rsidRPr="00B653CC">
        <w:rPr>
          <w:b/>
          <w:bCs/>
        </w:rPr>
        <w:t>3. Propuesta de valor.</w:t>
      </w:r>
    </w:p>
    <w:p w14:paraId="779BFFBA" w14:textId="7721CD45" w:rsidR="00B653CC" w:rsidRDefault="0073206A" w:rsidP="00B653CC">
      <w:proofErr w:type="spellStart"/>
      <w:r w:rsidRPr="0073206A">
        <w:t>PyrusLLM</w:t>
      </w:r>
      <w:proofErr w:type="spellEnd"/>
      <w:r w:rsidRPr="0073206A">
        <w:t xml:space="preserve"> es el Airbnb del cómputo de IA: </w:t>
      </w:r>
      <w:proofErr w:type="spellStart"/>
      <w:r w:rsidRPr="0073206A">
        <w:t>instalás</w:t>
      </w:r>
      <w:proofErr w:type="spellEnd"/>
      <w:r w:rsidRPr="0073206A">
        <w:t xml:space="preserve"> un binario y tu máquina </w:t>
      </w:r>
      <w:r w:rsidR="004F7848">
        <w:t>(</w:t>
      </w:r>
      <w:r w:rsidRPr="0073206A">
        <w:t xml:space="preserve">una PC o un </w:t>
      </w:r>
      <w:proofErr w:type="spellStart"/>
      <w:r w:rsidRPr="0073206A">
        <w:t>datacenter</w:t>
      </w:r>
      <w:proofErr w:type="spellEnd"/>
      <w:r w:rsidR="004F7848">
        <w:t>)</w:t>
      </w:r>
      <w:r w:rsidRPr="0073206A">
        <w:t xml:space="preserve"> empieza a cobrar en $QVAC cada vez que alguien la usa para inferir. La diferencia con una nube centralizada es que acá no hay un operador al que haya que creerle. Toda la lógica sensible del </w:t>
      </w:r>
      <w:proofErr w:type="spellStart"/>
      <w:r w:rsidRPr="0073206A">
        <w:t>marketplace</w:t>
      </w:r>
      <w:proofErr w:type="spellEnd"/>
      <w:r w:rsidRPr="0073206A">
        <w:t xml:space="preserve"> </w:t>
      </w:r>
      <w:r w:rsidR="004F7848">
        <w:t>(</w:t>
      </w:r>
      <w:r w:rsidRPr="0073206A">
        <w:t>a qué nodo va cada pedido, cuántos tokens se consumieron, a quién y cuánto se le paga, qué reputación tiene cada proveedor</w:t>
      </w:r>
      <w:r w:rsidR="004F7848">
        <w:t xml:space="preserve">) </w:t>
      </w:r>
      <w:r w:rsidRPr="0073206A">
        <w:t xml:space="preserve">corre como un </w:t>
      </w:r>
      <w:proofErr w:type="spellStart"/>
      <w:r w:rsidRPr="0073206A">
        <w:t>job</w:t>
      </w:r>
      <w:proofErr w:type="spellEnd"/>
      <w:r w:rsidRPr="0073206A">
        <w:t xml:space="preserve"> confidencial dentro de un TEE y se liquida por lotes </w:t>
      </w:r>
      <w:proofErr w:type="spellStart"/>
      <w:r w:rsidRPr="0073206A">
        <w:t>onchain</w:t>
      </w:r>
      <w:proofErr w:type="spellEnd"/>
      <w:r w:rsidRPr="0073206A">
        <w:t xml:space="preserve">: ni siquiera nosotros podemos ver quién le pidió qué a quién, ni tocar la contabilidad a favor de nadie. Del lado del proveedor, eso significa que le pagan lo que la red registró, no lo que un intermediario diga. Del lado del usuario, que su </w:t>
      </w:r>
      <w:proofErr w:type="spellStart"/>
      <w:r w:rsidRPr="0073206A">
        <w:t>prompt</w:t>
      </w:r>
      <w:proofErr w:type="spellEnd"/>
      <w:r w:rsidRPr="0073206A">
        <w:t xml:space="preserve"> llega desacoplado de su identidad y que ningún nodo puede armar un perfil con lo que procesa. Y todo se consume desde una sola barra de chat compatible con el protocolo </w:t>
      </w:r>
      <w:proofErr w:type="spellStart"/>
      <w:r w:rsidRPr="0073206A">
        <w:t>OpenAI</w:t>
      </w:r>
      <w:proofErr w:type="spellEnd"/>
      <w:r w:rsidRPr="0073206A">
        <w:t>, eligiendo el modelo que cada tarea necesita sin saltar entre apps.</w:t>
      </w:r>
    </w:p>
    <w:p w14:paraId="5EEF663A" w14:textId="6291F04D" w:rsidR="0073206A" w:rsidRPr="0073206A" w:rsidRDefault="0073206A" w:rsidP="0073206A">
      <w:r w:rsidRPr="0073206A">
        <w:rPr>
          <w:b/>
          <w:bCs/>
        </w:rPr>
        <w:t>4. Principales desafíos actuales.</w:t>
      </w:r>
      <w:r w:rsidRPr="0073206A">
        <w:t xml:space="preserve"> El más inmediato es llevar la capa económica de simulada a real: hoy el nodo firma su manifiesto y anuncia precio y capacidad, pero la contabilidad todavía no corre como </w:t>
      </w:r>
      <w:proofErr w:type="spellStart"/>
      <w:r w:rsidRPr="0073206A">
        <w:t>job</w:t>
      </w:r>
      <w:proofErr w:type="spellEnd"/>
      <w:r w:rsidRPr="0073206A">
        <w:t xml:space="preserve"> confidencial ni liquida </w:t>
      </w:r>
      <w:proofErr w:type="spellStart"/>
      <w:r w:rsidRPr="0073206A">
        <w:t>onchain</w:t>
      </w:r>
      <w:proofErr w:type="spellEnd"/>
      <w:r>
        <w:t>,</w:t>
      </w:r>
      <w:r w:rsidRPr="0073206A">
        <w:t xml:space="preserve"> ese es exactamente el tramo que queremos construir sobre Vela, porque es lógica que necesita ejecución confidencial de verdad y no admite un operador que la administre. El segundo es la calidad verificable: un nodo declara qué modelo corre, y esa declaración hay que poder probarla</w:t>
      </w:r>
      <w:r>
        <w:t xml:space="preserve">, </w:t>
      </w:r>
      <w:r w:rsidRPr="0073206A">
        <w:t xml:space="preserve">necesitamos un </w:t>
      </w:r>
      <w:proofErr w:type="spellStart"/>
      <w:r w:rsidRPr="0073206A">
        <w:t>benchmark</w:t>
      </w:r>
      <w:proofErr w:type="spellEnd"/>
      <w:r w:rsidRPr="0073206A">
        <w:t xml:space="preserve"> de ingreso y una reputación que se actualice según desempeño real. El </w:t>
      </w:r>
      <w:r>
        <w:t>tercero</w:t>
      </w:r>
      <w:r w:rsidRPr="0073206A">
        <w:t xml:space="preserve"> es el límite que todavía no cerramos: en el momento exacto de inferir, el modelo necesita el </w:t>
      </w:r>
      <w:proofErr w:type="spellStart"/>
      <w:r w:rsidRPr="0073206A">
        <w:t>prompt</w:t>
      </w:r>
      <w:proofErr w:type="spellEnd"/>
      <w:r w:rsidRPr="0073206A">
        <w:t xml:space="preserve"> en claro en memoria, así que hoy protegemos quién lo </w:t>
      </w:r>
      <w:proofErr w:type="gramStart"/>
      <w:r w:rsidRPr="0073206A">
        <w:t>mandó</w:t>
      </w:r>
      <w:proofErr w:type="gramEnd"/>
      <w:r w:rsidRPr="0073206A">
        <w:t xml:space="preserve"> </w:t>
      </w:r>
      <w:r w:rsidRPr="0073206A">
        <w:lastRenderedPageBreak/>
        <w:t xml:space="preserve">pero no qué dice. Y el </w:t>
      </w:r>
      <w:proofErr w:type="spellStart"/>
      <w:r>
        <w:t>cuerto</w:t>
      </w:r>
      <w:proofErr w:type="spellEnd"/>
      <w:r w:rsidRPr="0073206A">
        <w:t xml:space="preserve"> no es técnico sino de mercado: arrancar los dos lados a la vez</w:t>
      </w:r>
      <w:r>
        <w:t xml:space="preserve">, </w:t>
      </w:r>
      <w:r w:rsidRPr="0073206A">
        <w:t>sin proveedores no hay servicio, sin demanda no hay incentivo para sumar hardware.</w:t>
      </w:r>
    </w:p>
    <w:p w14:paraId="2131B83B" w14:textId="77777777" w:rsidR="0073206A" w:rsidRPr="0073206A" w:rsidRDefault="0073206A" w:rsidP="0073206A">
      <w:r w:rsidRPr="0073206A">
        <w:rPr>
          <w:b/>
          <w:bCs/>
        </w:rPr>
        <w:t>5. Visión de largo plazo.</w:t>
      </w:r>
      <w:r w:rsidRPr="0073206A">
        <w:t xml:space="preserve"> Que poner una máquina a producir inferencia de IA sea tan simple y tan común como alquilar una propiedad en Airbnb: cualquiera con hardware entra al </w:t>
      </w:r>
      <w:proofErr w:type="spellStart"/>
      <w:r w:rsidRPr="0073206A">
        <w:t>marketplace</w:t>
      </w:r>
      <w:proofErr w:type="spellEnd"/>
      <w:r w:rsidRPr="0073206A">
        <w:t xml:space="preserve">, fija su capacidad y su modelo, y cobra por un cómputo que hoy pasa ocioso, con su calidad verificada y su reputación pública en vez de </w:t>
      </w:r>
      <w:proofErr w:type="spellStart"/>
      <w:r w:rsidRPr="0073206A">
        <w:t>autodeclarada</w:t>
      </w:r>
      <w:proofErr w:type="spellEnd"/>
      <w:r w:rsidRPr="0073206A">
        <w:t xml:space="preserve">. El camino de privacidad termina de cerrarse cuando la inferencia misma corra en hardware confidencial: hoy garantizamos que nadie pueda vincular un </w:t>
      </w:r>
      <w:proofErr w:type="spellStart"/>
      <w:r w:rsidRPr="0073206A">
        <w:t>prompt</w:t>
      </w:r>
      <w:proofErr w:type="spellEnd"/>
      <w:r w:rsidRPr="0073206A">
        <w:t xml:space="preserve"> con quien lo escribió, y el paso siguiente es que ni el nodo que lo procesa pueda leer su contenido. El resultado que buscamos es una red de inferencia sin dueño único, donde el precio lo fija un mercado abierto en vez de tres corporaciones, el margen queda en manos de quien aporta el cómputo real, y tanto la calidad como la privacidad se verifican en lugar de prometerse.</w:t>
      </w:r>
    </w:p>
    <w:p w14:paraId="734AC6F4" w14:textId="77777777" w:rsidR="0073206A" w:rsidRPr="0073206A" w:rsidRDefault="0073206A" w:rsidP="00B653CC"/>
    <w:sectPr w:rsidR="0073206A" w:rsidRPr="0073206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F318E" w14:textId="77777777" w:rsidR="00F9333C" w:rsidRDefault="00F9333C" w:rsidP="0073206A">
      <w:pPr>
        <w:spacing w:after="0" w:line="240" w:lineRule="auto"/>
      </w:pPr>
      <w:r>
        <w:separator/>
      </w:r>
    </w:p>
  </w:endnote>
  <w:endnote w:type="continuationSeparator" w:id="0">
    <w:p w14:paraId="77FD77DA" w14:textId="77777777" w:rsidR="00F9333C" w:rsidRDefault="00F9333C" w:rsidP="00732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5FA6B" w14:textId="77777777" w:rsidR="00F9333C" w:rsidRDefault="00F9333C" w:rsidP="0073206A">
      <w:pPr>
        <w:spacing w:after="0" w:line="240" w:lineRule="auto"/>
      </w:pPr>
      <w:r>
        <w:separator/>
      </w:r>
    </w:p>
  </w:footnote>
  <w:footnote w:type="continuationSeparator" w:id="0">
    <w:p w14:paraId="7BE1929B" w14:textId="77777777" w:rsidR="00F9333C" w:rsidRDefault="00F9333C" w:rsidP="00732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8245B"/>
    <w:multiLevelType w:val="hybridMultilevel"/>
    <w:tmpl w:val="7F3EFCD4"/>
    <w:lvl w:ilvl="0" w:tplc="2C0A000F">
      <w:start w:val="1"/>
      <w:numFmt w:val="decimal"/>
      <w:lvlText w:val="%1."/>
      <w:lvlJc w:val="left"/>
      <w:pPr>
        <w:ind w:left="4613" w:hanging="360"/>
      </w:pPr>
      <w:rPr>
        <w:rFonts w:hint="default"/>
      </w:rPr>
    </w:lvl>
    <w:lvl w:ilvl="1" w:tplc="2C0A0019" w:tentative="1">
      <w:start w:val="1"/>
      <w:numFmt w:val="lowerLetter"/>
      <w:lvlText w:val="%2."/>
      <w:lvlJc w:val="left"/>
      <w:pPr>
        <w:ind w:left="5333" w:hanging="360"/>
      </w:pPr>
    </w:lvl>
    <w:lvl w:ilvl="2" w:tplc="2C0A001B" w:tentative="1">
      <w:start w:val="1"/>
      <w:numFmt w:val="lowerRoman"/>
      <w:lvlText w:val="%3."/>
      <w:lvlJc w:val="right"/>
      <w:pPr>
        <w:ind w:left="6053" w:hanging="180"/>
      </w:pPr>
    </w:lvl>
    <w:lvl w:ilvl="3" w:tplc="2C0A000F" w:tentative="1">
      <w:start w:val="1"/>
      <w:numFmt w:val="decimal"/>
      <w:lvlText w:val="%4."/>
      <w:lvlJc w:val="left"/>
      <w:pPr>
        <w:ind w:left="6773" w:hanging="360"/>
      </w:pPr>
    </w:lvl>
    <w:lvl w:ilvl="4" w:tplc="2C0A0019" w:tentative="1">
      <w:start w:val="1"/>
      <w:numFmt w:val="lowerLetter"/>
      <w:lvlText w:val="%5."/>
      <w:lvlJc w:val="left"/>
      <w:pPr>
        <w:ind w:left="7493" w:hanging="360"/>
      </w:pPr>
    </w:lvl>
    <w:lvl w:ilvl="5" w:tplc="2C0A001B" w:tentative="1">
      <w:start w:val="1"/>
      <w:numFmt w:val="lowerRoman"/>
      <w:lvlText w:val="%6."/>
      <w:lvlJc w:val="right"/>
      <w:pPr>
        <w:ind w:left="8213" w:hanging="180"/>
      </w:pPr>
    </w:lvl>
    <w:lvl w:ilvl="6" w:tplc="2C0A000F" w:tentative="1">
      <w:start w:val="1"/>
      <w:numFmt w:val="decimal"/>
      <w:lvlText w:val="%7."/>
      <w:lvlJc w:val="left"/>
      <w:pPr>
        <w:ind w:left="8933" w:hanging="360"/>
      </w:pPr>
    </w:lvl>
    <w:lvl w:ilvl="7" w:tplc="2C0A0019" w:tentative="1">
      <w:start w:val="1"/>
      <w:numFmt w:val="lowerLetter"/>
      <w:lvlText w:val="%8."/>
      <w:lvlJc w:val="left"/>
      <w:pPr>
        <w:ind w:left="9653" w:hanging="360"/>
      </w:pPr>
    </w:lvl>
    <w:lvl w:ilvl="8" w:tplc="2C0A001B" w:tentative="1">
      <w:start w:val="1"/>
      <w:numFmt w:val="lowerRoman"/>
      <w:lvlText w:val="%9."/>
      <w:lvlJc w:val="right"/>
      <w:pPr>
        <w:ind w:left="10373" w:hanging="180"/>
      </w:pPr>
    </w:lvl>
  </w:abstractNum>
  <w:num w:numId="1" w16cid:durableId="210673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565"/>
    <w:rsid w:val="000E04F8"/>
    <w:rsid w:val="00392060"/>
    <w:rsid w:val="004F7848"/>
    <w:rsid w:val="0070236B"/>
    <w:rsid w:val="0073206A"/>
    <w:rsid w:val="00803EA7"/>
    <w:rsid w:val="00B47F6C"/>
    <w:rsid w:val="00B653CC"/>
    <w:rsid w:val="00BA349D"/>
    <w:rsid w:val="00BC2649"/>
    <w:rsid w:val="00C416B1"/>
    <w:rsid w:val="00DA1565"/>
    <w:rsid w:val="00F9333C"/>
    <w:rsid w:val="00FD53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AF1A"/>
  <w15:chartTrackingRefBased/>
  <w15:docId w15:val="{07925D3E-974B-4435-86F5-2F747DBF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1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1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15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15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15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15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15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15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15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15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15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15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15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15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15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15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15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1565"/>
    <w:rPr>
      <w:rFonts w:eastAsiaTheme="majorEastAsia" w:cstheme="majorBidi"/>
      <w:color w:val="272727" w:themeColor="text1" w:themeTint="D8"/>
    </w:rPr>
  </w:style>
  <w:style w:type="paragraph" w:styleId="Ttulo">
    <w:name w:val="Title"/>
    <w:basedOn w:val="Normal"/>
    <w:next w:val="Normal"/>
    <w:link w:val="TtuloCar"/>
    <w:uiPriority w:val="10"/>
    <w:qFormat/>
    <w:rsid w:val="00DA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15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15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15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1565"/>
    <w:pPr>
      <w:spacing w:before="160"/>
      <w:jc w:val="center"/>
    </w:pPr>
    <w:rPr>
      <w:i/>
      <w:iCs/>
      <w:color w:val="404040" w:themeColor="text1" w:themeTint="BF"/>
    </w:rPr>
  </w:style>
  <w:style w:type="character" w:customStyle="1" w:styleId="CitaCar">
    <w:name w:val="Cita Car"/>
    <w:basedOn w:val="Fuentedeprrafopredeter"/>
    <w:link w:val="Cita"/>
    <w:uiPriority w:val="29"/>
    <w:rsid w:val="00DA1565"/>
    <w:rPr>
      <w:i/>
      <w:iCs/>
      <w:color w:val="404040" w:themeColor="text1" w:themeTint="BF"/>
    </w:rPr>
  </w:style>
  <w:style w:type="paragraph" w:styleId="Prrafodelista">
    <w:name w:val="List Paragraph"/>
    <w:basedOn w:val="Normal"/>
    <w:uiPriority w:val="34"/>
    <w:qFormat/>
    <w:rsid w:val="00DA1565"/>
    <w:pPr>
      <w:ind w:left="720"/>
      <w:contextualSpacing/>
    </w:pPr>
  </w:style>
  <w:style w:type="character" w:styleId="nfasisintenso">
    <w:name w:val="Intense Emphasis"/>
    <w:basedOn w:val="Fuentedeprrafopredeter"/>
    <w:uiPriority w:val="21"/>
    <w:qFormat/>
    <w:rsid w:val="00DA1565"/>
    <w:rPr>
      <w:i/>
      <w:iCs/>
      <w:color w:val="0F4761" w:themeColor="accent1" w:themeShade="BF"/>
    </w:rPr>
  </w:style>
  <w:style w:type="paragraph" w:styleId="Citadestacada">
    <w:name w:val="Intense Quote"/>
    <w:basedOn w:val="Normal"/>
    <w:next w:val="Normal"/>
    <w:link w:val="CitadestacadaCar"/>
    <w:uiPriority w:val="30"/>
    <w:qFormat/>
    <w:rsid w:val="00DA1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1565"/>
    <w:rPr>
      <w:i/>
      <w:iCs/>
      <w:color w:val="0F4761" w:themeColor="accent1" w:themeShade="BF"/>
    </w:rPr>
  </w:style>
  <w:style w:type="character" w:styleId="Referenciaintensa">
    <w:name w:val="Intense Reference"/>
    <w:basedOn w:val="Fuentedeprrafopredeter"/>
    <w:uiPriority w:val="32"/>
    <w:qFormat/>
    <w:rsid w:val="00DA1565"/>
    <w:rPr>
      <w:b/>
      <w:bCs/>
      <w:smallCaps/>
      <w:color w:val="0F4761" w:themeColor="accent1" w:themeShade="BF"/>
      <w:spacing w:val="5"/>
    </w:rPr>
  </w:style>
  <w:style w:type="paragraph" w:styleId="Encabezado">
    <w:name w:val="header"/>
    <w:basedOn w:val="Normal"/>
    <w:link w:val="EncabezadoCar"/>
    <w:uiPriority w:val="99"/>
    <w:unhideWhenUsed/>
    <w:rsid w:val="007320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206A"/>
  </w:style>
  <w:style w:type="paragraph" w:styleId="Piedepgina">
    <w:name w:val="footer"/>
    <w:basedOn w:val="Normal"/>
    <w:link w:val="PiedepginaCar"/>
    <w:uiPriority w:val="99"/>
    <w:unhideWhenUsed/>
    <w:rsid w:val="007320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2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359539">
      <w:bodyDiv w:val="1"/>
      <w:marLeft w:val="0"/>
      <w:marRight w:val="0"/>
      <w:marTop w:val="0"/>
      <w:marBottom w:val="0"/>
      <w:divBdr>
        <w:top w:val="none" w:sz="0" w:space="0" w:color="auto"/>
        <w:left w:val="none" w:sz="0" w:space="0" w:color="auto"/>
        <w:bottom w:val="none" w:sz="0" w:space="0" w:color="auto"/>
        <w:right w:val="none" w:sz="0" w:space="0" w:color="auto"/>
      </w:divBdr>
    </w:div>
    <w:div w:id="662778815">
      <w:bodyDiv w:val="1"/>
      <w:marLeft w:val="0"/>
      <w:marRight w:val="0"/>
      <w:marTop w:val="0"/>
      <w:marBottom w:val="0"/>
      <w:divBdr>
        <w:top w:val="none" w:sz="0" w:space="0" w:color="auto"/>
        <w:left w:val="none" w:sz="0" w:space="0" w:color="auto"/>
        <w:bottom w:val="none" w:sz="0" w:space="0" w:color="auto"/>
        <w:right w:val="none" w:sz="0" w:space="0" w:color="auto"/>
      </w:divBdr>
      <w:divsChild>
        <w:div w:id="1369262723">
          <w:marLeft w:val="0"/>
          <w:marRight w:val="0"/>
          <w:marTop w:val="0"/>
          <w:marBottom w:val="0"/>
          <w:divBdr>
            <w:top w:val="none" w:sz="0" w:space="0" w:color="auto"/>
            <w:left w:val="none" w:sz="0" w:space="0" w:color="auto"/>
            <w:bottom w:val="none" w:sz="0" w:space="0" w:color="auto"/>
            <w:right w:val="none" w:sz="0" w:space="0" w:color="auto"/>
          </w:divBdr>
          <w:divsChild>
            <w:div w:id="539782464">
              <w:marLeft w:val="0"/>
              <w:marRight w:val="0"/>
              <w:marTop w:val="0"/>
              <w:marBottom w:val="0"/>
              <w:divBdr>
                <w:top w:val="none" w:sz="0" w:space="0" w:color="auto"/>
                <w:left w:val="none" w:sz="0" w:space="0" w:color="auto"/>
                <w:bottom w:val="none" w:sz="0" w:space="0" w:color="auto"/>
                <w:right w:val="none" w:sz="0" w:space="0" w:color="auto"/>
              </w:divBdr>
            </w:div>
            <w:div w:id="995568921">
              <w:marLeft w:val="0"/>
              <w:marRight w:val="0"/>
              <w:marTop w:val="0"/>
              <w:marBottom w:val="60"/>
              <w:divBdr>
                <w:top w:val="none" w:sz="0" w:space="0" w:color="auto"/>
                <w:left w:val="none" w:sz="0" w:space="0" w:color="auto"/>
                <w:bottom w:val="none" w:sz="0" w:space="0" w:color="auto"/>
                <w:right w:val="none" w:sz="0" w:space="0" w:color="auto"/>
              </w:divBdr>
              <w:divsChild>
                <w:div w:id="2094937814">
                  <w:marLeft w:val="0"/>
                  <w:marRight w:val="0"/>
                  <w:marTop w:val="0"/>
                  <w:marBottom w:val="0"/>
                  <w:divBdr>
                    <w:top w:val="none" w:sz="0" w:space="0" w:color="auto"/>
                    <w:left w:val="none" w:sz="0" w:space="0" w:color="auto"/>
                    <w:bottom w:val="none" w:sz="0" w:space="0" w:color="auto"/>
                    <w:right w:val="none" w:sz="0" w:space="0" w:color="auto"/>
                  </w:divBdr>
                  <w:divsChild>
                    <w:div w:id="1262690166">
                      <w:marLeft w:val="0"/>
                      <w:marRight w:val="0"/>
                      <w:marTop w:val="0"/>
                      <w:marBottom w:val="0"/>
                      <w:divBdr>
                        <w:top w:val="single" w:sz="4" w:space="3" w:color="2A2B2C"/>
                        <w:left w:val="single" w:sz="4" w:space="5" w:color="2A2B2C"/>
                        <w:bottom w:val="single" w:sz="4" w:space="3" w:color="2A2B2C"/>
                        <w:right w:val="single" w:sz="4" w:space="5" w:color="2A2B2C"/>
                      </w:divBdr>
                      <w:divsChild>
                        <w:div w:id="1061440139">
                          <w:marLeft w:val="0"/>
                          <w:marRight w:val="0"/>
                          <w:marTop w:val="0"/>
                          <w:marBottom w:val="0"/>
                          <w:divBdr>
                            <w:top w:val="none" w:sz="0" w:space="0" w:color="auto"/>
                            <w:left w:val="none" w:sz="0" w:space="0" w:color="auto"/>
                            <w:bottom w:val="none" w:sz="0" w:space="0" w:color="auto"/>
                            <w:right w:val="none" w:sz="0" w:space="0" w:color="auto"/>
                          </w:divBdr>
                          <w:divsChild>
                            <w:div w:id="714891960">
                              <w:marLeft w:val="0"/>
                              <w:marRight w:val="0"/>
                              <w:marTop w:val="0"/>
                              <w:marBottom w:val="0"/>
                              <w:divBdr>
                                <w:top w:val="none" w:sz="0" w:space="0" w:color="auto"/>
                                <w:left w:val="none" w:sz="0" w:space="0" w:color="auto"/>
                                <w:bottom w:val="none" w:sz="0" w:space="0" w:color="auto"/>
                                <w:right w:val="none" w:sz="0" w:space="0" w:color="auto"/>
                              </w:divBdr>
                              <w:divsChild>
                                <w:div w:id="14483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958742">
          <w:marLeft w:val="0"/>
          <w:marRight w:val="0"/>
          <w:marTop w:val="0"/>
          <w:marBottom w:val="0"/>
          <w:divBdr>
            <w:top w:val="none" w:sz="0" w:space="0" w:color="auto"/>
            <w:left w:val="none" w:sz="0" w:space="0" w:color="auto"/>
            <w:bottom w:val="none" w:sz="0" w:space="0" w:color="auto"/>
            <w:right w:val="none" w:sz="0" w:space="0" w:color="auto"/>
          </w:divBdr>
          <w:divsChild>
            <w:div w:id="3449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90378">
      <w:bodyDiv w:val="1"/>
      <w:marLeft w:val="0"/>
      <w:marRight w:val="0"/>
      <w:marTop w:val="0"/>
      <w:marBottom w:val="0"/>
      <w:divBdr>
        <w:top w:val="none" w:sz="0" w:space="0" w:color="auto"/>
        <w:left w:val="none" w:sz="0" w:space="0" w:color="auto"/>
        <w:bottom w:val="none" w:sz="0" w:space="0" w:color="auto"/>
        <w:right w:val="none" w:sz="0" w:space="0" w:color="auto"/>
      </w:divBdr>
    </w:div>
    <w:div w:id="1250122372">
      <w:bodyDiv w:val="1"/>
      <w:marLeft w:val="0"/>
      <w:marRight w:val="0"/>
      <w:marTop w:val="0"/>
      <w:marBottom w:val="0"/>
      <w:divBdr>
        <w:top w:val="none" w:sz="0" w:space="0" w:color="auto"/>
        <w:left w:val="none" w:sz="0" w:space="0" w:color="auto"/>
        <w:bottom w:val="none" w:sz="0" w:space="0" w:color="auto"/>
        <w:right w:val="none" w:sz="0" w:space="0" w:color="auto"/>
      </w:divBdr>
    </w:div>
    <w:div w:id="1443067206">
      <w:bodyDiv w:val="1"/>
      <w:marLeft w:val="0"/>
      <w:marRight w:val="0"/>
      <w:marTop w:val="0"/>
      <w:marBottom w:val="0"/>
      <w:divBdr>
        <w:top w:val="none" w:sz="0" w:space="0" w:color="auto"/>
        <w:left w:val="none" w:sz="0" w:space="0" w:color="auto"/>
        <w:bottom w:val="none" w:sz="0" w:space="0" w:color="auto"/>
        <w:right w:val="none" w:sz="0" w:space="0" w:color="auto"/>
      </w:divBdr>
    </w:div>
    <w:div w:id="1535539616">
      <w:bodyDiv w:val="1"/>
      <w:marLeft w:val="0"/>
      <w:marRight w:val="0"/>
      <w:marTop w:val="0"/>
      <w:marBottom w:val="0"/>
      <w:divBdr>
        <w:top w:val="none" w:sz="0" w:space="0" w:color="auto"/>
        <w:left w:val="none" w:sz="0" w:space="0" w:color="auto"/>
        <w:bottom w:val="none" w:sz="0" w:space="0" w:color="auto"/>
        <w:right w:val="none" w:sz="0" w:space="0" w:color="auto"/>
      </w:divBdr>
      <w:divsChild>
        <w:div w:id="178856877">
          <w:marLeft w:val="0"/>
          <w:marRight w:val="0"/>
          <w:marTop w:val="0"/>
          <w:marBottom w:val="0"/>
          <w:divBdr>
            <w:top w:val="none" w:sz="0" w:space="0" w:color="auto"/>
            <w:left w:val="none" w:sz="0" w:space="0" w:color="auto"/>
            <w:bottom w:val="none" w:sz="0" w:space="0" w:color="auto"/>
            <w:right w:val="none" w:sz="0" w:space="0" w:color="auto"/>
          </w:divBdr>
          <w:divsChild>
            <w:div w:id="662319685">
              <w:marLeft w:val="0"/>
              <w:marRight w:val="0"/>
              <w:marTop w:val="0"/>
              <w:marBottom w:val="0"/>
              <w:divBdr>
                <w:top w:val="none" w:sz="0" w:space="0" w:color="auto"/>
                <w:left w:val="none" w:sz="0" w:space="0" w:color="auto"/>
                <w:bottom w:val="none" w:sz="0" w:space="0" w:color="auto"/>
                <w:right w:val="none" w:sz="0" w:space="0" w:color="auto"/>
              </w:divBdr>
            </w:div>
          </w:divsChild>
        </w:div>
        <w:div w:id="643121582">
          <w:marLeft w:val="0"/>
          <w:marRight w:val="0"/>
          <w:marTop w:val="0"/>
          <w:marBottom w:val="0"/>
          <w:divBdr>
            <w:top w:val="none" w:sz="0" w:space="0" w:color="auto"/>
            <w:left w:val="none" w:sz="0" w:space="0" w:color="auto"/>
            <w:bottom w:val="none" w:sz="0" w:space="0" w:color="auto"/>
            <w:right w:val="none" w:sz="0" w:space="0" w:color="auto"/>
          </w:divBdr>
          <w:divsChild>
            <w:div w:id="989212488">
              <w:marLeft w:val="0"/>
              <w:marRight w:val="0"/>
              <w:marTop w:val="0"/>
              <w:marBottom w:val="60"/>
              <w:divBdr>
                <w:top w:val="none" w:sz="0" w:space="0" w:color="auto"/>
                <w:left w:val="none" w:sz="0" w:space="0" w:color="auto"/>
                <w:bottom w:val="none" w:sz="0" w:space="0" w:color="auto"/>
                <w:right w:val="none" w:sz="0" w:space="0" w:color="auto"/>
              </w:divBdr>
              <w:divsChild>
                <w:div w:id="112016196">
                  <w:marLeft w:val="0"/>
                  <w:marRight w:val="0"/>
                  <w:marTop w:val="0"/>
                  <w:marBottom w:val="0"/>
                  <w:divBdr>
                    <w:top w:val="none" w:sz="0" w:space="0" w:color="auto"/>
                    <w:left w:val="none" w:sz="0" w:space="0" w:color="auto"/>
                    <w:bottom w:val="none" w:sz="0" w:space="0" w:color="auto"/>
                    <w:right w:val="none" w:sz="0" w:space="0" w:color="auto"/>
                  </w:divBdr>
                  <w:divsChild>
                    <w:div w:id="676469211">
                      <w:marLeft w:val="0"/>
                      <w:marRight w:val="0"/>
                      <w:marTop w:val="0"/>
                      <w:marBottom w:val="0"/>
                      <w:divBdr>
                        <w:top w:val="single" w:sz="4" w:space="3" w:color="2A2B2C"/>
                        <w:left w:val="single" w:sz="4" w:space="5" w:color="2A2B2C"/>
                        <w:bottom w:val="single" w:sz="4" w:space="3" w:color="2A2B2C"/>
                        <w:right w:val="single" w:sz="4" w:space="5" w:color="2A2B2C"/>
                      </w:divBdr>
                      <w:divsChild>
                        <w:div w:id="1858808449">
                          <w:marLeft w:val="0"/>
                          <w:marRight w:val="0"/>
                          <w:marTop w:val="0"/>
                          <w:marBottom w:val="0"/>
                          <w:divBdr>
                            <w:top w:val="none" w:sz="0" w:space="0" w:color="auto"/>
                            <w:left w:val="none" w:sz="0" w:space="0" w:color="auto"/>
                            <w:bottom w:val="none" w:sz="0" w:space="0" w:color="auto"/>
                            <w:right w:val="none" w:sz="0" w:space="0" w:color="auto"/>
                          </w:divBdr>
                          <w:divsChild>
                            <w:div w:id="1787386445">
                              <w:marLeft w:val="0"/>
                              <w:marRight w:val="0"/>
                              <w:marTop w:val="0"/>
                              <w:marBottom w:val="0"/>
                              <w:divBdr>
                                <w:top w:val="none" w:sz="0" w:space="0" w:color="auto"/>
                                <w:left w:val="none" w:sz="0" w:space="0" w:color="auto"/>
                                <w:bottom w:val="none" w:sz="0" w:space="0" w:color="auto"/>
                                <w:right w:val="none" w:sz="0" w:space="0" w:color="auto"/>
                              </w:divBdr>
                              <w:divsChild>
                                <w:div w:id="9559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88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6367">
      <w:bodyDiv w:val="1"/>
      <w:marLeft w:val="0"/>
      <w:marRight w:val="0"/>
      <w:marTop w:val="0"/>
      <w:marBottom w:val="0"/>
      <w:divBdr>
        <w:top w:val="none" w:sz="0" w:space="0" w:color="auto"/>
        <w:left w:val="none" w:sz="0" w:space="0" w:color="auto"/>
        <w:bottom w:val="none" w:sz="0" w:space="0" w:color="auto"/>
        <w:right w:val="none" w:sz="0" w:space="0" w:color="auto"/>
      </w:divBdr>
    </w:div>
    <w:div w:id="1709180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603</Words>
  <Characters>3318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2026-08-24T17:17:00Z</dcterms:created>
  <dcterms:modified xsi:type="dcterms:W3CDTF">2026-08-26T22:34:00Z</dcterms:modified>
</cp:coreProperties>
</file>