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47.png" ContentType="image/png"/>
  <Override PartName="/word/media/rId52.png" ContentType="image/png"/>
  <Override PartName="/word/media/rId61.png" ContentType="image/png"/>
  <Override PartName="/word/media/rId79.png" ContentType="image/png"/>
  <Override PartName="/word/media/rId84.png" ContentType="image/png"/>
  <Override PartName="/word/media/rId109.png" ContentType="image/png"/>
  <Override PartName="/word/media/rId193.png" ContentType="image/png"/>
  <Override PartName="/word/media/rId116.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68.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титульный-лист"/>
    <w:p>
      <w:pPr>
        <w:pStyle w:val="Heading1"/>
      </w:pPr>
      <w:r>
        <w:t xml:space="preserve">Титульный лист</w:t>
      </w:r>
    </w:p>
    <w:p>
      <w:pPr>
        <w:pStyle w:val="FirstParagraph"/>
      </w:pPr>
      <w:r>
        <w:t xml:space="preserve">МИНОБРНАУКИ РОССИИ</w:t>
      </w:r>
    </w:p>
    <w:p>
      <w:pPr>
        <w:pStyle w:val="BodyText"/>
      </w:pPr>
      <w:r>
        <w:t xml:space="preserve">РГУ нефти и газа (НИУ) имени И.М. Губкина</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pPr>
      <w:r>
        <w:t xml:space="preserve">Оценка:____________________</w:t>
      </w:r>
    </w:p>
    <w:p>
      <w:pPr>
        <w:pStyle w:val="BodyText"/>
      </w:pPr>
      <w:r>
        <w:t xml:space="preserve">Рейтинг:____________________</w:t>
      </w:r>
    </w:p>
    <w:p>
      <w:pPr>
        <w:pStyle w:val="BodyText"/>
      </w:pPr>
      <w:r>
        <w:t xml:space="preserve">Подпись секретаря ГЭК:____________________</w:t>
      </w:r>
    </w:p>
    <w:p>
      <w:pPr>
        <w:pStyle w:val="BodyText"/>
      </w:pPr>
      <w:r>
        <w:t xml:space="preserve">(подпись) (фамилия, имя, отчество) (дата)</w:t>
      </w:r>
    </w:p>
    <w:p>
      <w:r>
        <w:pict>
          <v:rect style="width:0;height:1.5pt" o:hralign="center" o:hrstd="t" o:hr="t"/>
        </w:pict>
      </w:r>
    </w:p>
    <w:p>
      <w:pPr>
        <w:pStyle w:val="FirstParagraph"/>
      </w:pPr>
      <w:r>
        <w:t xml:space="preserve">МАГИСТЕРСКАЯ ДИССЕРТАЦИЯ</w:t>
      </w:r>
    </w:p>
    <w:p>
      <w:pPr>
        <w:pStyle w:val="BodyText"/>
      </w:pPr>
      <w:r>
        <w:t xml:space="preserve">на тему:</w:t>
      </w:r>
    </w:p>
    <w:p>
      <w:pPr>
        <w:pStyle w:val="BodyText"/>
      </w:pPr>
      <w:r>
        <w:rPr>
          <w:b/>
          <w:bCs/>
        </w:rPr>
        <w:t xml:space="preserve">Разработка веб-сервиса для автоматизированной проверки решений задач по программированию</w:t>
      </w:r>
    </w:p>
    <w:p>
      <w:r>
        <w:pict>
          <v:rect style="width:0;height:1.5pt" o:hralign="center" o:hrstd="t" o:hr="t"/>
        </w:pic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r>
        <w:pict>
          <v:rect style="width:0;height:1.5pt" o:hralign="center" o:hrstd="t" o:hr="t"/>
        </w:pict>
      </w:r>
    </w:p>
    <w:p>
      <w:pPr>
        <w:pStyle w:val="FirstParagraph"/>
      </w:pPr>
      <w:r>
        <w:t xml:space="preserve">Москва</w:t>
      </w:r>
    </w:p>
    <w:p>
      <w:pPr>
        <w:pStyle w:val="BodyText"/>
      </w:pPr>
      <w:r>
        <w:t xml:space="preserve">2026</w:t>
      </w:r>
    </w:p>
    <w:bookmarkEnd w:id="9"/>
    <w:bookmarkStart w:id="14" w:name="задание-на-магистерскую-диссертацию"/>
    <w:p>
      <w:pPr>
        <w:pStyle w:val="Heading1"/>
      </w:pPr>
      <w:r>
        <w:t xml:space="preserve">Задание на магистерскую диссертацию</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0"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0"/>
    <w:bookmarkStart w:id="11"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9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динамическая шкала</w:t>
      </w:r>
      <w:r>
        <w:t xml:space="preserve"> </w:t>
      </w:r>
      <w:r>
        <w:rPr>
          <w:rStyle w:val="VerbatimChar"/>
        </w:rPr>
        <w:t xml:space="preserve">dynamicQualityCap</w:t>
      </w:r>
      <w:r>
        <w:t xml:space="preserve">).</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Пред-регистрированный конфирматорный эксперимент (60 элементов × 3 повтора × 3 варианта анализатора, 540 вызовов GigaChat, cross-model LLM-судья) с проверкой гипотез H1 и H2 и cross-judge sanity-check.</w:t>
      </w:r>
    </w:p>
    <w:bookmarkEnd w:id="11"/>
    <w:bookmarkStart w:id="12"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(9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12"/>
    <w:bookmarkStart w:id="13"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bookmarkEnd w:id="13"/>
    <w:bookmarkEnd w:id="14"/>
    <w:bookmarkStart w:id="15"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pPr>
      <w:r>
        <w:t xml:space="preserve">Объём пояснительной записки — порядка 95 страниц, в работе содержится 15 рисунков, 11 таблиц, 36 использованных источников, 4 приложения.</w:t>
      </w:r>
    </w:p>
    <w:p>
      <w:pPr>
        <w:pStyle w:val="BodyText"/>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pPr>
      <w:r>
        <w:t xml:space="preserve">Научная новизна работы определяется четырьмя положениями.</w:t>
      </w:r>
    </w:p>
    <w:p>
      <w:pPr>
        <w:pStyle w:val="BodyText"/>
      </w:pPr>
      <w:r>
        <w:t xml:space="preserve">Во-первых, при оценке решения студента источники информации о коде упорядочены по убыванию доверия: на первом месте — фактический результат запуска программы в изолированной среде (сколько тестов прошло, какие ошибки наблюдались); на втором — структурные свойства самого исходного кода, извлечённые автоматическим анализатором (есть ли циклы, не возвращает ли функция константу вместо реального вычисления и т. п.); на третьем — содержательный разбор, написанный языковой моделью. Языковая модель формирует текстовое объяснение, но не имеет права назначать итоговую оценку, противоречащую фактам первых двух уровней. Подобное упорядочение исключает завышенные оценки решений, фактически не работающих, даже если модель сформировала развёрнутый и убедительный разбор.</w:t>
      </w:r>
    </w:p>
    <w:p>
      <w:pPr>
        <w:pStyle w:val="BodyText"/>
      </w:pPr>
      <w:r>
        <w:t xml:space="preserve">Во-вторых, верхняя граница итоговой оценки качества кода поставлена в зависимость от доли пройденных тестов. Если ни один тест не прошёл — оценка не превосходит 20 баллов из 100; если прошла половина — не выше 50; если прошли все, кроме одного, — не выше 70. Дополнительное жёсткое ограничение в 10 баллов применяется, когда тесты не прошли и одновременно автоматический анализатор обнаружил признак подмены логики константой. Сама шкала описана с конкретными числовыми порогами и заменяет применявшиеся в прежних реализациях фиксированные границы.</w:t>
      </w:r>
    </w:p>
    <w:p>
      <w:pPr>
        <w:pStyle w:val="BodyText"/>
      </w:pPr>
      <w:r>
        <w:t xml:space="preserve">В-третьих, разработана последовательность из семи защитных приёмов, не дающих злоумышленнику обмануть языковую модель через содержимое решения. Каждый приём блокирует свой класс атак: специальные маркеры обрамления кода (модель не воспринимает содержимое внутри маркеров как обращение к ней), нормализация Unicode (защита от подмены символов внешне похожими), ограничение длины входа (отсечение чрезмерно объёмных «полотен»), строгая проверка ответа модели по предварительно описанной структуре (запрет посторонних полей), очистка ответа от потенциально опасного содержимого, обезличивание тона ответа и финальное применение верхней границы оценки. Эмпирическая проверка на наборе из 60 атакующих решений, охватывающих 10 классов угроз из общеотраслевого списка OWASP LLM Top-10, показала нулевую долю успешных атак.</w:t>
      </w:r>
    </w:p>
    <w:p>
      <w:pPr>
        <w:pStyle w:val="BodyText"/>
      </w:pPr>
      <w:r>
        <w:t xml:space="preserve">В-четвёртых, качество объяснений, формируемых разработанной системой, оценено независимой второй языковой моделью, отличной от модели, генерировавшей разбор. Такое разделение «автора объяснений» и «судьи» устраняет известное искажение, при котором языковая модель склонна выше оценивать собственные ответы по сравнению с ответами других моделей. Сам протокол оценки — гипотезы, объём выборки, статистические критерии — зарегистрирован публично до начала измерений, что соответствует современным стандартам воспроизводимых исследований.</w:t>
      </w:r>
    </w:p>
    <w:p>
      <w:pPr>
        <w:pStyle w:val="BodyText"/>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pPr>
      <w:r>
        <w:t xml:space="preserve">Ключевые слова: АВТОМАТИЗИРОВАННАЯ ПРОВЕРКА КОДА, БОЛЬШИЕ ЯЗЫКОВЫЕ МОДЕЛИ, GIGACHAT, ИЗОЛЯЦИЯ ИСПОЛНЕНИЯ, НЕЙРО-СИМВОЛЬНЫЙ ПОДХОД, ABSTRACT SYNTAX TREE, CROSS-MODEL JUDGE, PROMPT INJECTION, ВЕБ-СЕРВИС, MICROSERVICES, KOTLIN, SPRING BOOT, REACT, KAFKA, POSTGRESQL, DOCKER, PROMETHEUS.</w:t>
      </w:r>
    </w:p>
    <w:bookmarkEnd w:id="15"/>
    <w:bookmarkStart w:id="16" w:name="X04f63f83e09dd95920a4fcb20c71057ec51e060"/>
    <w:p>
      <w:pPr>
        <w:pStyle w:val="Heading1"/>
      </w:pPr>
      <w:r>
        <w:t xml:space="preserve">Перечень условных обозначений и сокращений</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AC</w:t>
            </w:r>
          </w:p>
        </w:tc>
        <w:tc>
          <w:tcPr/>
          <w:p>
            <w:pPr>
              <w:pStyle w:val="Compact"/>
            </w:pPr>
            <w:r>
              <w:t xml:space="preserve">Accepted — вердикт принятого решения</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Blowfish-based password hashing function — алгоритм хеширования паролей на основе шифра Blowfish</w:t>
            </w:r>
          </w:p>
        </w:tc>
      </w:tr>
      <w:tr>
        <w:tc>
          <w:tcPr/>
          <w:p>
            <w:pPr>
              <w:pStyle w:val="Compact"/>
            </w:pPr>
            <w:r>
              <w:t xml:space="preserve">CC</w:t>
            </w:r>
          </w:p>
        </w:tc>
        <w:tc>
          <w:tcPr/>
          <w:p>
            <w:pPr>
              <w:pStyle w:val="Compact"/>
            </w:pPr>
            <w:r>
              <w:t xml:space="preserve">Cyclomatic Complexity — цикломатическая сложность</w:t>
            </w:r>
          </w:p>
        </w:tc>
      </w:tr>
      <w:tr>
        <w:tc>
          <w:tcPr/>
          <w:p>
            <w:pPr>
              <w:pStyle w:val="Compact"/>
            </w:pPr>
            <w:r>
              <w:t xml:space="preserve">CE</w:t>
            </w:r>
          </w:p>
        </w:tc>
        <w:tc>
          <w:tcPr/>
          <w:p>
            <w:pPr>
              <w:pStyle w:val="Compact"/>
            </w:pPr>
            <w:r>
              <w:t xml:space="preserve">Compilation Error — ошибка компиляции</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DLT</w:t>
            </w:r>
          </w:p>
        </w:tc>
        <w:tc>
          <w:tcPr/>
          <w:p>
            <w:pPr>
              <w:pStyle w:val="Compact"/>
            </w:pPr>
            <w:r>
              <w:t xml:space="preserve">Dead Letter Topic — топик «мёртвых» сообщений в Apache Kafka</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IRR</w:t>
            </w:r>
          </w:p>
        </w:tc>
        <w:tc>
          <w:tcPr/>
          <w:p>
            <w:pPr>
              <w:pStyle w:val="Compact"/>
            </w:pPr>
            <w:r>
              <w:t xml:space="preserve">Inter-Rater Reliability — согласованность оценок между судьями</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MITM</w:t>
            </w:r>
          </w:p>
        </w:tc>
        <w:tc>
          <w:tcPr/>
          <w:p>
            <w:pPr>
              <w:pStyle w:val="Compact"/>
            </w:pPr>
            <w:r>
              <w:t xml:space="preserve">Man-in-the-Middle attack — атака «человек посередине»</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PE</w:t>
            </w:r>
          </w:p>
        </w:tc>
        <w:tc>
          <w:tcPr/>
          <w:p>
            <w:pPr>
              <w:pStyle w:val="Compact"/>
            </w:pPr>
            <w:r>
              <w:t xml:space="preserve">Presentation Error — ошибка формата вывода</w:t>
            </w:r>
          </w:p>
        </w:tc>
      </w:tr>
      <w:tr>
        <w:tc>
          <w:tcPr/>
          <w:p>
            <w:pPr>
              <w:pStyle w:val="Compact"/>
            </w:pPr>
            <w:r>
              <w:t xml:space="preserve">POJO</w:t>
            </w:r>
          </w:p>
        </w:tc>
        <w:tc>
          <w:tcPr/>
          <w:p>
            <w:pPr>
              <w:pStyle w:val="Compact"/>
            </w:pPr>
            <w:r>
              <w:t xml:space="preserve">Plain Old Java Object</w:t>
            </w:r>
          </w:p>
        </w:tc>
      </w:tr>
      <w:tr>
        <w:tc>
          <w:tcPr/>
          <w:p>
            <w:pPr>
              <w:pStyle w:val="Compact"/>
            </w:pPr>
            <w:r>
              <w:t xml:space="preserve">RAG</w:t>
            </w:r>
          </w:p>
        </w:tc>
        <w:tc>
          <w:tcPr/>
          <w:p>
            <w:pPr>
              <w:pStyle w:val="Compact"/>
            </w:pPr>
            <w:r>
              <w:t xml:space="preserve">Retrieval-Augmented Generation — генерация с применением внешней памяти</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SLI</w:t>
            </w:r>
          </w:p>
        </w:tc>
        <w:tc>
          <w:tcPr/>
          <w:p>
            <w:pPr>
              <w:pStyle w:val="Compact"/>
            </w:pPr>
            <w:r>
              <w:t xml:space="preserve">Service-Level Indicator — показатель уровня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bl>
    <w:bookmarkEnd w:id="16"/>
    <w:bookmarkStart w:id="29" w:name="введение"/>
    <w:p>
      <w:pPr>
        <w:pStyle w:val="Heading1"/>
      </w:pPr>
      <w:r>
        <w:t xml:space="preserve">Введение</w:t>
      </w:r>
    </w:p>
    <w:bookmarkStart w:id="17"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Помимо галлюцинаций и prompt-инъекций, отдельной методологической проблемой автоматической оценки LLM-объяснений выступает self-preference bias единственного LLM-судьи [35], требующий применения cross-model конфигурации в конфирматорных исследованиях.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p>
      <w:pPr>
        <w:pStyle w:val="BodyText"/>
      </w:pPr>
      <w:r>
        <w:t xml:space="preserve">Существующие открытые judge-системы (ejudge, DOMjudge) не предоставляют средств содержательного объяснения решения средствами LLM. Коммерческие платформы (LeetCode, HackerRank) обладают LLM-функциональностью, однако её работа не сопровождается ни детерминированным символьным слоем, ни конфирматорной публичной оценкой качества и устойчивости к prompt-инъекциям. Отсутствие открытой образовательной системы, объединяющей безопасную изоляцию исполнения с верифицируемым LLM-разбором и пред-регистрированной методологией оценки, формирует исследовательскую нишу, к которой обращается настоящая работа.</w:t>
      </w:r>
    </w:p>
    <w:bookmarkEnd w:id="17"/>
    <w:bookmarkStart w:id="18"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18"/>
    <w:bookmarkStart w:id="19"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19"/>
    <w:bookmarkStart w:id="20" w:name="гипотеза-исследования"/>
    <w:p>
      <w:pPr>
        <w:pStyle w:val="Heading2"/>
      </w:pPr>
      <w:r>
        <w:t xml:space="preserve">Гипотеза исследования</w:t>
      </w:r>
    </w:p>
    <w:p>
      <w:pPr>
        <w:pStyle w:val="FirstParagraph"/>
      </w:pPr>
      <w:r>
        <w:t xml:space="preserve">Введение детерминированного слоя фактов абстрактного синтаксического дерева и каскада верхних ограничений оценки в конвейер интеллектуального анализа учебного кода средствами большой языковой модели обеспечивает согласованность интегральной оценки качества решения с вердиктом песочницы и снижает риск галлюцинаторных оценок без потери выразительности текстового разбора. Эмпирическая проверка гипотезы выполнена в рамках пред-регистрированного конфирматорного эксперимента, описанного в Главе 5, и подтверждена результатами на полной выборке элементов (значимое стохастическое доминирование вариантов с детерминированным слоем над базовым вариантом, малый размер эффекта по δ Клиффа).</w:t>
      </w:r>
    </w:p>
    <w:bookmarkEnd w:id="20"/>
    <w:bookmarkStart w:id="21"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иерархией авторитетности</w:t>
      </w:r>
      <w:r>
        <w:t xml:space="preserve"> </w:t>
      </w:r>
      <w:r>
        <w:rPr>
          <w:rStyle w:val="VerbatimChar"/>
        </w:rPr>
        <w:t xml:space="preserve">sandbox &gt; AST &gt; LLM</w:t>
      </w:r>
      <w:r>
        <w:t xml:space="preserve">, многоуровневой защитой от prompt-инъекций и динамической шкалой верхних ограничений оценки качества (</w:t>
      </w:r>
      <w:r>
        <w:rPr>
          <w:rStyle w:val="VerbatimChar"/>
        </w:rPr>
        <w:t xml:space="preserve">dynamicQualityCap</w:t>
      </w:r>
      <w:r>
        <w:t xml:space="preserve">).</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пред-регистрированный конфирматорный эксперимент (60 элементов × 3 повтора × 3 варианта анализатора, 540 вызовов GigaChat, cross-model LLM-судья Claude) с проверкой гипотезы H1 о превосходстве AST-гибрида на STUB-страте и гипотезы H2 о неухудшении защиты от prompt-инъекций; выполнить cross-judge sanity-check для подтверждения self-preference bias single-model self-judge.</w:t>
      </w:r>
    </w:p>
    <w:bookmarkEnd w:id="21"/>
    <w:bookmarkStart w:id="22"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и критический сравнительный анализ существующих открытых и коммерческих систем автоматической проверки программных решений; формальное моделирование пайплайна обработки в нотации теоретико-множественных конструкций и моделирование угроз через классификацию нарушителей; контрактно-ориентированное проектирование на основе спецификации OpenAPI; архитектурное моделирование в нотации C4 с уровнями System Context, Container, Component; объектно-ориентированное моделирование статической и динамической структуры в нотации UML (диаграммы вариантов использования, последовательностей, состояний, классов); нейро-символьный подход к организации конвейера интеллектуального анализа; статический анализ программного кода через построение абстрактного синтаксического дерева; пред-регистрированный конфирматорный A/B-эксперимент на эталонном корпусе решений с непараметрической статистикой (парный знаково-ранговый критерий Вилкоксона, поправка Холма–Бонферрони, мера эффекта δ Клиффа, доверительные интервалы Вильсона); cross-model оценка качества автоматически генерируемых объяснений с применением второй языковой модели в роли судьи; наблюдение характеристик прототипа на стенде через стек Prometheus + Grafana + Alertmanager с экспортом метрик по протоколу Micrometer.</w:t>
      </w:r>
    </w:p>
    <w:bookmarkEnd w:id="22"/>
    <w:bookmarkStart w:id="23" w:name="на-защиту-выносятся"/>
    <w:p>
      <w:pPr>
        <w:pStyle w:val="Heading2"/>
      </w:pPr>
      <w:r>
        <w:t xml:space="preserve">На защиту выносятся</w:t>
      </w:r>
    </w:p>
    <w:p>
      <w:pPr>
        <w:pStyle w:val="FirstParagraph"/>
      </w:pPr>
      <w:r>
        <w:t xml:space="preserve">На защиту выносятся следующие положения, проверяемые в основной части работы.</w:t>
      </w:r>
    </w:p>
    <w:p>
      <w:pPr>
        <w:numPr>
          <w:ilvl w:val="0"/>
          <w:numId w:val="1004"/>
        </w:numPr>
      </w:pPr>
      <w:r>
        <w:t xml:space="preserve">Принцип упорядочения источников оценки</w:t>
      </w:r>
      <w:r>
        <w:t xml:space="preserve"> </w:t>
      </w:r>
      <w:r>
        <w:rPr>
          <w:rStyle w:val="VerbatimChar"/>
        </w:rPr>
        <w:t xml:space="preserve">вердикт песочницы &gt; факты абстрактного синтаксического дерева &gt; суждение языковой модели</w:t>
      </w:r>
      <w:r>
        <w:t xml:space="preserve">, реализованный через каскад верхних ограничений итоговой оценки качества, обеспечивает согласованность интегральной оценки с фактическим результатом исполнения решения независимо от поведения модели. Проверка положения выполнена в Главах 2 и 3 (архитектурное обоснование и программная реализация) и в Главе 5 (поведение анализатора на эталонном корпусе решений).</w:t>
      </w:r>
    </w:p>
    <w:p>
      <w:pPr>
        <w:numPr>
          <w:ilvl w:val="0"/>
          <w:numId w:val="1004"/>
        </w:numPr>
      </w:pPr>
      <w:r>
        <w:t xml:space="preserve">Композиция из семи независимых защитных приёмов в составе конвейера интеллектуального анализа обеспечивает устойчивость к попыткам манипулирования выходом языковой модели через содержимое решения (prompt-инъекциям). Проверка положения выполнена в Главе 5 на корпусе атакующих решений, охватывающем десять классов угроз общеотраслевого списка OWASP LLM Top-10, с применением точечно-интервальной оценки доли успешных инъекций по Вильсону.</w:t>
      </w:r>
    </w:p>
    <w:p>
      <w:pPr>
        <w:numPr>
          <w:ilvl w:val="0"/>
          <w:numId w:val="1004"/>
        </w:numPr>
      </w:pPr>
      <w:r>
        <w:t xml:space="preserve">Гибридный вариант анализатора, объединяющий обращение к языковой модели с предварительным извлечением структурных фактов из абстрактного синтаксического дерева, обеспечивает на эталонном корпусе учебных решений более высокое качество текстового разбора по сравнению с базовой конфигурацией, не использующей детерминированный символьный слой. Проверка положения выполнена в Главе 5 в форме пред-регистрированного парного сравнения трёх конфигураций анализатора с применением непараметрического критерия знаков Вилкоксона, поправки Холма–Бонферрони и меры эффекта δ Клиффа.</w:t>
      </w:r>
    </w:p>
    <w:p>
      <w:pPr>
        <w:numPr>
          <w:ilvl w:val="0"/>
          <w:numId w:val="1004"/>
        </w:numPr>
      </w:pPr>
      <w:r>
        <w:t xml:space="preserve">Применение в качестве оценщика качества автоматически генерируемых объяснений второй языковой модели, отличной от модели-генератора, методологически предпочтительнее применения той же модели в роли судьи собственных ответов: cross-model конфигурация устраняет искажение, связанное со склонностью языковой модели завышать оценку собственных ответов. Проверка положения выполнена в Главе 5 средствами cross-judge sanity-check на парных оценках, сформированных двумя моделями разных семейств.</w:t>
      </w:r>
    </w:p>
    <w:bookmarkEnd w:id="23"/>
    <w:bookmarkStart w:id="24"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pPr>
      <w:r>
        <w:t xml:space="preserve">Во-первых, предложен и реализован гибридный нейро-символьный пайплайн оценивания учебного кода с явно сформулированной иерархией</w:t>
      </w:r>
      <w:r>
        <w:t xml:space="preserve"> </w:t>
      </w:r>
      <w:r>
        <w:rPr>
          <w:rStyle w:val="VerbatimChar"/>
        </w:rPr>
        <w:t xml:space="preserve">sandbox-verdict &gt; AST-facts &gt; LLM-judgement</w:t>
      </w:r>
      <w:r>
        <w:t xml:space="preserve">. Research gap: в коммерческих платформах (LeetCode, HackerRank) LLM-фидбек не подкреплён детерминированным символьным слоем; в открытых judge-системах (ejudge, DOMjudge) LLM не применяется.</w:t>
      </w:r>
    </w:p>
    <w:p>
      <w:pPr>
        <w:pStyle w:val="BodyText"/>
      </w:pPr>
      <w:r>
        <w:t xml:space="preserve">Во-вторых, разработана динамическая шкала верхних ограничений оценки качества</w:t>
      </w:r>
      <w:r>
        <w:t xml:space="preserve"> </w:t>
      </w:r>
      <w:r>
        <w:rPr>
          <w:rStyle w:val="VerbatimChar"/>
        </w:rPr>
        <w:t xml:space="preserve">dynamicQualityCap</w:t>
      </w:r>
      <w:r>
        <w:t xml:space="preserve">: при отношении прошедших тестов к общему числу 0/N оценка не превосходит 20, 1/N — 30, ≤ N/2 — 50, N−1/N — 70; в граничном случае «ни один тест не прошёл при структурном признаке возвращаемой константы» (</w:t>
      </w:r>
      <w:r>
        <w:rPr>
          <w:rStyle w:val="VerbatimChar"/>
        </w:rPr>
        <w:t xml:space="preserve">astSuspiciousReturnsConstant ∧ allFailed</w:t>
      </w:r>
      <w:r>
        <w:t xml:space="preserve">) применяется экстремальный cap = 10. Шкала заменяет ранее использовавшиеся фиксированные границы и обеспечивает пропорциональность ограничения вкладу sandbox-вердикта.</w:t>
      </w:r>
    </w:p>
    <w:p>
      <w:pPr>
        <w:pStyle w:val="BodyText"/>
      </w:pPr>
      <w:r>
        <w:t xml:space="preserve">В-третьих, описана архитектурно полная семиуровневая защита LLM-пайплайна от prompt-инъекций (sentinel-маркеры, нормализация NFKC, ограничение длины входа, JSON-Schema с</w:t>
      </w:r>
      <w:r>
        <w:t xml:space="preserve"> </w:t>
      </w:r>
      <w:r>
        <w:rPr>
          <w:rStyle w:val="VerbatimChar"/>
        </w:rPr>
        <w:t xml:space="preserve">additionalProperties=false</w:t>
      </w:r>
      <w:r>
        <w:t xml:space="preserve">, очистка вывода</w:t>
      </w:r>
      <w:r>
        <w:t xml:space="preserve"> </w:t>
      </w:r>
      <w:r>
        <w:rPr>
          <w:rStyle w:val="VerbatimChar"/>
        </w:rPr>
        <w:t xml:space="preserve">stripUnsafeOutput</w:t>
      </w:r>
      <w:r>
        <w:t xml:space="preserve">, нормализация тона</w:t>
      </w:r>
      <w:r>
        <w:t xml:space="preserve"> </w:t>
      </w:r>
      <w:r>
        <w:rPr>
          <w:rStyle w:val="VerbatimChar"/>
        </w:rPr>
        <w:t xml:space="preserve">enforceImpersonalTone</w:t>
      </w:r>
      <w:r>
        <w:t xml:space="preserve">, динамический verdict-cap + AST-clamp), эмпирически подтверждённая результатом 0/60 успешных атак на пред-регистрированном корпусе атакующих решений, покрывающем 10 классов OWASP-LLM-Top-10.</w:t>
      </w:r>
    </w:p>
    <w:p>
      <w:pPr>
        <w:pStyle w:val="BodyText"/>
      </w:pPr>
      <w:r>
        <w:t xml:space="preserve">В-четвёртых, предложена пред-регистрированная конфирматорная методология сравнительной оценки конфигураций LLM-анализатора учебного кода: N_RUNS = 3, cross-model LLM-судья (Claude vs GigaChat), статистические тесты Wilcoxon с поправкой Holm-Bonferroni и непараметрическая мера эффекта Cliff’s δ. Методология сформулирована как воспроизводимый шаблон, применимый и к другим конфигурациям LLM-анализаторов учебного кода.</w:t>
      </w:r>
    </w:p>
    <w:bookmarkEnd w:id="24"/>
    <w:bookmarkStart w:id="25" w:name="теоретическая-значимость"/>
    <w:p>
      <w:pPr>
        <w:pStyle w:val="Heading2"/>
      </w:pPr>
      <w:r>
        <w:t xml:space="preserve">Теоретическая значимость</w:t>
      </w:r>
    </w:p>
    <w:p>
      <w:pPr>
        <w:pStyle w:val="FirstParagraph"/>
      </w:pPr>
      <w:r>
        <w:t xml:space="preserve">Теоретическая значимость работы определяется тремя компонентами. Во-первых, сформулирован и обоснован принцип иерархии авторитетности источников оценки в задаче автоматического анализа учебного программного кода:</w:t>
      </w:r>
      <w:r>
        <w:t xml:space="preserve"> </w:t>
      </w:r>
      <w:r>
        <w:rPr>
          <w:rStyle w:val="VerbatimChar"/>
        </w:rPr>
        <w:t xml:space="preserve">sandbox-verdict &gt; AST-facts &gt; LLM-judgement</w:t>
      </w:r>
      <w:r>
        <w:t xml:space="preserve">. Принцип формализован в виде каскада ограничений на интегральную оценку качества (</w:t>
      </w:r>
      <w:r>
        <w:rPr>
          <w:rStyle w:val="VerbatimChar"/>
        </w:rPr>
        <w:t xml:space="preserve">dynamicQualityCap</w:t>
      </w:r>
      <w:r>
        <w:t xml:space="preserve"> </w:t>
      </w:r>
      <w:r>
        <w:t xml:space="preserve">и AST-clamp), что исключает галлюцинаторное завышение оценки независимо от поведения языковой модели. Во-вторых, описан и реализован композиционный механизм защиты конвейера интеллектуального анализа от инъекций в промпт, состоящий из семи независимых уровней (sentinel-маркеры, нормализация Unicode по форме NFKC, ограничение длины входа, валидация ответа по JSON-Schema с запретом дополнительных полей, очистка вывода, нормализация тона, динамическое верхнее ограничение оценки с учётом фактов абстрактного синтаксического дерева). Описание носит архитектурный характер и переносимо на иные конвейеры, использующие большие языковые модели в качестве компонента, обрабатывающего недоверенный вход. В-третьих, предложен методологический шаблон конфирматорной оценки конфигураций анализатора учебного кода на базе языковой модели, включающий пред-регистрацию гипотез, повторные измерения с фиксацией seed, cross-model судью, непараметрические статистические критерии и точечно-интервальную оценку защищённости. Шаблон применим к оценке любых сравнимых по архитектуре анализаторов и пригоден для воспроизведения в независимых исследованиях.</w:t>
      </w:r>
    </w:p>
    <w:bookmarkEnd w:id="25"/>
    <w:bookmarkStart w:id="26"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26"/>
    <w:bookmarkStart w:id="27" w:name="апробация-результатов-работы"/>
    <w:p>
      <w:pPr>
        <w:pStyle w:val="Heading2"/>
      </w:pPr>
      <w:r>
        <w:t xml:space="preserve">Апробация результатов работы</w:t>
      </w:r>
    </w:p>
    <w:p>
      <w:pPr>
        <w:pStyle w:val="FirstParagraph"/>
      </w:pPr>
      <w:r>
        <w:t xml:space="preserve">Основные положения и результаты работы апробированы посредством доклада на научном семинаре кафедры информатики РГУ нефти и газа (НИУ) имени И.М. Губкина. Доклад охватывал архитектуру разработанного веб-сервиса, реализованную семиуровневую защиту конвейера интеллектуального анализа от инъекций в промпт и результаты пред-регистрированного конфирматорного эксперимента. Разработанный прототип принят к использованию в учебном процессе кафедры информатики РГУ нефти и газа (НИУ) имени И.М. Губкина для автоматизированной проверки решений студентов по дисциплинам, связанным с обучением программированию, что подтверждается соответствующим актом о внедрении.</w:t>
      </w:r>
    </w:p>
    <w:bookmarkEnd w:id="27"/>
    <w:bookmarkStart w:id="28" w:name="структура-и-объём-работы"/>
    <w:p>
      <w:pPr>
        <w:pStyle w:val="Heading2"/>
      </w:pPr>
      <w:r>
        <w:t xml:space="preserve">Структура и объём работы</w:t>
      </w:r>
    </w:p>
    <w:p>
      <w:pPr>
        <w:pStyle w:val="FirstParagraph"/>
      </w:pPr>
      <w:r>
        <w:t xml:space="preserve">Работа состоит из введения, пяти глав, заключения, списка использованных источников и четырёх приложений. Объём основного текста пояснительной записки — порядка 95 страниц. В работе содержится 16 рисунков, 9 таблиц и более 30 использованных источников.</w:t>
      </w:r>
    </w:p>
    <w:p>
      <w:pPr>
        <w:pStyle w:val="BodyText"/>
      </w:pPr>
      <w:r>
        <w:t xml:space="preserve">В Главе 1 проведён критический анализ существующих открытых и коммерческих систем автоматической проверки программных решений, рассмотрены методы изоляции исполнения недоверенного кода и подходы к применению больших языковых моделей в задачах оценки учебного кода, сформулирована формальная постановка задачи и определены критерии оценки разрабатываемой системы. В Главе 2 построена формальная модель пайплайна проверки и формальная модель угроз, представлено проектирование системы в нотации C4 (уровни Context, Container, Component), описана модель данных и архитектура модуля интеллектуального анализа с явно сформулированной иерархией авторитетности источников оценки. В Главе 3 описана программная реализация всех функциональных модулей с обоснованием технологического стека и контрактно-ориентированным подходом на основе спецификации OpenAPI, включая инфраструктуру наблюдаемости и сквозное тестирование интерфейса. В Главе 5 представлено поведение системы в основных пользовательских сценариях с привлечением снимков экрана пользовательского интерфейса и панелей наблюдаемости. В Главе 5 приведены результаты пред-регистрированного конфирматорного эксперимента (60 элементов × 3 повтора × 3 варианта анализатора, 540 вызовов модели GigaChat, cross-model судья на базе модели Claude), проверка гипотез H1 и H2, cross-judge sanity-check и обсуждение ограничений работы.</w:t>
      </w:r>
    </w:p>
    <w:bookmarkEnd w:id="28"/>
    <w:bookmarkEnd w:id="29"/>
    <w:bookmarkStart w:id="37"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0"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0"/>
    <w:bookmarkStart w:id="31"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К моменту настоящего исследования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pPr>
      <w:r>
        <w:t xml:space="preserve">Таблица 1.1 Сравнительный анализ систем автоматической проверки кода</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1"/>
    <w:bookmarkStart w:id="32"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pPr>
      <w:r>
        <w:t xml:space="preserve">Таблица 1.2 Сравнение методов изоляции исполнения недоверенного кода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32"/>
    <w:bookmarkStart w:id="33"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33"/>
    <w:bookmarkStart w:id="34"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5 настоящей работы.</w:t>
      </w:r>
    </w:p>
    <w:p>
      <w:pPr>
        <w:pStyle w:val="BodyText"/>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5),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 В настоящей работе такой слой представлен динамической шкалой</w:t>
      </w:r>
      <w:r>
        <w:t xml:space="preserve"> </w:t>
      </w:r>
      <w:r>
        <w:rPr>
          <w:rStyle w:val="VerbatimChar"/>
        </w:rPr>
        <w:t xml:space="preserve">dynamicQualityCap</w:t>
      </w:r>
      <w:r>
        <w:t xml:space="preserve">, пропорциональной отношению прошедших тестов к общему числу (главы 2 и 3); конкретные параметры шкалы и обоснование выбранных границ приведены в подразделах 2.7.5 и 3.2.6.</w:t>
      </w:r>
    </w:p>
    <w:p>
      <w:pPr>
        <w:pStyle w:val="BodyText"/>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34"/>
    <w:bookmarkStart w:id="35" w:name="Xe410e43fd7ec3d5656b666e0ea80a3ff1b2bf87"/>
    <w:p>
      <w:pPr>
        <w:pStyle w:val="Heading2"/>
      </w:pPr>
      <w:r>
        <w:t xml:space="preserve">1.6. Формальная постановка задачи и критерии оценки</w:t>
      </w:r>
    </w:p>
    <w:p>
      <w:pPr>
        <w:pStyle w:val="FirstParagraph"/>
      </w:pPr>
      <w:r>
        <w:t xml:space="preserve">В настоящем подразделе сформулирована формальная постановка задачи разработки веб-сервиса автоматизированной проверки решений задач по программированию с применением языковой модели. Постановка опирается на теоретико-множественные конструкции и устанавливает фиксированный набор величин, через которые далее формулируются критерии оценки разрабатываемой системы.</w:t>
      </w:r>
    </w:p>
    <w:p>
      <w:pPr>
        <w:pStyle w:val="BodyText"/>
      </w:pPr>
      <w:r>
        <w:t xml:space="preserve">Пусть</w:t>
      </w:r>
      <w: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k</m:t>
            </m:r>
          </m:sub>
        </m:sSub>
        <m:r>
          <m:rPr>
            <m:sty m:val="p"/>
          </m:rPr>
          <m:t>}</m:t>
        </m:r>
      </m:oMath>
      <w:r>
        <w:t xml:space="preserve"> </w:t>
      </w:r>
      <w:r>
        <w:t xml:space="preserve">— конечное множество задач, поддерживаемых системой; каждая задача</w:t>
      </w:r>
      <w:r>
        <w:t xml:space="preserve"> </w:t>
      </w:r>
      <m:oMath>
        <m:sSub>
          <m:e>
            <m:r>
              <m:t>t</m:t>
            </m:r>
          </m:e>
          <m:sub>
            <m:r>
              <m:t>i</m:t>
            </m:r>
          </m:sub>
        </m:sSub>
      </m:oMath>
      <w:r>
        <w:t xml:space="preserve"> </w:t>
      </w:r>
      <w:r>
        <w:t xml:space="preserve">описывается кортежем</w:t>
      </w:r>
      <w:r>
        <w:t xml:space="preserve"> </w:t>
      </w:r>
      <m:oMath>
        <m:r>
          <m:rPr>
            <m:sty m:val="p"/>
          </m:rPr>
          <m:t>⟨</m:t>
        </m:r>
        <m:r>
          <m:rPr>
            <m:nor/>
            <m:sty m:val="p"/>
          </m:rPr>
          <m:t>id</m:t>
        </m:r>
        <m:r>
          <m:rPr>
            <m:sty m:val="p"/>
          </m:rPr>
          <m:t>,</m:t>
        </m:r>
        <m:r>
          <m:rPr>
            <m:nor/>
            <m:sty m:val="p"/>
          </m:rPr>
          <m:t>desc</m:t>
        </m:r>
        <m:r>
          <m:rPr>
            <m:sty m:val="p"/>
          </m:rPr>
          <m:t>,</m:t>
        </m:r>
        <m:r>
          <m:rPr>
            <m:nor/>
            <m:sty m:val="p"/>
          </m:rPr>
          <m:t>diff</m:t>
        </m:r>
        <m:r>
          <m:rPr>
            <m:sty m:val="p"/>
          </m:rPr>
          <m:t>,</m:t>
        </m:r>
        <m:r>
          <m:rPr>
            <m:nor/>
            <m:sty m:val="p"/>
          </m:rPr>
          <m:t>cat</m:t>
        </m:r>
        <m:r>
          <m:rPr>
            <m:sty m:val="p"/>
          </m:rPr>
          <m:t>,</m:t>
        </m:r>
        <m:sSub>
          <m:e>
            <m:r>
              <m:rPr>
                <m:nor/>
                <m:sty m:val="p"/>
              </m:rPr>
              <m:t>TC</m:t>
            </m:r>
          </m:e>
          <m:sub>
            <m:r>
              <m:t>i</m:t>
            </m:r>
          </m:sub>
        </m:sSub>
        <m:r>
          <m:rPr>
            <m:sty m:val="p"/>
          </m:rPr>
          <m:t>⟩</m:t>
        </m:r>
      </m:oMath>
      <w:r>
        <w:t xml:space="preserve">, где</w:t>
      </w:r>
      <w:r>
        <w:t xml:space="preserve"> </w:t>
      </w:r>
      <m:oMath>
        <m:r>
          <m:rPr>
            <m:nor/>
            <m:sty m:val="p"/>
          </m:rPr>
          <m:t>id</m:t>
        </m:r>
      </m:oMath>
      <w:r>
        <w:t xml:space="preserve"> </w:t>
      </w:r>
      <w:r>
        <w:t xml:space="preserve">— уникальный идентификатор,</w:t>
      </w:r>
      <w:r>
        <w:t xml:space="preserve"> </w:t>
      </w:r>
      <m:oMath>
        <m:r>
          <m:rPr>
            <m:nor/>
            <m:sty m:val="p"/>
          </m:rPr>
          <m:t>desc</m:t>
        </m:r>
      </m:oMath>
      <w:r>
        <w:t xml:space="preserve"> </w:t>
      </w:r>
      <w:r>
        <w:t xml:space="preserve">— текстовое описание условия,</w:t>
      </w:r>
      <w:r>
        <w:t xml:space="preserve"> </w:t>
      </w:r>
      <m:oMath>
        <m:r>
          <m:rPr>
            <m:nor/>
            <m:sty m:val="p"/>
          </m:rPr>
          <m:t>diff</m:t>
        </m:r>
        <m:r>
          <m:rPr>
            <m:sty m:val="p"/>
          </m:rPr>
          <m:t>∈</m:t>
        </m:r>
        <m:r>
          <m:rPr>
            <m:sty m:val="p"/>
          </m:rPr>
          <m:t>{</m:t>
        </m:r>
        <m:r>
          <m:rPr>
            <m:nor/>
            <m:sty m:val="p"/>
          </m:rPr>
          <m:t>Easy</m:t>
        </m:r>
        <m:r>
          <m:rPr>
            <m:sty m:val="p"/>
          </m:rPr>
          <m:t>,</m:t>
        </m:r>
        <m:r>
          <m:rPr>
            <m:nor/>
            <m:sty m:val="p"/>
          </m:rPr>
          <m:t>Medium</m:t>
        </m:r>
        <m:r>
          <m:rPr>
            <m:sty m:val="p"/>
          </m:rPr>
          <m:t>,</m:t>
        </m:r>
        <m:r>
          <m:rPr>
            <m:nor/>
            <m:sty m:val="p"/>
          </m:rPr>
          <m:t>Hard</m:t>
        </m:r>
        <m:r>
          <m:rPr>
            <m:sty m:val="p"/>
          </m:rPr>
          <m:t>}</m:t>
        </m:r>
      </m:oMath>
      <w:r>
        <w:t xml:space="preserve"> </w:t>
      </w:r>
      <w:r>
        <w:t xml:space="preserve">— уровень сложности,</w:t>
      </w:r>
      <w:r>
        <w:t xml:space="preserve"> </w:t>
      </w:r>
      <m:oMath>
        <m:r>
          <m:rPr>
            <m:nor/>
            <m:sty m:val="p"/>
          </m:rPr>
          <m:t>cat</m:t>
        </m:r>
      </m:oMath>
      <w:r>
        <w:t xml:space="preserve"> </w:t>
      </w:r>
      <w:r>
        <w:t xml:space="preserve">— тематическая категория,</w:t>
      </w:r>
      <w:r>
        <w:t xml:space="preserve"> </w:t>
      </w:r>
      <m:oMath>
        <m:sSub>
          <m:e>
            <m:r>
              <m:rPr>
                <m:nor/>
                <m:sty m:val="p"/>
              </m:rPr>
              <m:t>TC</m:t>
            </m:r>
          </m:e>
          <m:sub>
            <m:r>
              <m:t>i</m:t>
            </m:r>
          </m:sub>
        </m:sSub>
        <m:r>
          <m:rPr>
            <m:sty m:val="p"/>
          </m:rPr>
          <m:t>=</m:t>
        </m:r>
        <m:r>
          <m:rPr>
            <m:sty m:val="p"/>
          </m:rPr>
          <m:t>{</m:t>
        </m:r>
        <m:r>
          <m:t>t</m:t>
        </m:r>
        <m:sSub>
          <m:e>
            <m:r>
              <m:t>c</m:t>
            </m:r>
          </m:e>
          <m:sub>
            <m:r>
              <m:t>i</m:t>
            </m:r>
            <m:r>
              <m:rPr>
                <m:sty m:val="p"/>
              </m:rPr>
              <m:t>,</m:t>
            </m:r>
            <m:r>
              <m:t>1</m:t>
            </m:r>
          </m:sub>
        </m:sSub>
        <m:r>
          <m:rPr>
            <m:sty m:val="p"/>
          </m:rPr>
          <m:t>,</m:t>
        </m:r>
        <m:r>
          <m:rPr>
            <m:sty m:val="p"/>
          </m:rPr>
          <m:t>…</m:t>
        </m:r>
        <m:r>
          <m:rPr>
            <m:sty m:val="p"/>
          </m:rPr>
          <m:t>,</m:t>
        </m:r>
        <m:r>
          <m:t>t</m:t>
        </m:r>
        <m:sSub>
          <m:e>
            <m:r>
              <m:t>c</m:t>
            </m:r>
          </m:e>
          <m:sub>
            <m:r>
              <m:t>i</m:t>
            </m:r>
            <m:r>
              <m:rPr>
                <m:sty m:val="p"/>
              </m:rPr>
              <m:t>,</m:t>
            </m:r>
            <m:sSub>
              <m:e>
                <m:r>
                  <m:t>n</m:t>
                </m:r>
              </m:e>
              <m:sub>
                <m:r>
                  <m:t>i</m:t>
                </m:r>
              </m:sub>
            </m:sSub>
          </m:sub>
        </m:sSub>
        <m:r>
          <m:rPr>
            <m:sty m:val="p"/>
          </m:rPr>
          <m:t>}</m:t>
        </m:r>
      </m:oMath>
      <w:r>
        <w:t xml:space="preserve"> </w:t>
      </w:r>
      <w:r>
        <w:t xml:space="preserve">— конечное множество тестовых случаев задачи. Каждый тестовый случай</w:t>
      </w:r>
      <w:r>
        <w:t xml:space="preserve"> </w:t>
      </w:r>
      <m:oMath>
        <m:r>
          <m:t>t</m:t>
        </m:r>
        <m:sSub>
          <m:e>
            <m:r>
              <m:t>c</m:t>
            </m:r>
          </m:e>
          <m:sub>
            <m:r>
              <m:t>i</m:t>
            </m:r>
            <m:r>
              <m:rPr>
                <m:sty m:val="p"/>
              </m:rPr>
              <m:t>,</m:t>
            </m:r>
            <m:r>
              <m:t>j</m:t>
            </m:r>
          </m:sub>
        </m:sSub>
      </m:oMath>
      <w:r>
        <w:t xml:space="preserve"> </w:t>
      </w:r>
      <w:r>
        <w:t xml:space="preserve">задан парой</w:t>
      </w:r>
      <w:r>
        <w:t xml:space="preserve"> </w:t>
      </w:r>
      <m:oMath>
        <m:r>
          <m:rPr>
            <m:sty m:val="p"/>
          </m:rPr>
          <m:t>⟨</m:t>
        </m:r>
        <m:sSub>
          <m:e>
            <m:r>
              <m:rPr>
                <m:nor/>
                <m:sty m:val="p"/>
              </m:rPr>
              <m:t>input</m:t>
            </m:r>
          </m:e>
          <m:sub>
            <m:r>
              <m:t>i</m:t>
            </m:r>
            <m:r>
              <m:rPr>
                <m:sty m:val="p"/>
              </m:rPr>
              <m:t>,</m:t>
            </m:r>
            <m:r>
              <m:t>j</m:t>
            </m:r>
          </m:sub>
        </m:sSub>
        <m:r>
          <m:rPr>
            <m:sty m:val="p"/>
          </m:rPr>
          <m:t>,</m:t>
        </m:r>
        <m:sSub>
          <m:e>
            <m:r>
              <m:rPr>
                <m:nor/>
                <m:sty m:val="p"/>
              </m:rPr>
              <m:t>expected</m:t>
            </m:r>
          </m:e>
          <m:sub>
            <m:r>
              <m:t>i</m:t>
            </m:r>
            <m:r>
              <m:rPr>
                <m:sty m:val="p"/>
              </m:rPr>
              <m:t>,</m:t>
            </m:r>
            <m:r>
              <m:t>j</m:t>
            </m:r>
          </m:sub>
        </m:sSub>
        <m:r>
          <m:rPr>
            <m:sty m:val="p"/>
          </m:rPr>
          <m:t>⟩</m:t>
        </m:r>
      </m:oMath>
      <w:r>
        <w:t xml:space="preserve">.</w:t>
      </w:r>
    </w:p>
    <w:p>
      <w:pPr>
        <w:pStyle w:val="BodyText"/>
      </w:pPr>
      <w:r>
        <w:t xml:space="preserve">Пусть</w:t>
      </w:r>
      <w:r>
        <w:t xml:space="preserve"> </w:t>
      </w:r>
      <m:oMath>
        <m:r>
          <m:t>L</m:t>
        </m:r>
        <m:r>
          <m:rPr>
            <m:sty m:val="p"/>
          </m:rPr>
          <m:t>=</m:t>
        </m:r>
        <m:r>
          <m:rPr>
            <m:sty m:val="p"/>
          </m:rPr>
          <m:t>{</m:t>
        </m:r>
        <m:r>
          <m:rPr>
            <m:nor/>
            <m:sty m:val="p"/>
          </m:rPr>
          <m:t>Java</m:t>
        </m:r>
        <m:r>
          <m:rPr>
            <m:sty m:val="p"/>
          </m:rPr>
          <m:t>,</m:t>
        </m:r>
        <m:r>
          <m:rPr>
            <m:nor/>
            <m:sty m:val="p"/>
          </m:rPr>
          <m:t>Python</m:t>
        </m:r>
        <m:r>
          <m:rPr>
            <m:sty m:val="p"/>
          </m:rPr>
          <m:t>}</m:t>
        </m:r>
      </m:oMath>
      <w:r>
        <w:t xml:space="preserve"> </w:t>
      </w:r>
      <w:r>
        <w:t xml:space="preserve">— множество поддерживаемых языков программирования (см. подраздел 3.1.5). Пусть</w:t>
      </w:r>
      <w:r>
        <w:t xml:space="preserve"> </w:t>
      </w:r>
      <m:oMath>
        <m:r>
          <m:t>U</m:t>
        </m:r>
      </m:oMath>
      <w:r>
        <w:t xml:space="preserve"> </w:t>
      </w:r>
      <w:r>
        <w:t xml:space="preserve">— множество зарегистрированных пользователей,</w:t>
      </w:r>
      <w:r>
        <w:t xml:space="preserve"> </w:t>
      </w:r>
      <m:oMath>
        <m:r>
          <m:t>S</m:t>
        </m:r>
        <m:r>
          <m:rPr>
            <m:sty m:val="p"/>
          </m:rPr>
          <m:t>⊆</m:t>
        </m:r>
        <m:r>
          <m:t>U</m:t>
        </m:r>
        <m:r>
          <m:rPr>
            <m:sty m:val="p"/>
          </m:rPr>
          <m:t>×</m:t>
        </m:r>
        <m:r>
          <m:t>T</m:t>
        </m:r>
        <m:r>
          <m:rPr>
            <m:sty m:val="p"/>
          </m:rPr>
          <m:t>×</m:t>
        </m:r>
        <m:r>
          <m:t>L</m:t>
        </m:r>
        <m:r>
          <m:rPr>
            <m:sty m:val="p"/>
          </m:rPr>
          <m:t>×</m:t>
        </m:r>
        <m:sSup>
          <m:e>
            <m:r>
              <m:rPr>
                <m:sty m:val="p"/>
              </m:rPr>
              <m:t>Σ</m:t>
            </m:r>
          </m:e>
          <m:sup>
            <m:r>
              <m:rPr>
                <m:sty m:val="p"/>
              </m:rPr>
              <m:t>*</m:t>
            </m:r>
          </m:sup>
        </m:sSup>
      </m:oMath>
      <w:r>
        <w:t xml:space="preserve"> </w:t>
      </w:r>
      <w:r>
        <w:t xml:space="preserve">— множество решений (submission), где</w:t>
      </w:r>
      <w:r>
        <w:t xml:space="preserve"> </w:t>
      </w:r>
      <m:oMath>
        <m:sSup>
          <m:e>
            <m:r>
              <m:rPr>
                <m:sty m:val="p"/>
              </m:rPr>
              <m:t>Σ</m:t>
            </m:r>
          </m:e>
          <m:sup>
            <m:r>
              <m:rPr>
                <m:sty m:val="p"/>
              </m:rPr>
              <m:t>*</m:t>
            </m:r>
          </m:sup>
        </m:sSup>
      </m:oMath>
      <w:r>
        <w:t xml:space="preserve"> </w:t>
      </w:r>
      <w:r>
        <w:t xml:space="preserve">— множество всевозможных конечных строк в алфавите Unicode. Каждое решение</w:t>
      </w:r>
      <w:r>
        <w:t xml:space="preserve"> </w:t>
      </w:r>
      <m:oMath>
        <m:r>
          <m:t>s</m:t>
        </m:r>
        <m:r>
          <m:rPr>
            <m:sty m:val="p"/>
          </m:rPr>
          <m:t>=</m:t>
        </m:r>
        <m:r>
          <m:rPr>
            <m:sty m:val="p"/>
          </m:rPr>
          <m:t>⟨</m:t>
        </m:r>
        <m:r>
          <m:t>u</m:t>
        </m:r>
        <m:r>
          <m:rPr>
            <m:sty m:val="p"/>
          </m:rPr>
          <m:t>,</m:t>
        </m:r>
        <m:r>
          <m:t>t</m:t>
        </m:r>
        <m:r>
          <m:rPr>
            <m:sty m:val="p"/>
          </m:rPr>
          <m:t>,</m:t>
        </m:r>
        <m:r>
          <m:t>l</m:t>
        </m:r>
        <m:r>
          <m:rPr>
            <m:sty m:val="p"/>
          </m:rPr>
          <m:t>,</m:t>
        </m:r>
        <m:r>
          <m:t>c</m:t>
        </m:r>
        <m:r>
          <m:rPr>
            <m:sty m:val="p"/>
          </m:rPr>
          <m:t>⟩</m:t>
        </m:r>
        <m:r>
          <m:rPr>
            <m:sty m:val="p"/>
          </m:rPr>
          <m:t>∈</m:t>
        </m:r>
        <m:r>
          <m:t>S</m:t>
        </m:r>
      </m:oMath>
      <w:r>
        <w:t xml:space="preserve"> </w:t>
      </w:r>
      <w:r>
        <w:t xml:space="preserve">— это пользователь</w:t>
      </w:r>
      <w:r>
        <w:t xml:space="preserve"> </w:t>
      </w:r>
      <m:oMath>
        <m:r>
          <m:t>u</m:t>
        </m:r>
      </m:oMath>
      <w:r>
        <w:t xml:space="preserve">, задача</w:t>
      </w:r>
      <w:r>
        <w:t xml:space="preserve"> </w:t>
      </w:r>
      <m:oMath>
        <m:r>
          <m:t>t</m:t>
        </m:r>
      </m:oMath>
      <w:r>
        <w:t xml:space="preserve">, выбранный язык</w:t>
      </w:r>
      <w:r>
        <w:t xml:space="preserve"> </w:t>
      </w:r>
      <m:oMath>
        <m:r>
          <m:t>l</m:t>
        </m:r>
      </m:oMath>
      <w:r>
        <w:t xml:space="preserve"> </w:t>
      </w:r>
      <w:r>
        <w:t xml:space="preserve">и исходный текст программы</w:t>
      </w:r>
      <w:r>
        <w:t xml:space="preserve"> </w:t>
      </w:r>
      <m:oMath>
        <m:r>
          <m:t>c</m:t>
        </m:r>
      </m:oMath>
      <w:r>
        <w:t xml:space="preserve">.</w:t>
      </w:r>
    </w:p>
    <w:p>
      <w:pPr>
        <w:pStyle w:val="BodyText"/>
      </w:pPr>
      <w:r>
        <w:t xml:space="preserve">Пусть</w:t>
      </w:r>
      <w:r>
        <w:t xml:space="preserve"> </w:t>
      </w:r>
      <m:oMath>
        <m:r>
          <m:t>V</m:t>
        </m:r>
        <m:r>
          <m:rPr>
            <m:sty m:val="p"/>
          </m:rPr>
          <m:t>=</m:t>
        </m:r>
        <m:r>
          <m:rPr>
            <m:sty m:val="p"/>
          </m:rPr>
          <m:t>{</m:t>
        </m:r>
        <m:r>
          <m:rPr>
            <m:nor/>
            <m:sty m:val="p"/>
          </m:rPr>
          <m:t>OK</m:t>
        </m:r>
        <m:r>
          <m:rPr>
            <m:sty m:val="p"/>
          </m:rPr>
          <m:t>,</m:t>
        </m:r>
        <m:r>
          <m:rPr>
            <m:nor/>
            <m:sty m:val="p"/>
          </m:rPr>
          <m:t>WA</m:t>
        </m:r>
        <m:r>
          <m:rPr>
            <m:sty m:val="p"/>
          </m:rPr>
          <m:t>,</m:t>
        </m:r>
        <m:r>
          <m:rPr>
            <m:nor/>
            <m:sty m:val="p"/>
          </m:rPr>
          <m:t>TLE</m:t>
        </m:r>
        <m:r>
          <m:rPr>
            <m:sty m:val="p"/>
          </m:rPr>
          <m:t>,</m:t>
        </m:r>
        <m:r>
          <m:rPr>
            <m:nor/>
            <m:sty m:val="p"/>
          </m:rPr>
          <m:t>MLE</m:t>
        </m:r>
        <m:r>
          <m:rPr>
            <m:sty m:val="p"/>
          </m:rPr>
          <m:t>,</m:t>
        </m:r>
        <m:r>
          <m:rPr>
            <m:nor/>
            <m:sty m:val="p"/>
          </m:rPr>
          <m:t>RE</m:t>
        </m:r>
        <m:r>
          <m:rPr>
            <m:sty m:val="p"/>
          </m:rPr>
          <m:t>}</m:t>
        </m:r>
      </m:oMath>
      <w:r>
        <w:t xml:space="preserve"> </w:t>
      </w:r>
      <w:r>
        <w:t xml:space="preserve">— множество категориальных вердиктов исполнения, где WA — Wrong Answer, TLE — Time Limit Exceeded, MLE — Memory Limit Exceeded, RE — Runtime Error. Функция исполнения</w:t>
      </w:r>
      <w:r>
        <w:t xml:space="preserve"> </w:t>
      </w:r>
      <m:oMath>
        <m:r>
          <m:rPr>
            <m:nor/>
            <m:sty m:val="p"/>
          </m:rPr>
          <m:t>exec</m:t>
        </m:r>
        <m:r>
          <m:rPr>
            <m:sty m:val="p"/>
          </m:rPr>
          <m:t>:</m:t>
        </m:r>
        <m:r>
          <m:t>S</m:t>
        </m:r>
        <m:r>
          <m:rPr>
            <m:sty m:val="p"/>
          </m:rPr>
          <m:t>×</m:t>
        </m:r>
        <m:r>
          <m:t>T</m:t>
        </m:r>
        <m:r>
          <m:t>C</m:t>
        </m:r>
        <m:r>
          <m:rPr>
            <m:sty m:val="p"/>
          </m:rPr>
          <m:t>→</m:t>
        </m:r>
        <m:r>
          <m:t>V</m:t>
        </m:r>
        <m:r>
          <m:rPr>
            <m:sty m:val="p"/>
          </m:rPr>
          <m:t>×</m:t>
        </m:r>
        <m:r>
          <m:rPr>
            <m:scr m:val="double-struck"/>
            <m:sty m:val="p"/>
          </m:rPr>
          <m:t>N</m:t>
        </m:r>
        <m:r>
          <m:rPr>
            <m:sty m:val="p"/>
          </m:rPr>
          <m:t>×</m:t>
        </m:r>
        <m:r>
          <m:rPr>
            <m:scr m:val="double-struck"/>
            <m:sty m:val="p"/>
          </m:rPr>
          <m:t>N</m:t>
        </m:r>
      </m:oMath>
      <w:r>
        <w:t xml:space="preserve"> </w:t>
      </w:r>
      <w:r>
        <w:t xml:space="preserve">сопоставляет решению и тестовому случаю триплет «вердикт, время исполнения в миллисекундах, пиковое потребление памяти в килобайтах».</w:t>
      </w:r>
    </w:p>
    <w:p>
      <w:pPr>
        <w:pStyle w:val="BodyText"/>
      </w:pPr>
      <w:r>
        <w:t xml:space="preserve">Пусть</w:t>
      </w:r>
      <w:r>
        <w:t xml:space="preserve"> </w:t>
      </w:r>
      <m:oMath>
        <m:r>
          <m:rPr>
            <m:nor/>
            <m:sty m:val="p"/>
          </m:rPr>
          <m:t>AST</m:t>
        </m:r>
        <m:r>
          <m:rPr>
            <m:sty m:val="p"/>
          </m:rPr>
          <m:t>(</m:t>
        </m:r>
        <m:r>
          <m:t>c</m:t>
        </m:r>
        <m:r>
          <m:rPr>
            <m:sty m:val="p"/>
          </m:rPr>
          <m:t>,</m:t>
        </m:r>
        <m:r>
          <m:t>l</m:t>
        </m:r>
        <m:r>
          <m:rPr>
            <m:sty m:val="p"/>
          </m:rPr>
          <m:t>)</m:t>
        </m:r>
      </m:oMath>
      <w:r>
        <w:t xml:space="preserve"> </w:t>
      </w:r>
      <w:r>
        <w:t xml:space="preserve">— функция извлечения синтаксических фактов из исходного кода в виде кортежа бинарных и числовых признаков, описанных в подразделе 1.5. Пусть</w:t>
      </w:r>
      <w:r>
        <w:t xml:space="preserve"> </w:t>
      </w:r>
      <m:oMath>
        <m:r>
          <m:rPr>
            <m:sty m:val="p"/>
          </m:rPr>
          <m:t>Λ</m:t>
        </m:r>
      </m:oMath>
      <w:r>
        <w:t xml:space="preserve"> </w:t>
      </w:r>
      <w:r>
        <w:t xml:space="preserve">— пространство возможных текстовых разборов, формируемых языковой моделью; функция</w:t>
      </w:r>
      <w:r>
        <w:t xml:space="preserve"> </w:t>
      </w:r>
      <m:oMath>
        <m:r>
          <m:rPr>
            <m:nor/>
            <m:sty m:val="p"/>
          </m:rPr>
          <m:t>LLM</m:t>
        </m:r>
        <m:r>
          <m:rPr>
            <m:sty m:val="p"/>
          </m:rPr>
          <m:t>:</m:t>
        </m:r>
        <m:r>
          <m:t>S</m:t>
        </m:r>
        <m:r>
          <m:rPr>
            <m:sty m:val="p"/>
          </m:rPr>
          <m:t>×</m:t>
        </m:r>
        <m:sSup>
          <m:e>
            <m:r>
              <m:t>V</m:t>
            </m:r>
          </m:e>
          <m:sup>
            <m:r>
              <m:rPr>
                <m:sty m:val="p"/>
              </m:rPr>
              <m:t>*</m:t>
            </m:r>
          </m:sup>
        </m:sSup>
        <m:r>
          <m:rPr>
            <m:sty m:val="p"/>
          </m:rPr>
          <m:t>×</m:t>
        </m:r>
        <m:r>
          <m:rPr>
            <m:nor/>
            <m:sty m:val="p"/>
          </m:rPr>
          <m:t>AST</m:t>
        </m:r>
        <m:r>
          <m:rPr>
            <m:sty m:val="p"/>
          </m:rPr>
          <m:t>→</m:t>
        </m:r>
        <m:r>
          <m:rPr>
            <m:sty m:val="p"/>
          </m:rPr>
          <m:t>Λ</m:t>
        </m:r>
        <m:r>
          <m:rPr>
            <m:sty m:val="p"/>
          </m:rPr>
          <m:t>×</m:t>
        </m:r>
        <m:r>
          <m:rPr>
            <m:sty m:val="p"/>
          </m:rPr>
          <m:t>[</m:t>
        </m:r>
        <m:r>
          <m:t>0</m:t>
        </m:r>
        <m:r>
          <m:rPr>
            <m:sty m:val="p"/>
          </m:rPr>
          <m:t>,</m:t>
        </m:r>
        <m:r>
          <m:t>100</m:t>
        </m:r>
        <m:r>
          <m:rPr>
            <m:sty m:val="p"/>
          </m:rPr>
          <m:t>]</m:t>
        </m:r>
      </m:oMath>
      <w:r>
        <w:t xml:space="preserve"> </w:t>
      </w:r>
      <w:r>
        <w:t xml:space="preserve">сопоставляет решению, последовательности вердиктов по всем тестам и блоку AST-фактов пару «текстовый разбор, числовая оценка качества кода».</w:t>
      </w:r>
    </w:p>
    <w:p>
      <w:pPr>
        <w:pStyle w:val="BodyText"/>
      </w:pPr>
      <w:r>
        <w:t xml:space="preserve">Задача разработки состоит в построении такой системы</w:t>
      </w:r>
      <w:r>
        <w:t xml:space="preserve"> </w:t>
      </w:r>
      <m:oMath>
        <m:r>
          <m:rPr>
            <m:sty m:val="p"/>
          </m:rPr>
          <m:t>Π</m:t>
        </m:r>
      </m:oMath>
      <w:r>
        <w:t xml:space="preserve">, которая для каждой submission</w:t>
      </w:r>
      <w:r>
        <w:t xml:space="preserve"> </w:t>
      </w:r>
      <m:oMath>
        <m:r>
          <m:t>s</m:t>
        </m:r>
        <m:r>
          <m:rPr>
            <m:sty m:val="p"/>
          </m:rPr>
          <m:t>∈</m:t>
        </m:r>
        <m:r>
          <m:t>S</m:t>
        </m:r>
      </m:oMath>
      <w:r>
        <w:t xml:space="preserve"> </w:t>
      </w:r>
      <w:r>
        <w:t xml:space="preserve">за конечное время возвращает кортеж</w:t>
      </w:r>
      <w:r>
        <w:t xml:space="preserve"> </w:t>
      </w:r>
      <m:oMath>
        <m:r>
          <m:rPr>
            <m:sty m:val="p"/>
          </m:rPr>
          <m:t>Π</m:t>
        </m:r>
        <m:r>
          <m:rPr>
            <m:sty m:val="p"/>
          </m:rPr>
          <m:t>(</m:t>
        </m:r>
        <m:r>
          <m:t>s</m:t>
        </m:r>
        <m:r>
          <m:rPr>
            <m:sty m:val="p"/>
          </m:rPr>
          <m:t>)</m:t>
        </m:r>
        <m:r>
          <m:rPr>
            <m:sty m:val="p"/>
          </m:rPr>
          <m:t>=</m:t>
        </m:r>
        <m:r>
          <m:rPr>
            <m:sty m:val="p"/>
          </m:rPr>
          <m:t>⟨</m:t>
        </m:r>
        <m:sSub>
          <m:e>
            <m:r>
              <m:rPr>
                <m:sty m:val="bi"/>
              </m:rPr>
              <m:t>V</m:t>
            </m:r>
          </m:e>
          <m:sub>
            <m:r>
              <m:t>s</m:t>
            </m:r>
          </m:sub>
        </m:sSub>
        <m:r>
          <m:rPr>
            <m:sty m:val="p"/>
          </m:rPr>
          <m:t>,</m:t>
        </m:r>
        <m:sSub>
          <m:e>
            <m:r>
              <m:t>λ</m:t>
            </m:r>
          </m:e>
          <m:sub>
            <m:r>
              <m:t>s</m:t>
            </m:r>
          </m:sub>
        </m:sSub>
        <m:r>
          <m:rPr>
            <m:sty m:val="p"/>
          </m:rPr>
          <m:t>,</m:t>
        </m:r>
        <m:sSub>
          <m:e>
            <m:r>
              <m:t>q</m:t>
            </m:r>
          </m:e>
          <m:sub>
            <m:r>
              <m:t>s</m:t>
            </m:r>
          </m:sub>
        </m:sSub>
        <m:r>
          <m:rPr>
            <m:sty m:val="p"/>
          </m:rPr>
          <m:t>⟩</m:t>
        </m:r>
      </m:oMath>
      <w:r>
        <w:t xml:space="preserve">, где</w:t>
      </w:r>
      <w:r>
        <w:t xml:space="preserve"> </w:t>
      </w:r>
      <m:oMath>
        <m:sSub>
          <m:e>
            <m:r>
              <m:rPr>
                <m:sty m:val="bi"/>
              </m:rPr>
              <m:t>V</m:t>
            </m:r>
          </m:e>
          <m:sub>
            <m:r>
              <m:t>s</m:t>
            </m:r>
          </m:sub>
        </m:sSub>
        <m:r>
          <m:rPr>
            <m:sty m:val="p"/>
          </m:rPr>
          <m:t>=</m:t>
        </m:r>
        <m:r>
          <m:rPr>
            <m:sty m:val="p"/>
          </m:rPr>
          <m:t>(</m:t>
        </m:r>
        <m:sSub>
          <m:e>
            <m:r>
              <m:t>v</m:t>
            </m:r>
          </m:e>
          <m:sub>
            <m:r>
              <m:t>s</m:t>
            </m:r>
            <m:r>
              <m:rPr>
                <m:sty m:val="p"/>
              </m:rPr>
              <m:t>,</m:t>
            </m:r>
            <m:r>
              <m:t>1</m:t>
            </m:r>
          </m:sub>
        </m:sSub>
        <m:r>
          <m:rPr>
            <m:sty m:val="p"/>
          </m:rPr>
          <m:t>,</m:t>
        </m:r>
        <m:r>
          <m:rPr>
            <m:sty m:val="p"/>
          </m:rPr>
          <m:t>…</m:t>
        </m:r>
        <m:r>
          <m:rPr>
            <m:sty m:val="p"/>
          </m:rPr>
          <m:t>,</m:t>
        </m:r>
        <m:sSub>
          <m:e>
            <m:r>
              <m:t>v</m:t>
            </m:r>
          </m:e>
          <m:sub>
            <m:r>
              <m:t>s</m:t>
            </m:r>
            <m:r>
              <m:rPr>
                <m:sty m:val="p"/>
              </m:rPr>
              <m:t>,</m:t>
            </m:r>
            <m:sSub>
              <m:e>
                <m:r>
                  <m:t>n</m:t>
                </m:r>
              </m:e>
              <m:sub>
                <m:r>
                  <m:t>t</m:t>
                </m:r>
              </m:sub>
            </m:sSub>
          </m:sub>
        </m:sSub>
        <m:r>
          <m:rPr>
            <m:sty m:val="p"/>
          </m:rPr>
          <m:t>)</m:t>
        </m:r>
        <m:r>
          <m:rPr>
            <m:sty m:val="p"/>
          </m:rPr>
          <m:t>∈</m:t>
        </m:r>
        <m:sSup>
          <m:e>
            <m:r>
              <m:t>V</m:t>
            </m:r>
          </m:e>
          <m:sup>
            <m:sSub>
              <m:e>
                <m:r>
                  <m:t>n</m:t>
                </m:r>
              </m:e>
              <m:sub>
                <m:r>
                  <m:t>t</m:t>
                </m:r>
              </m:sub>
            </m:sSub>
          </m:sup>
        </m:sSup>
      </m:oMath>
      <w:r>
        <w:t xml:space="preserve"> </w:t>
      </w:r>
      <w:r>
        <w:t xml:space="preserve">— последовательность вердиктов по всем тестовым случаям задачи</w:t>
      </w:r>
      <w:r>
        <w:t xml:space="preserve"> </w:t>
      </w:r>
      <m:oMath>
        <m:r>
          <m:t>t</m:t>
        </m:r>
      </m:oMath>
      <w:r>
        <w:t xml:space="preserve">,</w:t>
      </w:r>
      <w:r>
        <w:t xml:space="preserve"> </w:t>
      </w:r>
      <m:oMath>
        <m:sSub>
          <m:e>
            <m:r>
              <m:t>λ</m:t>
            </m:r>
          </m:e>
          <m:sub>
            <m:r>
              <m:t>s</m:t>
            </m:r>
          </m:sub>
        </m:sSub>
        <m:r>
          <m:rPr>
            <m:sty m:val="p"/>
          </m:rPr>
          <m:t>∈</m:t>
        </m:r>
        <m:r>
          <m:rPr>
            <m:sty m:val="p"/>
          </m:rPr>
          <m:t>Λ</m:t>
        </m:r>
      </m:oMath>
      <w:r>
        <w:t xml:space="preserve"> </w:t>
      </w:r>
      <w:r>
        <w:t xml:space="preserve">— текстовый разбор,</w:t>
      </w:r>
      <w:r>
        <w:t xml:space="preserve"> </w:t>
      </w:r>
      <m:oMath>
        <m:sSub>
          <m:e>
            <m:r>
              <m:t>q</m:t>
            </m:r>
          </m:e>
          <m:sub>
            <m:r>
              <m:t>s</m:t>
            </m:r>
          </m:sub>
        </m:sSub>
        <m:r>
          <m:rPr>
            <m:sty m:val="p"/>
          </m:rPr>
          <m:t>∈</m:t>
        </m:r>
        <m:r>
          <m:rPr>
            <m:sty m:val="p"/>
          </m:rPr>
          <m:t>[</m:t>
        </m:r>
        <m:r>
          <m:t>0</m:t>
        </m:r>
        <m:r>
          <m:rPr>
            <m:sty m:val="p"/>
          </m:rPr>
          <m:t>,</m:t>
        </m:r>
        <m:r>
          <m:t>100</m:t>
        </m:r>
        <m:r>
          <m:rPr>
            <m:sty m:val="p"/>
          </m:rPr>
          <m:t>]</m:t>
        </m:r>
      </m:oMath>
      <w:r>
        <w:t xml:space="preserve"> </w:t>
      </w:r>
      <w:r>
        <w:t xml:space="preserve">— интегральная оценка качества решения. Числовая оценка</w:t>
      </w:r>
      <w:r>
        <w:t xml:space="preserve"> </w:t>
      </w:r>
      <m:oMath>
        <m:sSub>
          <m:e>
            <m:r>
              <m:t>q</m:t>
            </m:r>
          </m:e>
          <m:sub>
            <m:r>
              <m:t>s</m:t>
            </m:r>
          </m:sub>
        </m:sSub>
      </m:oMath>
      <w:r>
        <w:t xml:space="preserve"> </w:t>
      </w:r>
      <w:r>
        <w:t xml:space="preserve">обязана удовлетворять формальному ограничению согласованности с вердиктом песочницы, выражаемому через функцию динамического верхнего предела</w:t>
      </w:r>
      <w:r>
        <w:t xml:space="preserve"> </w:t>
      </w:r>
      <w:r>
        <w:rPr>
          <w:rStyle w:val="VerbatimChar"/>
        </w:rPr>
        <w:t xml:space="preserve">dynamicQualityCap</w:t>
      </w:r>
      <w:r>
        <w:t xml:space="preserve"> </w:t>
      </w:r>
      <w:r>
        <w:t xml:space="preserve">(см. подразделы 2.3 и 3.2.6):</w:t>
      </w:r>
    </w:p>
    <w:p>
      <w:pPr>
        <w:pStyle w:val="BodyText"/>
      </w:pPr>
      <m:oMath>
        <m:sSub>
          <m:e>
            <m:r>
              <m:t>q</m:t>
            </m:r>
          </m:e>
          <m:sub>
            <m:r>
              <m:t>s</m:t>
            </m:r>
          </m:sub>
        </m:sSub>
        <m:r>
          <m:rPr>
            <m:sty m:val="p"/>
          </m:rPr>
          <m:t>≤</m:t>
        </m:r>
        <m:r>
          <m:rPr>
            <m:nor/>
            <m:sty m:val="p"/>
          </m:rPr>
          <m:t>cap</m:t>
        </m:r>
        <m:r>
          <m:t>​</m:t>
        </m:r>
        <m:d>
          <m:dPr>
            <m:begChr m:val="("/>
            <m:sepChr m:val=""/>
            <m:endChr m:val=")"/>
            <m:grow/>
          </m:dPr>
          <m:e>
            <m:f>
              <m:fPr>
                <m:type m:val="bar"/>
              </m:fPr>
              <m:num>
                <m:r>
                  <m:rPr>
                    <m:sty m:val="p"/>
                  </m:rPr>
                  <m:t>|</m:t>
                </m:r>
                <m:r>
                  <m:rPr>
                    <m:sty m:val="p"/>
                  </m:rPr>
                  <m:t>{</m:t>
                </m:r>
                <m:r>
                  <m:t>j</m:t>
                </m:r>
                <m:r>
                  <m:rPr>
                    <m:sty m:val="p"/>
                  </m:rPr>
                  <m:t>:</m:t>
                </m:r>
                <m:sSub>
                  <m:e>
                    <m:r>
                      <m:t>v</m:t>
                    </m:r>
                  </m:e>
                  <m:sub>
                    <m:r>
                      <m:t>s</m:t>
                    </m:r>
                    <m:r>
                      <m:rPr>
                        <m:sty m:val="p"/>
                      </m:rPr>
                      <m:t>,</m:t>
                    </m:r>
                    <m:r>
                      <m:t>j</m:t>
                    </m:r>
                  </m:sub>
                </m:sSub>
                <m:r>
                  <m:rPr>
                    <m:sty m:val="p"/>
                  </m:rPr>
                  <m:t>=</m:t>
                </m:r>
                <m:r>
                  <m:rPr>
                    <m:nor/>
                    <m:sty m:val="p"/>
                  </m:rPr>
                  <m:t>OK</m:t>
                </m:r>
                <m:r>
                  <m:rPr>
                    <m:sty m:val="p"/>
                  </m:rPr>
                  <m:t>}</m:t>
                </m:r>
                <m:r>
                  <m:rPr>
                    <m:sty m:val="p"/>
                  </m:rPr>
                  <m:t>|</m:t>
                </m:r>
              </m:num>
              <m:den>
                <m:sSub>
                  <m:e>
                    <m:r>
                      <m:t>n</m:t>
                    </m:r>
                  </m:e>
                  <m:sub>
                    <m:r>
                      <m:t>t</m:t>
                    </m:r>
                  </m:sub>
                </m:sSub>
              </m:den>
            </m:f>
            <m:r>
              <m:rPr>
                <m:sty m:val="p"/>
              </m:rPr>
              <m:t>,</m:t>
            </m:r>
            <m:r>
              <m:rPr>
                <m:nor/>
                <m:sty m:val="p"/>
              </m:rPr>
              <m:t>AST</m:t>
            </m:r>
            <m:r>
              <m:rPr>
                <m:sty m:val="p"/>
              </m:rPr>
              <m:t>(</m:t>
            </m:r>
            <m:r>
              <m:t>c</m:t>
            </m:r>
            <m:r>
              <m:rPr>
                <m:sty m:val="p"/>
              </m:rPr>
              <m:t>,</m:t>
            </m:r>
            <m:r>
              <m:t>l</m:t>
            </m:r>
            <m:r>
              <m:rPr>
                <m:sty m:val="p"/>
              </m:rPr>
              <m:t>)</m:t>
            </m:r>
          </m:e>
        </m:d>
      </m:oMath>
      <w:r>
        <w:t xml:space="preserve">.</w:t>
      </w:r>
    </w:p>
    <w:p>
      <w:pPr>
        <w:pStyle w:val="BodyText"/>
      </w:pPr>
      <w:r>
        <w:t xml:space="preserve">Критерии оценки разрабатываемой системы образуют пять групп.</w:t>
      </w:r>
    </w:p>
    <w:p>
      <w:pPr>
        <w:pStyle w:val="BodyText"/>
      </w:pPr>
      <w:r>
        <w:rPr>
          <w:b/>
          <w:bCs/>
        </w:rPr>
        <w:t xml:space="preserve">Критерий корректности классификации вердикта.</w:t>
      </w:r>
      <w:r>
        <w:t xml:space="preserve"> </w:t>
      </w:r>
      <w:r>
        <w:t xml:space="preserve">Для эталонного набора решений, чьи ожидаемые вердикты определены вручную, доля submission, для которых</w:t>
      </w:r>
      <w:r>
        <w:t xml:space="preserve"> </w:t>
      </w:r>
      <m:oMath>
        <m:sSub>
          <m:e>
            <m:r>
              <m:rPr>
                <m:sty m:val="bi"/>
              </m:rPr>
              <m:t>V</m:t>
            </m:r>
          </m:e>
          <m:sub>
            <m:r>
              <m:t>s</m:t>
            </m:r>
          </m:sub>
        </m:sSub>
      </m:oMath>
      <w:r>
        <w:t xml:space="preserve"> </w:t>
      </w:r>
      <w:r>
        <w:t xml:space="preserve">совпадает с эталонной последовательностью, должна составлять не менее 99 %. Критерий проверяется на расширенном корпусе wrong-кода эксперимента (см. главу 5).</w:t>
      </w:r>
    </w:p>
    <w:p>
      <w:pPr>
        <w:pStyle w:val="BodyText"/>
      </w:pPr>
      <w:r>
        <w:rPr>
          <w:b/>
          <w:bCs/>
        </w:rPr>
        <w:t xml:space="preserve">Критерий безопасности исполнения.</w:t>
      </w:r>
      <w:r>
        <w:t xml:space="preserve"> </w:t>
      </w:r>
      <w:r>
        <w:t xml:space="preserve">Для произвольного решения</w:t>
      </w:r>
      <w:r>
        <w:t xml:space="preserve"> </w:t>
      </w:r>
      <m:oMath>
        <m:r>
          <m:t>s</m:t>
        </m:r>
      </m:oMath>
      <w:r>
        <w:t xml:space="preserve">, в том числе подготовленного злонамеренно с целью нарушить целостность сервера-носителя, время исполнения</w:t>
      </w:r>
      <w:r>
        <w:t xml:space="preserve"> </w:t>
      </w:r>
      <m:oMath>
        <m:r>
          <m:rPr>
            <m:nor/>
            <m:sty m:val="p"/>
          </m:rPr>
          <m:t>exec</m:t>
        </m:r>
        <m:r>
          <m:rPr>
            <m:sty m:val="p"/>
          </m:rPr>
          <m:t>(</m:t>
        </m:r>
        <m:r>
          <m:t>s</m:t>
        </m:r>
        <m:r>
          <m:rPr>
            <m:sty m:val="p"/>
          </m:rPr>
          <m:t>,</m:t>
        </m:r>
        <m:r>
          <m:t>t</m:t>
        </m:r>
        <m:r>
          <m:t>c</m:t>
        </m:r>
        <m:r>
          <m:rPr>
            <m:sty m:val="p"/>
          </m:rPr>
          <m:t>)</m:t>
        </m:r>
      </m:oMath>
      <w:r>
        <w:t xml:space="preserve"> </w:t>
      </w:r>
      <w:r>
        <w:t xml:space="preserve">ограничено сверху значением</w:t>
      </w:r>
      <w:r>
        <w:t xml:space="preserve"> </w:t>
      </w:r>
      <m:oMath>
        <m:sSub>
          <m:e>
            <m:r>
              <m:t>T</m:t>
            </m:r>
          </m:e>
          <m:sub>
            <m:r>
              <m:rPr>
                <m:sty m:val="p"/>
              </m:rPr>
              <m:t>max</m:t>
            </m:r>
          </m:sub>
        </m:sSub>
        <m:r>
          <m:rPr>
            <m:sty m:val="p"/>
          </m:rPr>
          <m:t>+</m:t>
        </m:r>
        <m:r>
          <m:t>τ</m:t>
        </m:r>
      </m:oMath>
      <w:r>
        <w:t xml:space="preserve">, где</w:t>
      </w:r>
      <w:r>
        <w:t xml:space="preserve"> </w:t>
      </w:r>
      <m:oMath>
        <m:sSub>
          <m:e>
            <m:r>
              <m:t>T</m:t>
            </m:r>
          </m:e>
          <m:sub>
            <m:r>
              <m:rPr>
                <m:sty m:val="p"/>
              </m:rPr>
              <m:t>max</m:t>
            </m:r>
          </m:sub>
        </m:sSub>
      </m:oMath>
      <w:r>
        <w:t xml:space="preserve"> </w:t>
      </w:r>
      <w:r>
        <w:t xml:space="preserve">— установленный лимит времени для задачи (по умолчанию 10 секунд),</w:t>
      </w:r>
      <w:r>
        <w:t xml:space="preserve"> </w:t>
      </w:r>
      <m:oMath>
        <m:r>
          <m:t>τ</m:t>
        </m:r>
        <m:r>
          <m:rPr>
            <m:sty m:val="p"/>
          </m:rPr>
          <m:t>≤</m:t>
        </m:r>
        <m:r>
          <m:t>2</m:t>
        </m:r>
      </m:oMath>
      <w:r>
        <w:t xml:space="preserve"> </w:t>
      </w:r>
      <w:r>
        <w:t xml:space="preserve">секунды — фиксированный страховочный интервал внешнего watchdog (см. подраздел 3.1.2). Потребление памяти ограничено сверху значением</w:t>
      </w:r>
      <w:r>
        <w:t xml:space="preserve"> </w:t>
      </w:r>
      <m:oMath>
        <m:sSub>
          <m:e>
            <m:r>
              <m:t>M</m:t>
            </m:r>
          </m:e>
          <m:sub>
            <m:r>
              <m:rPr>
                <m:sty m:val="p"/>
              </m:rPr>
              <m:t>max</m:t>
            </m:r>
          </m:sub>
        </m:sSub>
      </m:oMath>
      <w:r>
        <w:t xml:space="preserve"> </w:t>
      </w:r>
      <w:r>
        <w:t xml:space="preserve">(по умолчанию 256 МБ). Любая попытка контейнера превысить эти границы приводит к принудительному завершению и возврату вердикта TLE или MLE.</w:t>
      </w:r>
    </w:p>
    <w:p>
      <w:pPr>
        <w:pStyle w:val="BodyText"/>
      </w:pPr>
      <w:r>
        <w:rPr>
          <w:b/>
          <w:bCs/>
        </w:rPr>
        <w:t xml:space="preserve">Критерий устойчивости к инъекциям в промпт.</w:t>
      </w:r>
      <w:r>
        <w:t xml:space="preserve"> </w:t>
      </w:r>
      <w:r>
        <w:t xml:space="preserve">Для произвольного решения</w:t>
      </w:r>
      <w:r>
        <w:t xml:space="preserve"> </w:t>
      </w:r>
      <m:oMath>
        <m:r>
          <m:t>s</m:t>
        </m:r>
      </m:oMath>
      <w:r>
        <w:t xml:space="preserve">, текст которого включает попытку инъекции инструкций, направленных на манипулирование выходом языковой модели, итоговая оценка</w:t>
      </w:r>
      <w:r>
        <w:t xml:space="preserve"> </w:t>
      </w:r>
      <m:oMath>
        <m:sSub>
          <m:e>
            <m:r>
              <m:t>q</m:t>
            </m:r>
          </m:e>
          <m:sub>
            <m:r>
              <m:t>s</m:t>
            </m:r>
          </m:sub>
        </m:sSub>
      </m:oMath>
      <w:r>
        <w:t xml:space="preserve"> </w:t>
      </w:r>
      <w:r>
        <w:t xml:space="preserve">должна оставаться согласованной с вердиктом песочницы в смысле формального ограничения, приведённого выше, а текстовый разбор</w:t>
      </w:r>
      <w:r>
        <w:t xml:space="preserve"> </w:t>
      </w:r>
      <m:oMath>
        <m:sSub>
          <m:e>
            <m:r>
              <m:t>λ</m:t>
            </m:r>
          </m:e>
          <m:sub>
            <m:r>
              <m:t>s</m:t>
            </m:r>
          </m:sub>
        </m:sSub>
      </m:oMath>
      <w:r>
        <w:t xml:space="preserve"> </w:t>
      </w:r>
      <w:r>
        <w:t xml:space="preserve">не должен раскрывать содержимое системного промпта и не должен подменять роль модели. Эмпирическим показателем выступает доля успешных инъекций</w:t>
      </w:r>
      <w:r>
        <w:t xml:space="preserve"> </w:t>
      </w:r>
      <w:r>
        <w:rPr>
          <w:rStyle w:val="VerbatimChar"/>
        </w:rPr>
        <w:t xml:space="preserve">injection_success_rate</w:t>
      </w:r>
      <w:r>
        <w:t xml:space="preserve">, измеряемая на эталонном корпусе атакующих решений, покрывающем 10 классов из OWASP-LLM-Top-10. Ожидаемое значение метрики — нулевое; точечно-интервальная оценка по Вильсону вычисляется в Главе 5.</w:t>
      </w:r>
    </w:p>
    <w:p>
      <w:pPr>
        <w:pStyle w:val="BodyText"/>
      </w:pPr>
      <w:r>
        <w:rPr>
          <w:b/>
          <w:bCs/>
        </w:rPr>
        <w:t xml:space="preserve">Критерий устойчивости к атакам через пользовательский код.</w:t>
      </w:r>
      <w:r>
        <w:t xml:space="preserve"> </w:t>
      </w:r>
      <w:r>
        <w:t xml:space="preserve">Для произвольного решения</w:t>
      </w:r>
      <w:r>
        <w:t xml:space="preserve"> </w:t>
      </w:r>
      <m:oMath>
        <m:r>
          <m:t>s</m:t>
        </m:r>
      </m:oMath>
      <w:r>
        <w:t xml:space="preserve">, текст которого направлен на нарушение целостности контейнера (выход за границы файловой системы, попытки исходящих сетевых соединений, повышение привилегий, форк-бомбы), процесс исполнения не должен иметь возможности повлиять на состояние сервера-носителя и параллельные submission других пользователей. Критерий обеспечивается комплексом hardening-флагов</w:t>
      </w:r>
      <w:r>
        <w:t xml:space="preserve"> </w:t>
      </w:r>
      <w:r>
        <w:rPr>
          <w:rStyle w:val="VerbatimChar"/>
        </w:rPr>
        <w:t xml:space="preserve">docker run</w:t>
      </w:r>
      <w:r>
        <w:t xml:space="preserve"> </w:t>
      </w:r>
      <w:r>
        <w:t xml:space="preserve">(см. подраздел 3.1.1) и подтверждается отсутствием изменений в файловой системе хоста после исполнения корпуса заведомо вредоносных решений.</w:t>
      </w:r>
    </w:p>
    <w:p>
      <w:pPr>
        <w:pStyle w:val="BodyText"/>
      </w:pPr>
      <w:r>
        <w:rPr>
          <w:b/>
          <w:bCs/>
        </w:rPr>
        <w:t xml:space="preserve">Критерий времени отклика.</w:t>
      </w:r>
      <w:r>
        <w:t xml:space="preserve"> </w:t>
      </w:r>
      <w:r>
        <w:t xml:space="preserve">Для нагрузки в 100 одновременных submission 95-перцентиль времени от приёма решения сервером до фиксации итогового вердикта в базе данных не должен превышать 30 секунд (см. требования к производительности в подразделе 1.7). Критерий измеряется на нагрузочном стенде с применением Prometheus-метрик</w:t>
      </w:r>
      <w:r>
        <w:t xml:space="preserve"> </w:t>
      </w:r>
      <w:r>
        <w:rPr>
          <w:rStyle w:val="VerbatimChar"/>
        </w:rPr>
        <w:t xml:space="preserve">http_server_requests_seconds</w:t>
      </w:r>
      <w:r>
        <w:t xml:space="preserve">.</w:t>
      </w:r>
    </w:p>
    <w:p>
      <w:pPr>
        <w:pStyle w:val="BodyText"/>
      </w:pPr>
      <w:r>
        <w:t xml:space="preserve">Совокупность пяти критериев образует объективную базу для оценки результатов разработки. Соответствие первым четырём критериям проверяется в Главе 5 в рамках пред-регистрированного конфирматорного эксперимента; критерий времени отклика проверяется в Главе 5 на основе панелей наблюдаемости стека Prometheus + Grafana.</w:t>
      </w:r>
    </w:p>
    <w:p>
      <w:pPr>
        <w:pStyle w:val="BodyText"/>
      </w:pPr>
      <w:r>
        <w:t xml:space="preserve">Поставленная задача допускает несколько архитектурных альтернатив реализации, выбор между которыми обсуждается в Главе 2. На уровне формулировки целесообразно лишь зафиксировать, что моноблочная реализация всей цепочки</w:t>
      </w:r>
      <w:r>
        <w:t xml:space="preserve"> </w:t>
      </w:r>
      <w:r>
        <w:rPr>
          <w:rStyle w:val="VerbatimChar"/>
        </w:rPr>
        <w:t xml:space="preserve">submission → sandbox → ai-analyzer → result</w:t>
      </w:r>
      <w:r>
        <w:t xml:space="preserve"> </w:t>
      </w:r>
      <w:r>
        <w:t xml:space="preserve">в рамках одного приложения возможна, однако обладает рядом ограничений: жёсткой связностью между компонентами, общим жизненным циклом процесса, ограниченной горизонтальной масштабируемостью и невозможностью независимого развёртывания узлов. Модульная реализация на основе событийной шины (Apache Kafka) и набора независимых модулей с явными контрактами устраняет указанные ограничения; обоснование выбора в пользу модульной реализации с детальным сопоставлением подходов приведено в разделе 2.4.</w:t>
      </w:r>
    </w:p>
    <w:bookmarkEnd w:id="35"/>
    <w:bookmarkStart w:id="36" w:name="Xa1fe58806b9d54c4c93af666419aea309b0d538"/>
    <w:p>
      <w:pPr>
        <w:pStyle w:val="Heading2"/>
      </w:pPr>
      <w:r>
        <w:t xml:space="preserve">1.7.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pPr>
      <w:r>
        <w:rPr>
          <w:b/>
          <w:bCs/>
        </w:rPr>
        <w:t xml:space="preserve">Функциональные требования:</w:t>
      </w:r>
    </w:p>
    <w:p>
      <w:pPr>
        <w:pStyle w:val="BodyText"/>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pPr>
      <w:r>
        <w:rPr>
          <w:b/>
          <w:bCs/>
        </w:rPr>
        <w:t xml:space="preserve">Нефункциональные требования:</w:t>
      </w:r>
    </w:p>
    <w:p>
      <w:pPr>
        <w:pStyle w:val="BodyText"/>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pPr>
      <w:r>
        <w:rPr>
          <w:b/>
          <w:bCs/>
        </w:rPr>
        <w:t xml:space="preserve">Требования безопасности:</w:t>
      </w:r>
    </w:p>
    <w:p>
      <w:pPr>
        <w:pStyle w:val="BodyText"/>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bookmarkEnd w:id="36"/>
    <w:bookmarkEnd w:id="37"/>
    <w:bookmarkStart w:id="74"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1"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CaptionedFigure"/>
      </w:pPr>
      <w:r>
        <w:drawing>
          <wp:inline>
            <wp:extent cx="5930900" cy="5301249"/>
            <wp:effectExtent b="0" l="0" r="0" t="0"/>
            <wp:docPr descr="Рисунок 2.1 — Контекстная диаграмма системы (нотация C4)" title="" id="39" name="Picture"/>
            <a:graphic>
              <a:graphicData uri="http://schemas.openxmlformats.org/drawingml/2006/picture">
                <pic:pic>
                  <pic:nvPicPr>
                    <pic:cNvPr descr="../figures/02_c4_context.png" id="40" name="Picture"/>
                    <pic:cNvPicPr>
                      <a:picLocks noChangeArrowheads="1" noChangeAspect="1"/>
                    </pic:cNvPicPr>
                  </pic:nvPicPr>
                  <pic:blipFill>
                    <a:blip r:embed="rId38"/>
                    <a:stretch>
                      <a:fillRect/>
                    </a:stretch>
                  </pic:blipFill>
                  <pic:spPr bwMode="auto">
                    <a:xfrm>
                      <a:off x="0" y="0"/>
                      <a:ext cx="5930900" cy="5301249"/>
                    </a:xfrm>
                    <a:prstGeom prst="rect">
                      <a:avLst/>
                    </a:prstGeom>
                    <a:noFill/>
                    <a:ln w="9525">
                      <a:noFill/>
                      <a:headEnd/>
                      <a:tailEnd/>
                    </a:ln>
                  </pic:spPr>
                </pic:pic>
              </a:graphicData>
            </a:graphic>
          </wp:inline>
        </w:drawing>
      </w:r>
    </w:p>
    <w:p>
      <w:pPr>
        <w:pStyle w:val="ImageCaption"/>
      </w:pPr>
      <w:r>
        <w:t xml:space="preserve">Рисунок 2.1 — Контекстная диаграмма системы (нотация C4)</w:t>
      </w:r>
    </w:p>
    <w:p>
      <w:pPr>
        <w:pStyle w:val="BodyText"/>
      </w:pPr>
      <w:r>
        <w:t xml:space="preserve">Рисунок 2.1 — Контекстная диаграмма системы (нотация C4)</w:t>
      </w:r>
    </w:p>
    <w:bookmarkEnd w:id="41"/>
    <w:bookmarkStart w:id="45"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9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Ниже последовательно охарактеризован каждый модуль.</w:t>
      </w:r>
    </w:p>
    <w:p>
      <w:pPr>
        <w:pStyle w:val="BodyText"/>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pPr>
      <w:r>
        <w:t xml:space="preserve">Оркестрация per-submission пайплайна выполняется в модуле</w:t>
      </w:r>
      <w:r>
        <w:t xml:space="preserve"> </w:t>
      </w:r>
      <w:r>
        <w:rPr>
          <w:rStyle w:val="VerbatimChar"/>
        </w:rPr>
        <w:t xml:space="preserve">worker</w:t>
      </w:r>
      <w:r>
        <w:t xml:space="preserve"> </w:t>
      </w:r>
      <w:r>
        <w:t xml:space="preserve">(</w:t>
      </w:r>
      <w:r>
        <w:rPr>
          <w:rStyle w:val="VerbatimChar"/>
        </w:rPr>
        <w:t xml:space="preserve">WorkerService</w:t>
      </w:r>
      <w:r>
        <w:t xml:space="preserve">), а орлестрация контура REST → Kafka — в</w:t>
      </w:r>
      <w:r>
        <w:t xml:space="preserve"> </w:t>
      </w:r>
      <w:r>
        <w:rPr>
          <w:rStyle w:val="VerbatimChar"/>
        </w:rPr>
        <w:t xml:space="preserve">task-resolver</w:t>
      </w:r>
      <w:r>
        <w:t xml:space="preserve"> </w:t>
      </w:r>
      <w:r>
        <w:t xml:space="preserve">(</w:t>
      </w:r>
      <w:r>
        <w:rPr>
          <w:rStyle w:val="VerbatimChar"/>
        </w:rPr>
        <w:t xml:space="preserve">TaskResolverProcessService</w:t>
      </w:r>
      <w:r>
        <w:t xml:space="preserve">). Отдельного модуля</w:t>
      </w:r>
      <w:r>
        <w:t xml:space="preserve"> </w:t>
      </w:r>
      <w:r>
        <w:rPr>
          <w:rStyle w:val="VerbatimChar"/>
        </w:rPr>
        <w:t xml:space="preserve">task-process</w:t>
      </w:r>
      <w:r>
        <w:t xml:space="preserve"> </w:t>
      </w:r>
      <w:r>
        <w:t xml:space="preserve">в текущей конфигурации репозитория нет — упоминание в более ранних редакциях работы и в</w:t>
      </w:r>
      <w:r>
        <w:t xml:space="preserve"> </w:t>
      </w:r>
      <w:r>
        <w:rPr>
          <w:rStyle w:val="VerbatimChar"/>
        </w:rPr>
        <w:t xml:space="preserve">DEVELOPMENT_PLAN.md</w:t>
      </w:r>
      <w:r>
        <w:t xml:space="preserve"> </w:t>
      </w:r>
      <w:r>
        <w:t xml:space="preserve">относится к промежуточному состоянию проекта и впоследствии было упразднено.</w:t>
      </w:r>
    </w:p>
    <w:p>
      <w:pPr>
        <w:pStyle w:val="BodyText"/>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pPr>
      <w:r>
        <w:t xml:space="preserve">Структура контейнеров (уровень Container нотации C4) с распределением модулей по слоям приведена на рисунке 2.2.</w:t>
      </w:r>
    </w:p>
    <w:p>
      <w:pPr>
        <w:pStyle w:val="CaptionedFigure"/>
      </w:pPr>
      <w:r>
        <w:drawing>
          <wp:inline>
            <wp:extent cx="5930900" cy="5908205"/>
            <wp:effectExtent b="0" l="0" r="0" t="0"/>
            <wp:docPr descr="Рисунок 2.2 — Контейнерная диаграмма системы (нотация C4)" title="" id="43" name="Picture"/>
            <a:graphic>
              <a:graphicData uri="http://schemas.openxmlformats.org/drawingml/2006/picture">
                <pic:pic>
                  <pic:nvPicPr>
                    <pic:cNvPr descr="../figures/03_c4_container.png" id="44" name="Picture"/>
                    <pic:cNvPicPr>
                      <a:picLocks noChangeArrowheads="1" noChangeAspect="1"/>
                    </pic:cNvPicPr>
                  </pic:nvPicPr>
                  <pic:blipFill>
                    <a:blip r:embed="rId42"/>
                    <a:stretch>
                      <a:fillRect/>
                    </a:stretch>
                  </pic:blipFill>
                  <pic:spPr bwMode="auto">
                    <a:xfrm>
                      <a:off x="0" y="0"/>
                      <a:ext cx="5930900" cy="5908205"/>
                    </a:xfrm>
                    <a:prstGeom prst="rect">
                      <a:avLst/>
                    </a:prstGeom>
                    <a:noFill/>
                    <a:ln w="9525">
                      <a:noFill/>
                      <a:headEnd/>
                      <a:tailEnd/>
                    </a:ln>
                  </pic:spPr>
                </pic:pic>
              </a:graphicData>
            </a:graphic>
          </wp:inline>
        </w:drawing>
      </w:r>
    </w:p>
    <w:p>
      <w:pPr>
        <w:pStyle w:val="ImageCaption"/>
      </w:pPr>
      <w:r>
        <w:t xml:space="preserve">Рисунок 2.2 — Контейнерная диаграмма системы (нотация C4)</w:t>
      </w:r>
    </w:p>
    <w:p>
      <w:pPr>
        <w:pStyle w:val="BodyText"/>
      </w:pPr>
      <w:r>
        <w:t xml:space="preserve">Рисунок 2.2 — Контейнерная диаграмма системы (нотация C4)</w:t>
      </w:r>
    </w:p>
    <w:bookmarkEnd w:id="45"/>
    <w:bookmarkStart w:id="46"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46"/>
    <w:bookmarkStart w:id="50"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pPr>
      <w:r>
        <w:rPr>
          <w:b/>
          <w:bCs/>
        </w:rPr>
        <w:t xml:space="preserve">Таблица 2.1 Миграции Flyway V1–V8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5).</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pPr>
      <w:r>
        <w:t xml:space="preserve">Связи между основными сущностями предметной области отражены на ER-диаграмме на рисунке 2.3.</w:t>
      </w:r>
    </w:p>
    <w:p>
      <w:pPr>
        <w:pStyle w:val="CaptionedFigure"/>
      </w:pPr>
      <w:r>
        <w:drawing>
          <wp:inline>
            <wp:extent cx="5930900" cy="6369665"/>
            <wp:effectExtent b="0" l="0" r="0" t="0"/>
            <wp:docPr descr="Рисунок 2.3 — ER-диаграмма базы данных" title="" id="48" name="Picture"/>
            <a:graphic>
              <a:graphicData uri="http://schemas.openxmlformats.org/drawingml/2006/picture">
                <pic:pic>
                  <pic:nvPicPr>
                    <pic:cNvPr descr="../figures/04_er_diagram.png" id="49" name="Picture"/>
                    <pic:cNvPicPr>
                      <a:picLocks noChangeArrowheads="1" noChangeAspect="1"/>
                    </pic:cNvPicPr>
                  </pic:nvPicPr>
                  <pic:blipFill>
                    <a:blip r:embed="rId47"/>
                    <a:stretch>
                      <a:fillRect/>
                    </a:stretch>
                  </pic:blipFill>
                  <pic:spPr bwMode="auto">
                    <a:xfrm>
                      <a:off x="0" y="0"/>
                      <a:ext cx="5930900" cy="6369665"/>
                    </a:xfrm>
                    <a:prstGeom prst="rect">
                      <a:avLst/>
                    </a:prstGeom>
                    <a:noFill/>
                    <a:ln w="9525">
                      <a:noFill/>
                      <a:headEnd/>
                      <a:tailEnd/>
                    </a:ln>
                  </pic:spPr>
                </pic:pic>
              </a:graphicData>
            </a:graphic>
          </wp:inline>
        </w:drawing>
      </w:r>
    </w:p>
    <w:p>
      <w:pPr>
        <w:pStyle w:val="ImageCaption"/>
      </w:pPr>
      <w:r>
        <w:t xml:space="preserve">Рисунок 2.3 — ER-диаграмма базы данных</w:t>
      </w:r>
    </w:p>
    <w:p>
      <w:pPr>
        <w:pStyle w:val="BodyText"/>
      </w:pPr>
      <w:r>
        <w:t xml:space="preserve">Рисунок 2.3 — ER-диаграмма базы данных</w:t>
      </w:r>
    </w:p>
    <w:bookmarkEnd w:id="50"/>
    <w:bookmarkStart w:id="56"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w:t>
      </w:r>
    </w:p>
    <w:bookmarkStart w:id="51" w:name="Xedffb6b1ffebf1548ff5df2eaeb37b549533e4b"/>
    <w:p>
      <w:pPr>
        <w:pStyle w:val="Heading3"/>
      </w:pPr>
      <w:r>
        <w:t xml:space="preserve">2.5.1. Формальная модель пайплайна и жизненный цикл submission</w:t>
      </w:r>
    </w:p>
    <w:p>
      <w:pPr>
        <w:pStyle w:val="FirstParagraph"/>
      </w:pPr>
      <w:r>
        <w:t xml:space="preserve">Перед изложением десяти прикладных шагов целесообразно зафиксировать формальную модель пайплайна. Жизненный цикл одного решения описывается конечным автоматом</w:t>
      </w:r>
      <w:r>
        <w:t xml:space="preserve"> </w:t>
      </w:r>
      <m:oMath>
        <m:r>
          <m:rPr>
            <m:scr m:val="script"/>
            <m:sty m:val="p"/>
          </m:rPr>
          <m:t>A</m:t>
        </m:r>
        <m:r>
          <m:rPr>
            <m:sty m:val="p"/>
          </m:rPr>
          <m:t>=</m:t>
        </m:r>
        <m:r>
          <m:rPr>
            <m:sty m:val="p"/>
          </m:rPr>
          <m:t>⟨</m:t>
        </m:r>
        <m:r>
          <m:t>Q</m:t>
        </m:r>
        <m:r>
          <m:rPr>
            <m:sty m:val="p"/>
          </m:rPr>
          <m:t>,</m:t>
        </m:r>
        <m:sSub>
          <m:e>
            <m:r>
              <m:rPr>
                <m:sty m:val="p"/>
              </m:rPr>
              <m:t>Σ</m:t>
            </m:r>
          </m:e>
          <m:sub>
            <m:r>
              <m:t>e</m:t>
            </m:r>
          </m:sub>
        </m:sSub>
        <m:r>
          <m:rPr>
            <m:sty m:val="p"/>
          </m:rPr>
          <m:t>,</m:t>
        </m:r>
        <m:r>
          <m:t>δ</m:t>
        </m:r>
        <m:r>
          <m:rPr>
            <m:sty m:val="p"/>
          </m:rPr>
          <m:t>,</m:t>
        </m:r>
        <m:sSub>
          <m:e>
            <m:r>
              <m:t>q</m:t>
            </m:r>
          </m:e>
          <m:sub>
            <m:r>
              <m:t>0</m:t>
            </m:r>
          </m:sub>
        </m:sSub>
        <m:r>
          <m:rPr>
            <m:sty m:val="p"/>
          </m:rPr>
          <m:t>,</m:t>
        </m:r>
        <m:r>
          <m:t>F</m:t>
        </m:r>
        <m:r>
          <m:rPr>
            <m:sty m:val="p"/>
          </m:rPr>
          <m:t>⟩</m:t>
        </m:r>
      </m:oMath>
      <w:r>
        <w:t xml:space="preserve">, где</w:t>
      </w:r>
      <w:r>
        <w:t xml:space="preserve"> </w:t>
      </w:r>
      <m:oMath>
        <m:r>
          <m:t>Q</m:t>
        </m:r>
        <m:r>
          <m:rPr>
            <m:sty m:val="p"/>
          </m:rPr>
          <m:t>=</m:t>
        </m:r>
        <m:r>
          <m:rPr>
            <m:sty m:val="p"/>
          </m:rPr>
          <m:t>{</m:t>
        </m:r>
        <m:r>
          <m:rPr>
            <m:nor/>
            <m:sty m:val="p"/>
          </m:rPr>
          <m:t>PENDING</m:t>
        </m:r>
        <m:r>
          <m:rPr>
            <m:sty m:val="p"/>
          </m:rPr>
          <m:t>,</m:t>
        </m:r>
        <m:r>
          <m:rPr>
            <m:nor/>
            <m:sty m:val="p"/>
          </m:rPr>
          <m:t>PROCESSING</m:t>
        </m:r>
        <m:r>
          <m:rPr>
            <m:sty m:val="p"/>
          </m:rPr>
          <m:t>,</m:t>
        </m:r>
        <m:r>
          <m:rPr>
            <m:nor/>
            <m:sty m:val="p"/>
          </m:rPr>
          <m:t>COMPLETED</m:t>
        </m:r>
        <m:r>
          <m:rPr>
            <m:sty m:val="p"/>
          </m:rPr>
          <m:t>,</m:t>
        </m:r>
        <m:r>
          <m:rPr>
            <m:nor/>
            <m:sty m:val="p"/>
          </m:rPr>
          <m:t>FAILED</m:t>
        </m:r>
        <m:r>
          <m:rPr>
            <m:sty m:val="p"/>
          </m:rPr>
          <m:t>}</m:t>
        </m:r>
      </m:oMath>
      <w:r>
        <w:t xml:space="preserve"> </w:t>
      </w:r>
      <w:r>
        <w:t xml:space="preserve">— множество состояний submission,</w:t>
      </w:r>
      <w:r>
        <w:t xml:space="preserve"> </w:t>
      </w:r>
      <m:oMath>
        <m:sSub>
          <m:e>
            <m:r>
              <m:rPr>
                <m:sty m:val="p"/>
              </m:rPr>
              <m:t>Σ</m:t>
            </m:r>
          </m:e>
          <m:sub>
            <m:r>
              <m:t>e</m:t>
            </m:r>
          </m:sub>
        </m:sSub>
      </m:oMath>
      <w:r>
        <w:t xml:space="preserve"> </w:t>
      </w:r>
      <w:r>
        <w:t xml:space="preserve">— множество событий перехода,</w:t>
      </w:r>
      <w:r>
        <w:t xml:space="preserve"> </w:t>
      </w:r>
      <m:oMath>
        <m:r>
          <m:t>δ</m:t>
        </m:r>
        <m:r>
          <m:rPr>
            <m:sty m:val="p"/>
          </m:rPr>
          <m:t>:</m:t>
        </m:r>
        <m:r>
          <m:t>Q</m:t>
        </m:r>
        <m:r>
          <m:rPr>
            <m:sty m:val="p"/>
          </m:rPr>
          <m:t>×</m:t>
        </m:r>
        <m:sSub>
          <m:e>
            <m:r>
              <m:rPr>
                <m:sty m:val="p"/>
              </m:rPr>
              <m:t>Σ</m:t>
            </m:r>
          </m:e>
          <m:sub>
            <m:r>
              <m:t>e</m:t>
            </m:r>
          </m:sub>
        </m:sSub>
        <m:r>
          <m:rPr>
            <m:sty m:val="p"/>
          </m:rPr>
          <m:t>→</m:t>
        </m:r>
        <m:r>
          <m:t>Q</m:t>
        </m:r>
      </m:oMath>
      <w:r>
        <w:t xml:space="preserve"> </w:t>
      </w:r>
      <w:r>
        <w:t xml:space="preserve">— функция переходов,</w:t>
      </w:r>
      <w:r>
        <w:t xml:space="preserve"> </w:t>
      </w:r>
      <m:oMath>
        <m:sSub>
          <m:e>
            <m:r>
              <m:t>q</m:t>
            </m:r>
          </m:e>
          <m:sub>
            <m:r>
              <m:t>0</m:t>
            </m:r>
          </m:sub>
        </m:sSub>
        <m:r>
          <m:rPr>
            <m:sty m:val="p"/>
          </m:rPr>
          <m:t>=</m:t>
        </m:r>
        <m:r>
          <m:rPr>
            <m:nor/>
            <m:sty m:val="p"/>
          </m:rPr>
          <m:t>PENDING</m:t>
        </m:r>
      </m:oMath>
      <w:r>
        <w:t xml:space="preserve"> </w:t>
      </w:r>
      <w:r>
        <w:t xml:space="preserve">— начальное состояние,</w:t>
      </w:r>
      <w:r>
        <w:t xml:space="preserve"> </w:t>
      </w:r>
      <m:oMath>
        <m:r>
          <m:t>F</m:t>
        </m:r>
        <m:r>
          <m:rPr>
            <m:sty m:val="p"/>
          </m:rPr>
          <m:t>=</m:t>
        </m:r>
        <m:r>
          <m:rPr>
            <m:sty m:val="p"/>
          </m:rPr>
          <m:t>{</m:t>
        </m:r>
        <m:r>
          <m:rPr>
            <m:nor/>
            <m:sty m:val="p"/>
          </m:rPr>
          <m:t>COMPLETED</m:t>
        </m:r>
        <m:r>
          <m:rPr>
            <m:sty m:val="p"/>
          </m:rPr>
          <m:t>,</m:t>
        </m:r>
        <m:r>
          <m:rPr>
            <m:nor/>
            <m:sty m:val="p"/>
          </m:rPr>
          <m:t>FAILED</m:t>
        </m:r>
        <m:r>
          <m:rPr>
            <m:sty m:val="p"/>
          </m:rPr>
          <m:t>}</m:t>
        </m:r>
      </m:oMath>
      <w:r>
        <w:t xml:space="preserve"> </w:t>
      </w:r>
      <w:r>
        <w:t xml:space="preserve">— множество терминальных состояний. Множество событий перехода включает:</w:t>
      </w:r>
      <w:r>
        <w:t xml:space="preserve"> </w:t>
      </w:r>
      <w:r>
        <w:rPr>
          <w:rStyle w:val="VerbatimChar"/>
        </w:rPr>
        <w:t xml:space="preserve">submit-accepted</w:t>
      </w:r>
      <w:r>
        <w:t xml:space="preserve"> </w:t>
      </w:r>
      <w:r>
        <w:t xml:space="preserve">(приём решения сервером,</w:t>
      </w:r>
      <w:r>
        <w:t xml:space="preserve"> </w:t>
      </w:r>
      <m:oMath>
        <m:r>
          <m:rPr>
            <m:nor/>
            <m:sty m:val="p"/>
          </m:rPr>
          <m:t>PENDING</m:t>
        </m:r>
        <m:r>
          <m:rPr>
            <m:sty m:val="p"/>
          </m:rPr>
          <m:t>→</m:t>
        </m:r>
        <m:r>
          <m:rPr>
            <m:nor/>
            <m:sty m:val="p"/>
          </m:rPr>
          <m:t>PROCESSING</m:t>
        </m:r>
      </m:oMath>
      <w:r>
        <w:t xml:space="preserve"> </w:t>
      </w:r>
      <w:r>
        <w:t xml:space="preserve">после успешной публикации сообщения в Kafka),</w:t>
      </w:r>
      <w:r>
        <w:t xml:space="preserve"> </w:t>
      </w:r>
      <w:r>
        <w:rPr>
          <w:rStyle w:val="VerbatimChar"/>
        </w:rPr>
        <w:t xml:space="preserve">pipeline-finished-ok</w:t>
      </w:r>
      <w:r>
        <w:t xml:space="preserve"> </w:t>
      </w:r>
      <w:r>
        <w:t xml:space="preserve">(</w:t>
      </w:r>
      <m:oMath>
        <m:r>
          <m:rPr>
            <m:nor/>
            <m:sty m:val="p"/>
          </m:rPr>
          <m:t>PROCESSING</m:t>
        </m:r>
        <m:r>
          <m:rPr>
            <m:sty m:val="p"/>
          </m:rPr>
          <m:t>→</m:t>
        </m:r>
        <m:r>
          <m:rPr>
            <m:nor/>
            <m:sty m:val="p"/>
          </m:rPr>
          <m:t>COMPLETED</m:t>
        </m:r>
      </m:oMath>
      <w:r>
        <w:t xml:space="preserve"> </w:t>
      </w:r>
      <w:r>
        <w:t xml:space="preserve">после успешного завершения всего конвейера и фиксации результата в базе данных),</w:t>
      </w:r>
      <w:r>
        <w:t xml:space="preserve"> </w:t>
      </w:r>
      <w:r>
        <w:rPr>
          <w:rStyle w:val="VerbatimChar"/>
        </w:rPr>
        <w:t xml:space="preserve">pipeline-finished-error</w:t>
      </w:r>
      <w:r>
        <w:t xml:space="preserve"> </w:t>
      </w:r>
      <w:r>
        <w:t xml:space="preserve">(</w:t>
      </w:r>
      <m:oMath>
        <m:r>
          <m:rPr>
            <m:nor/>
            <m:sty m:val="p"/>
          </m:rPr>
          <m:t>PROCESSING</m:t>
        </m:r>
        <m:r>
          <m:rPr>
            <m:sty m:val="p"/>
          </m:rPr>
          <m:t>→</m:t>
        </m:r>
        <m:r>
          <m:rPr>
            <m:nor/>
            <m:sty m:val="p"/>
          </m:rPr>
          <m:t>FAILED</m:t>
        </m:r>
      </m:oMath>
      <w:r>
        <w:t xml:space="preserve"> </w:t>
      </w:r>
      <w:r>
        <w:t xml:space="preserve">при необратимой ошибке исполнения пайплайна),</w:t>
      </w:r>
      <w:r>
        <w:t xml:space="preserve"> </w:t>
      </w:r>
      <w:r>
        <w:rPr>
          <w:rStyle w:val="VerbatimChar"/>
        </w:rPr>
        <w:t xml:space="preserve">submit-rejected</w:t>
      </w:r>
      <w:r>
        <w:t xml:space="preserve"> </w:t>
      </w:r>
      <w:r>
        <w:t xml:space="preserve">(</w:t>
      </w:r>
      <m:oMath>
        <m:r>
          <m:rPr>
            <m:nor/>
            <m:sty m:val="p"/>
          </m:rPr>
          <m:t>PENDING</m:t>
        </m:r>
        <m:r>
          <m:rPr>
            <m:sty m:val="p"/>
          </m:rPr>
          <m:t>→</m:t>
        </m:r>
        <m:r>
          <m:rPr>
            <m:nor/>
            <m:sty m:val="p"/>
          </m:rPr>
          <m:t>FAILED</m:t>
        </m:r>
      </m:oMath>
      <w:r>
        <w:t xml:space="preserve"> </w:t>
      </w:r>
      <w:r>
        <w:t xml:space="preserve">при недоступности брокера Kafka в момент публикации). Корректность автомата обеспечивается транзакционными границами</w:t>
      </w:r>
      <w:r>
        <w:t xml:space="preserve"> </w:t>
      </w:r>
      <w:r>
        <w:rPr>
          <w:rStyle w:val="VerbatimChar"/>
        </w:rPr>
        <w:t xml:space="preserve">@Transactional</w:t>
      </w:r>
      <w:r>
        <w:t xml:space="preserve"> </w:t>
      </w:r>
      <w:r>
        <w:t xml:space="preserve">в</w:t>
      </w:r>
      <w:r>
        <w:t xml:space="preserve"> </w:t>
      </w:r>
      <w:r>
        <w:rPr>
          <w:rStyle w:val="VerbatimChar"/>
        </w:rPr>
        <w:t xml:space="preserve">TaskResultKafkaListener</w:t>
      </w:r>
      <w:r>
        <w:t xml:space="preserve"> </w:t>
      </w:r>
      <w:r>
        <w:t xml:space="preserve">(см. шаг 9 ниже) и атомарностью операций фиксации статуса.</w:t>
      </w:r>
    </w:p>
    <w:p>
      <w:pPr>
        <w:pStyle w:val="BodyText"/>
      </w:pPr>
      <w:r>
        <w:t xml:space="preserve">Конвейер обработки одной submission</w:t>
      </w:r>
      <w:r>
        <w:t xml:space="preserve"> </w:t>
      </w:r>
      <m:oMath>
        <m:r>
          <m:t>s</m:t>
        </m:r>
        <m:r>
          <m:rPr>
            <m:sty m:val="p"/>
          </m:rPr>
          <m:t>=</m:t>
        </m:r>
        <m:r>
          <m:rPr>
            <m:sty m:val="p"/>
          </m:rPr>
          <m:t>⟨</m:t>
        </m:r>
        <m:r>
          <m:t>u</m:t>
        </m:r>
        <m:r>
          <m:rPr>
            <m:sty m:val="p"/>
          </m:rPr>
          <m:t>,</m:t>
        </m:r>
        <m:r>
          <m:t>t</m:t>
        </m:r>
        <m:r>
          <m:rPr>
            <m:sty m:val="p"/>
          </m:rPr>
          <m:t>,</m:t>
        </m:r>
        <m:r>
          <m:t>l</m:t>
        </m:r>
        <m:r>
          <m:rPr>
            <m:sty m:val="p"/>
          </m:rPr>
          <m:t>,</m:t>
        </m:r>
        <m:r>
          <m:t>c</m:t>
        </m:r>
        <m:r>
          <m:rPr>
            <m:sty m:val="p"/>
          </m:rPr>
          <m:t>⟩</m:t>
        </m:r>
      </m:oMath>
      <w:r>
        <w:t xml:space="preserve"> </w:t>
      </w:r>
      <w:r>
        <w:t xml:space="preserve">моделируется композицией пяти функциональных шагов. Пусть</w:t>
      </w:r>
      <w:r>
        <w:t xml:space="preserve"> </w:t>
      </w:r>
      <m:oMath>
        <m:r>
          <m:rPr>
            <m:nor/>
            <m:sty m:val="p"/>
          </m:rPr>
          <m:t>Validate</m:t>
        </m:r>
        <m:r>
          <m:rPr>
            <m:sty m:val="p"/>
          </m:rPr>
          <m:t>:</m:t>
        </m:r>
        <m:r>
          <m:t>S</m:t>
        </m:r>
        <m:r>
          <m:rPr>
            <m:sty m:val="p"/>
          </m:rPr>
          <m:t>→</m:t>
        </m:r>
        <m:r>
          <m:t>S</m:t>
        </m:r>
        <m:r>
          <m:rPr>
            <m:sty m:val="p"/>
          </m:rPr>
          <m:t>∪</m:t>
        </m:r>
        <m:r>
          <m:rPr>
            <m:sty m:val="p"/>
          </m:rPr>
          <m:t>{</m:t>
        </m:r>
        <m:r>
          <m:rPr>
            <m:sty m:val="p"/>
          </m:rPr>
          <m:t>⊥</m:t>
        </m:r>
        <m:r>
          <m:rPr>
            <m:sty m:val="p"/>
          </m:rPr>
          <m:t>}</m:t>
        </m:r>
      </m:oMath>
      <w:r>
        <w:t xml:space="preserve"> </w:t>
      </w:r>
      <w:r>
        <w:t xml:space="preserve">— функция валидации входных данных, возвращающая саму submission при успехе или специальное значение</w:t>
      </w:r>
      <w:r>
        <w:t xml:space="preserve"> </w:t>
      </w:r>
      <m:oMath>
        <m:r>
          <m:rPr>
            <m:sty m:val="p"/>
          </m:rPr>
          <m:t>⊥</m:t>
        </m:r>
      </m:oMath>
      <w:r>
        <w:t xml:space="preserve"> </w:t>
      </w:r>
      <w:r>
        <w:t xml:space="preserve">при отвержении (см. шаг 2). Пусть</w:t>
      </w:r>
      <w:r>
        <w:t xml:space="preserve"> </w:t>
      </w:r>
      <m:oMath>
        <m:r>
          <m:rPr>
            <m:nor/>
            <m:sty m:val="p"/>
          </m:rPr>
          <m:t>Sandbox</m:t>
        </m:r>
        <m:r>
          <m:rPr>
            <m:sty m:val="p"/>
          </m:rPr>
          <m:t>:</m:t>
        </m:r>
        <m:r>
          <m:t>S</m:t>
        </m:r>
        <m:r>
          <m:rPr>
            <m:sty m:val="p"/>
          </m:rPr>
          <m:t>×</m:t>
        </m:r>
        <m:r>
          <m:t>T</m:t>
        </m:r>
        <m:r>
          <m:t>C</m:t>
        </m:r>
        <m:r>
          <m:rPr>
            <m:sty m:val="p"/>
          </m:rPr>
          <m:t>→</m:t>
        </m:r>
        <m:r>
          <m:rPr>
            <m:nor/>
            <m:sty m:val="p"/>
          </m:rPr>
          <m:t>SR</m:t>
        </m:r>
      </m:oMath>
      <w:r>
        <w:t xml:space="preserve"> </w:t>
      </w:r>
      <w:r>
        <w:t xml:space="preserve">— функция изолированного исполнения, сопоставляющая submission и множеству тестовых случаев агрегированный результат</w:t>
      </w:r>
      <w:r>
        <w:t xml:space="preserve"> </w:t>
      </w:r>
      <w:r>
        <w:rPr>
          <w:rStyle w:val="VerbatimChar"/>
        </w:rPr>
        <w:t xml:space="preserve">SandboxExecutionResult</w:t>
      </w:r>
      <w:r>
        <w:t xml:space="preserve"> </w:t>
      </w:r>
      <w:r>
        <w:t xml:space="preserve">(см. шаг 6). Пусть</w:t>
      </w:r>
      <w:r>
        <w:t xml:space="preserve"> </w:t>
      </w:r>
      <m:oMath>
        <m:r>
          <m:rPr>
            <m:nor/>
            <m:sty m:val="p"/>
          </m:rPr>
          <m:t>Ast</m:t>
        </m:r>
        <m:r>
          <m:rPr>
            <m:sty m:val="p"/>
          </m:rPr>
          <m:t>:</m:t>
        </m:r>
        <m:sSup>
          <m:e>
            <m:r>
              <m:rPr>
                <m:sty m:val="p"/>
              </m:rPr>
              <m:t>Σ</m:t>
            </m:r>
          </m:e>
          <m:sup>
            <m:r>
              <m:rPr>
                <m:sty m:val="p"/>
              </m:rPr>
              <m:t>*</m:t>
            </m:r>
          </m:sup>
        </m:sSup>
        <m:r>
          <m:rPr>
            <m:sty m:val="p"/>
          </m:rPr>
          <m:t>×</m:t>
        </m:r>
        <m:r>
          <m:t>L</m:t>
        </m:r>
        <m:r>
          <m:rPr>
            <m:sty m:val="p"/>
          </m:rPr>
          <m:t>→</m:t>
        </m:r>
        <m:sSub>
          <m:e>
            <m:r>
              <m:t>F</m:t>
            </m:r>
          </m:e>
          <m:sub>
            <m:r>
              <m:rPr>
                <m:nor/>
                <m:sty m:val="p"/>
              </m:rPr>
              <m:t>ast</m:t>
            </m:r>
          </m:sub>
        </m:sSub>
      </m:oMath>
      <w:r>
        <w:t xml:space="preserve"> </w:t>
      </w:r>
      <w:r>
        <w:t xml:space="preserve">— функция извлечения синтаксических фактов (см. подраздел 1.5),</w:t>
      </w:r>
      <w:r>
        <w:t xml:space="preserve"> </w:t>
      </w:r>
      <m:oMath>
        <m:r>
          <m:rPr>
            <m:nor/>
            <m:sty m:val="p"/>
          </m:rPr>
          <m:t>Llm</m:t>
        </m:r>
        <m:r>
          <m:rPr>
            <m:sty m:val="p"/>
          </m:rPr>
          <m:t>:</m:t>
        </m:r>
        <m:r>
          <m:t>S</m:t>
        </m:r>
        <m:r>
          <m:rPr>
            <m:sty m:val="p"/>
          </m:rPr>
          <m:t>×</m:t>
        </m:r>
        <m:r>
          <m:rPr>
            <m:nor/>
            <m:sty m:val="p"/>
          </m:rPr>
          <m:t>SR</m:t>
        </m:r>
        <m:r>
          <m:rPr>
            <m:sty m:val="p"/>
          </m:rPr>
          <m:t>×</m:t>
        </m:r>
        <m:sSub>
          <m:e>
            <m:r>
              <m:t>F</m:t>
            </m:r>
          </m:e>
          <m:sub>
            <m:r>
              <m:rPr>
                <m:nor/>
                <m:sty m:val="p"/>
              </m:rPr>
              <m:t>ast</m:t>
            </m:r>
          </m:sub>
        </m:sSub>
        <m:r>
          <m:rPr>
            <m:sty m:val="p"/>
          </m:rPr>
          <m:t>→</m:t>
        </m:r>
        <m:r>
          <m:rPr>
            <m:sty m:val="p"/>
          </m:rPr>
          <m:t>Λ</m:t>
        </m:r>
        <m:r>
          <m:rPr>
            <m:sty m:val="p"/>
          </m:rPr>
          <m:t>×</m:t>
        </m:r>
        <m:r>
          <m:rPr>
            <m:sty m:val="p"/>
          </m:rPr>
          <m:t>[</m:t>
        </m:r>
        <m:r>
          <m:t>0</m:t>
        </m:r>
        <m:r>
          <m:rPr>
            <m:sty m:val="p"/>
          </m:rPr>
          <m:t>,</m:t>
        </m:r>
        <m:r>
          <m:t>100</m:t>
        </m:r>
        <m:r>
          <m:rPr>
            <m:sty m:val="p"/>
          </m:rPr>
          <m:t>]</m:t>
        </m:r>
      </m:oMath>
      <w:r>
        <w:t xml:space="preserve"> </w:t>
      </w:r>
      <w:r>
        <w:t xml:space="preserve">— функция обращения к модели интеллектуального анализа (см. подраздел 2.7),</w:t>
      </w:r>
      <w:r>
        <w:t xml:space="preserve"> </w:t>
      </w:r>
      <m:oMath>
        <m:r>
          <m:rPr>
            <m:nor/>
            <m:sty m:val="p"/>
          </m:rPr>
          <m:t>Persist</m:t>
        </m:r>
        <m:r>
          <m:rPr>
            <m:sty m:val="p"/>
          </m:rPr>
          <m:t>:</m:t>
        </m:r>
        <m:r>
          <m:rPr>
            <m:nor/>
            <m:sty m:val="p"/>
          </m:rPr>
          <m:t>SR</m:t>
        </m:r>
        <m:r>
          <m:rPr>
            <m:sty m:val="p"/>
          </m:rPr>
          <m:t>×</m:t>
        </m:r>
        <m:r>
          <m:rPr>
            <m:sty m:val="p"/>
          </m:rPr>
          <m:t>Λ</m:t>
        </m:r>
        <m:r>
          <m:rPr>
            <m:sty m:val="p"/>
          </m:rPr>
          <m:t>×</m:t>
        </m:r>
        <m:r>
          <m:rPr>
            <m:sty m:val="p"/>
          </m:rPr>
          <m:t>[</m:t>
        </m:r>
        <m:r>
          <m:t>0</m:t>
        </m:r>
        <m:r>
          <m:rPr>
            <m:sty m:val="p"/>
          </m:rPr>
          <m:t>,</m:t>
        </m:r>
        <m:r>
          <m:t>100</m:t>
        </m:r>
        <m:r>
          <m:rPr>
            <m:sty m:val="p"/>
          </m:rPr>
          <m:t>]</m:t>
        </m:r>
        <m:r>
          <m:rPr>
            <m:sty m:val="p"/>
          </m:rPr>
          <m:t>→</m:t>
        </m:r>
        <m:r>
          <m:t>R</m:t>
        </m:r>
      </m:oMath>
      <w:r>
        <w:t xml:space="preserve"> </w:t>
      </w:r>
      <w:r>
        <w:t xml:space="preserve">— функция фиксации результата в базе данных, возвращающая запись</w:t>
      </w:r>
      <w:r>
        <w:t xml:space="preserve"> </w:t>
      </w:r>
      <w:r>
        <w:rPr>
          <w:rStyle w:val="VerbatimChar"/>
        </w:rPr>
        <w:t xml:space="preserve">TaskResultEntity</w:t>
      </w:r>
      <w:r>
        <w:t xml:space="preserve">. Полный пайплайн представим как композицию</w:t>
      </w:r>
    </w:p>
    <w:p>
      <w:pPr>
        <w:pStyle w:val="BodyText"/>
      </w:pPr>
      <m:oMath>
        <m:r>
          <m:rPr>
            <m:sty m:val="p"/>
          </m:rPr>
          <m:t>Π</m:t>
        </m:r>
        <m:r>
          <m:rPr>
            <m:sty m:val="p"/>
          </m:rPr>
          <m:t>(</m:t>
        </m:r>
        <m:r>
          <m:t>s</m:t>
        </m:r>
        <m:r>
          <m:rPr>
            <m:sty m:val="p"/>
          </m:rPr>
          <m:t>)</m:t>
        </m:r>
        <m:r>
          <m:rPr>
            <m:sty m:val="p"/>
          </m:rPr>
          <m:t>=</m:t>
        </m:r>
        <m:r>
          <m:rPr>
            <m:nor/>
            <m:sty m:val="p"/>
          </m:rPr>
          <m:t>Persist</m:t>
        </m:r>
        <m:r>
          <m:rPr>
            <m:sty m:val="p"/>
          </m:rPr>
          <m:t>∘</m:t>
        </m:r>
        <m:r>
          <m:rPr>
            <m:sty m:val="p"/>
          </m:rPr>
          <m:t>⟨</m:t>
        </m:r>
        <m:r>
          <m:rPr>
            <m:nor/>
            <m:sty m:val="p"/>
          </m:rPr>
          <m:t>Sandbox</m:t>
        </m:r>
        <m:r>
          <m:rPr>
            <m:sty m:val="p"/>
          </m:rPr>
          <m:t>(</m:t>
        </m:r>
        <m:r>
          <m:t>s</m:t>
        </m:r>
        <m:r>
          <m:rPr>
            <m:sty m:val="p"/>
          </m:rPr>
          <m:t>,</m:t>
        </m:r>
        <m:r>
          <m:t>T</m:t>
        </m:r>
        <m:sSub>
          <m:e>
            <m:r>
              <m:t>C</m:t>
            </m:r>
          </m:e>
          <m:sub>
            <m:r>
              <m:t>t</m:t>
            </m:r>
          </m:sub>
        </m:sSub>
        <m:r>
          <m:rPr>
            <m:sty m:val="p"/>
          </m:rPr>
          <m:t>)</m:t>
        </m:r>
        <m:r>
          <m:rPr>
            <m:sty m:val="p"/>
          </m:rPr>
          <m:t>,</m:t>
        </m:r>
        <m:r>
          <m:t> </m:t>
        </m:r>
        <m:r>
          <m:rPr>
            <m:nor/>
            <m:sty m:val="p"/>
          </m:rPr>
          <m:t>Llm</m:t>
        </m:r>
        <m:r>
          <m:rPr>
            <m:sty m:val="p"/>
          </m:rPr>
          <m:t>(</m:t>
        </m:r>
        <m:r>
          <m:t>s</m:t>
        </m:r>
        <m:r>
          <m:rPr>
            <m:sty m:val="p"/>
          </m:rPr>
          <m:t>,</m:t>
        </m:r>
        <m:r>
          <m:rPr>
            <m:nor/>
            <m:sty m:val="p"/>
          </m:rPr>
          <m:t>Sandbox</m:t>
        </m:r>
        <m:r>
          <m:rPr>
            <m:sty m:val="p"/>
          </m:rPr>
          <m:t>(</m:t>
        </m:r>
        <m:r>
          <m:t>s</m:t>
        </m:r>
        <m:r>
          <m:rPr>
            <m:sty m:val="p"/>
          </m:rPr>
          <m:t>,</m:t>
        </m:r>
        <m:r>
          <m:t>T</m:t>
        </m:r>
        <m:sSub>
          <m:e>
            <m:r>
              <m:t>C</m:t>
            </m:r>
          </m:e>
          <m:sub>
            <m:r>
              <m:t>t</m:t>
            </m:r>
          </m:sub>
        </m:sSub>
        <m:r>
          <m:rPr>
            <m:sty m:val="p"/>
          </m:rPr>
          <m:t>)</m:t>
        </m:r>
        <m:r>
          <m:rPr>
            <m:sty m:val="p"/>
          </m:rPr>
          <m:t>,</m:t>
        </m:r>
        <m:r>
          <m:rPr>
            <m:nor/>
            <m:sty m:val="p"/>
          </m:rPr>
          <m:t>Ast</m:t>
        </m:r>
        <m:r>
          <m:rPr>
            <m:sty m:val="p"/>
          </m:rPr>
          <m:t>(</m:t>
        </m:r>
        <m:r>
          <m:t>c</m:t>
        </m:r>
        <m:r>
          <m:rPr>
            <m:sty m:val="p"/>
          </m:rPr>
          <m:t>,</m:t>
        </m:r>
        <m:r>
          <m:t>l</m:t>
        </m:r>
        <m:r>
          <m:rPr>
            <m:sty m:val="p"/>
          </m:rPr>
          <m:t>)</m:t>
        </m:r>
        <m:r>
          <m:rPr>
            <m:sty m:val="p"/>
          </m:rPr>
          <m:t>)</m:t>
        </m:r>
        <m:r>
          <m:rPr>
            <m:sty m:val="p"/>
          </m:rPr>
          <m:t>⟩</m:t>
        </m:r>
        <m:r>
          <m:rPr>
            <m:sty m:val="p"/>
          </m:rPr>
          <m:t>∘</m:t>
        </m:r>
        <m:r>
          <m:rPr>
            <m:nor/>
            <m:sty m:val="p"/>
          </m:rPr>
          <m:t>Validate</m:t>
        </m:r>
        <m:r>
          <m:rPr>
            <m:sty m:val="p"/>
          </m:rPr>
          <m:t>(</m:t>
        </m:r>
        <m:r>
          <m:t>s</m:t>
        </m:r>
        <m:r>
          <m:rPr>
            <m:sty m:val="p"/>
          </m:rPr>
          <m:t>)</m:t>
        </m:r>
      </m:oMath>
      <w:r>
        <w:t xml:space="preserve">.</w:t>
      </w:r>
    </w:p>
    <w:p>
      <w:pPr>
        <w:pStyle w:val="BodyText"/>
      </w:pPr>
      <w:r>
        <w:t xml:space="preserve">При отвержении функции</w:t>
      </w:r>
      <w:r>
        <w:t xml:space="preserve"> </w:t>
      </w:r>
      <m:oMath>
        <m:r>
          <m:rPr>
            <m:nor/>
            <m:sty m:val="p"/>
          </m:rPr>
          <m:t>Validate</m:t>
        </m:r>
      </m:oMath>
      <w:r>
        <w:t xml:space="preserve"> </w:t>
      </w:r>
      <w:r>
        <w:t xml:space="preserve">(</w:t>
      </w:r>
      <m:oMath>
        <m:r>
          <m:rPr>
            <m:sty m:val="p"/>
          </m:rPr>
          <m:t>⊥</m:t>
        </m:r>
      </m:oMath>
      <w:r>
        <w:t xml:space="preserve">) пайплайн завершается без обращения к остальным функциям, и submission переходит в состояние</w:t>
      </w:r>
      <w:r>
        <w:t xml:space="preserve"> </w:t>
      </w:r>
      <w:r>
        <w:rPr>
          <w:rStyle w:val="VerbatimChar"/>
        </w:rPr>
        <w:t xml:space="preserve">FAILED</w:t>
      </w:r>
      <w:r>
        <w:t xml:space="preserve">. Декомпозиция пайплайна на пять функций отражает разделение ответственности по модулям:</w:t>
      </w:r>
      <w:r>
        <w:t xml:space="preserve"> </w:t>
      </w:r>
      <m:oMath>
        <m:r>
          <m:rPr>
            <m:nor/>
            <m:sty m:val="p"/>
          </m:rPr>
          <m:t>Validate</m:t>
        </m:r>
      </m:oMath>
      <w:r>
        <w:t xml:space="preserve"> </w:t>
      </w:r>
      <w:r>
        <w:t xml:space="preserve">исполняется в модуле</w:t>
      </w:r>
      <w:r>
        <w:t xml:space="preserve"> </w:t>
      </w:r>
      <w:r>
        <w:rPr>
          <w:rStyle w:val="VerbatimChar"/>
        </w:rPr>
        <w:t xml:space="preserve">task-resolver</w:t>
      </w:r>
      <w:r>
        <w:t xml:space="preserve">,</w:t>
      </w:r>
      <w:r>
        <w:t xml:space="preserve"> </w:t>
      </w:r>
      <m:oMath>
        <m:r>
          <m:rPr>
            <m:nor/>
            <m:sty m:val="p"/>
          </m:rPr>
          <m:t>Sandbox</m:t>
        </m:r>
      </m:oMath>
      <w:r>
        <w:t xml:space="preserve"> </w:t>
      </w:r>
      <w:r>
        <w:t xml:space="preserve">— в одноимённом модуле,</w:t>
      </w:r>
      <w:r>
        <w:t xml:space="preserve"> </w:t>
      </w:r>
      <m:oMath>
        <m:r>
          <m:rPr>
            <m:nor/>
            <m:sty m:val="p"/>
          </m:rPr>
          <m:t>Ast</m:t>
        </m:r>
      </m:oMath>
      <w:r>
        <w:t xml:space="preserve"> </w:t>
      </w:r>
      <w:r>
        <w:t xml:space="preserve">и</w:t>
      </w:r>
      <w:r>
        <w:t xml:space="preserve"> </w:t>
      </w:r>
      <m:oMath>
        <m:r>
          <m:rPr>
            <m:nor/>
            <m:sty m:val="p"/>
          </m:rPr>
          <m:t>Llm</m:t>
        </m:r>
      </m:oMath>
      <w:r>
        <w:t xml:space="preserve"> </w:t>
      </w:r>
      <w:r>
        <w:t xml:space="preserve">— в модуле</w:t>
      </w:r>
      <w:r>
        <w:t xml:space="preserve"> </w:t>
      </w:r>
      <w:r>
        <w:rPr>
          <w:rStyle w:val="VerbatimChar"/>
        </w:rPr>
        <w:t xml:space="preserve">ai-analyzer</w:t>
      </w:r>
      <w:r>
        <w:t xml:space="preserve">,</w:t>
      </w:r>
      <w:r>
        <w:t xml:space="preserve"> </w:t>
      </w:r>
      <m:oMath>
        <m:r>
          <m:rPr>
            <m:nor/>
            <m:sty m:val="p"/>
          </m:rPr>
          <m:t>Persist</m:t>
        </m:r>
      </m:oMath>
      <w:r>
        <w:t xml:space="preserve"> </w:t>
      </w:r>
      <w:r>
        <w:t xml:space="preserve">— снова в модуле</w:t>
      </w:r>
      <w:r>
        <w:t xml:space="preserve"> </w:t>
      </w:r>
      <w:r>
        <w:rPr>
          <w:rStyle w:val="VerbatimChar"/>
        </w:rPr>
        <w:t xml:space="preserve">task-resolver</w:t>
      </w:r>
      <w:r>
        <w:t xml:space="preserve">.</w:t>
      </w:r>
    </w:p>
    <w:p>
      <w:pPr>
        <w:pStyle w:val="BodyText"/>
      </w:pPr>
      <w:r>
        <w:t xml:space="preserve">Динамическая визуализация состояний жизненного цикла submission приведена на рисунке 3.3 в Главе 3. Изложенная формальная модель используется при формулировке экспериментальных гипотез в Главе 5: пред-регистрированное конфирматорное исследование сравнивает три инстанциации функции</w:t>
      </w:r>
      <w:r>
        <w:t xml:space="preserve"> </w:t>
      </w:r>
      <m:oMath>
        <m:r>
          <m:rPr>
            <m:nor/>
            <m:sty m:val="p"/>
          </m:rPr>
          <m:t>Llm</m:t>
        </m:r>
      </m:oMath>
      <w:r>
        <w:t xml:space="preserve"> </w:t>
      </w:r>
      <w:r>
        <w:t xml:space="preserve">(варианты B1, B1f, B2), сохраняя при этом фиксированными функции</w:t>
      </w:r>
      <w:r>
        <w:t xml:space="preserve"> </w:t>
      </w:r>
      <m:oMath>
        <m:r>
          <m:rPr>
            <m:nor/>
            <m:sty m:val="p"/>
          </m:rPr>
          <m:t>Validate</m:t>
        </m:r>
      </m:oMath>
      <w:r>
        <w:t xml:space="preserve">,</w:t>
      </w:r>
      <w:r>
        <w:t xml:space="preserve"> </w:t>
      </w:r>
      <m:oMath>
        <m:r>
          <m:rPr>
            <m:nor/>
            <m:sty m:val="p"/>
          </m:rPr>
          <m:t>Sandbox</m:t>
        </m:r>
      </m:oMath>
      <w:r>
        <w:t xml:space="preserve">,</w:t>
      </w:r>
      <w:r>
        <w:t xml:space="preserve"> </w:t>
      </w:r>
      <m:oMath>
        <m:r>
          <m:rPr>
            <m:nor/>
            <m:sty m:val="p"/>
          </m:rPr>
          <m:t>Ast</m:t>
        </m:r>
      </m:oMath>
      <w:r>
        <w:t xml:space="preserve">,</w:t>
      </w:r>
      <w:r>
        <w:t xml:space="preserve"> </w:t>
      </w:r>
      <m:oMath>
        <m:r>
          <m:rPr>
            <m:nor/>
            <m:sty m:val="p"/>
          </m:rPr>
          <m:t>Persist</m:t>
        </m:r>
      </m:oMath>
      <w:r>
        <w:t xml:space="preserve">. Такая инвариантность обеспечивает корректность парного сравнения вариантов на парах «item, run».</w:t>
      </w:r>
    </w:p>
    <w:bookmarkEnd w:id="51"/>
    <w:bookmarkStart w:id="55" w:name="прикладные-шаги-пайплайна"/>
    <w:p>
      <w:pPr>
        <w:pStyle w:val="Heading3"/>
      </w:pPr>
      <w:r>
        <w:t xml:space="preserve">2.5.2. Прикладные шаги пайплайна</w:t>
      </w:r>
    </w:p>
    <w:p>
      <w:pPr>
        <w:pStyle w:val="FirstParagraph"/>
      </w:pPr>
      <w:r>
        <w:t xml:space="preserve">Логически весь цикл укладывается в десять последовательных шагов.</w:t>
      </w:r>
    </w:p>
    <w:p>
      <w:pPr>
        <w:pStyle w:val="BodyText"/>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(динамические verdict guards, AST cross-check). При сбое LLM-вызова срабатывает fallback на</w:t>
      </w:r>
      <w:r>
        <w:t xml:space="preserve"> </w:t>
      </w:r>
      <w:r>
        <w:rPr>
          <w:rStyle w:val="VerbatimChar"/>
        </w:rPr>
        <w:t xml:space="preserve">SimpleRuleBasedAnalyzer</w:t>
      </w:r>
      <w:r>
        <w:t xml:space="preserve">. Для сценарных задач (структуры данных вида Stack, Queue) после обычных тестов выполняется сценарный прогон в</w:t>
      </w:r>
      <w:r>
        <w:t xml:space="preserve"> </w:t>
      </w:r>
      <w:r>
        <w:rPr>
          <w:rStyle w:val="VerbatimChar"/>
        </w:rPr>
        <w:t xml:space="preserve">scenario-runner</w:t>
      </w:r>
      <w:r>
        <w:t xml:space="preserve">: каждый шаг сценария — отдельный запуск sandbox-контейнера с накопленным stdin (псевдо-сценарий, см.</w:t>
      </w:r>
      <w:r>
        <w:t xml:space="preserve"> </w:t>
      </w:r>
      <w:r>
        <w:rPr>
          <w:rStyle w:val="VerbatimChar"/>
        </w:rPr>
        <w:t xml:space="preserve">DefaultScenarioRunnerImpl.runStep</w:t>
      </w:r>
      <w:r>
        <w:t xml:space="preserve">); живой stdin/stdout одного процесса в текущей реализации не поддерживается.</w:t>
      </w:r>
    </w:p>
    <w:p>
      <w:pPr>
        <w:pStyle w:val="BodyText"/>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pPr>
      <w:r>
        <w:t xml:space="preserve">Полный сценарий обработки одного решения студента в виде временной диаграммы взаимодействия показан на рисунке 2.4.</w:t>
      </w:r>
    </w:p>
    <w:p>
      <w:pPr>
        <w:pStyle w:val="CaptionedFigure"/>
      </w:pPr>
      <w:r>
        <w:drawing>
          <wp:inline>
            <wp:extent cx="5930900" cy="3131878"/>
            <wp:effectExtent b="0" l="0" r="0" t="0"/>
            <wp:docPr descr="Рисунок 2.4 — Sequence-диаграмма обработки решения студента" title="" id="53" name="Picture"/>
            <a:graphic>
              <a:graphicData uri="http://schemas.openxmlformats.org/drawingml/2006/picture">
                <pic:pic>
                  <pic:nvPicPr>
                    <pic:cNvPr descr="../figures/05_sequence_submission.png" id="54" name="Picture"/>
                    <pic:cNvPicPr>
                      <a:picLocks noChangeArrowheads="1" noChangeAspect="1"/>
                    </pic:cNvPicPr>
                  </pic:nvPicPr>
                  <pic:blipFill>
                    <a:blip r:embed="rId52"/>
                    <a:stretch>
                      <a:fillRect/>
                    </a:stretch>
                  </pic:blipFill>
                  <pic:spPr bwMode="auto">
                    <a:xfrm>
                      <a:off x="0" y="0"/>
                      <a:ext cx="5930900" cy="3131878"/>
                    </a:xfrm>
                    <a:prstGeom prst="rect">
                      <a:avLst/>
                    </a:prstGeom>
                    <a:noFill/>
                    <a:ln w="9525">
                      <a:noFill/>
                      <a:headEnd/>
                      <a:tailEnd/>
                    </a:ln>
                  </pic:spPr>
                </pic:pic>
              </a:graphicData>
            </a:graphic>
          </wp:inline>
        </w:drawing>
      </w:r>
    </w:p>
    <w:p>
      <w:pPr>
        <w:pStyle w:val="ImageCaption"/>
      </w:pPr>
      <w:r>
        <w:t xml:space="preserve">Рисунок 2.4 — Sequence-диаграмма обработки решения студента</w:t>
      </w:r>
    </w:p>
    <w:p>
      <w:pPr>
        <w:pStyle w:val="BodyText"/>
      </w:pPr>
      <w:r>
        <w:t xml:space="preserve">Рисунок 2.4 — Sequence-диаграмма обработки решения студента</w:t>
      </w:r>
    </w:p>
    <w:bookmarkEnd w:id="55"/>
    <w:bookmarkEnd w:id="56"/>
    <w:bookmarkStart w:id="59" w:name="архитектура-безопасности"/>
    <w:p>
      <w:pPr>
        <w:pStyle w:val="Heading2"/>
      </w:pPr>
      <w:r>
        <w:t xml:space="preserve">2.6. Архитектура безопасности</w:t>
      </w:r>
    </w:p>
    <w:bookmarkStart w:id="57" w:name="формальная-модель-угроз"/>
    <w:p>
      <w:pPr>
        <w:pStyle w:val="Heading3"/>
      </w:pPr>
      <w:r>
        <w:t xml:space="preserve">2.6.1. Формальная модель угроз</w:t>
      </w:r>
    </w:p>
    <w:p>
      <w:pPr>
        <w:pStyle w:val="FirstParagraph"/>
      </w:pPr>
      <w:r>
        <w:t xml:space="preserve">Описание подсистемы безопасности предваряется формальной моделью угроз, систематизирующей классы нарушителей и связанные с ними потенциальные воздействия на систему. Модель построена по принципу «класс нарушителя — характеризующие признаки — атакуемый компонент — реализованные контрмеры» и охватывает четыре класса.</w:t>
      </w:r>
    </w:p>
    <w:p>
      <w:pPr>
        <w:pStyle w:val="BodyText"/>
      </w:pPr>
      <w:r>
        <w:rPr>
          <w:b/>
          <w:bCs/>
        </w:rPr>
        <w:t xml:space="preserve">Класс N₁ — студент, атакующий через программный код.</w:t>
      </w:r>
      <w:r>
        <w:t xml:space="preserve"> </w:t>
      </w:r>
      <w:r>
        <w:t xml:space="preserve">Характерные признаки: легитимный аутентифицированный пользователь системы с ролью</w:t>
      </w:r>
      <w:r>
        <w:t xml:space="preserve"> </w:t>
      </w:r>
      <w:r>
        <w:rPr>
          <w:rStyle w:val="VerbatimChar"/>
        </w:rPr>
        <w:t xml:space="preserve">STUDENT</w:t>
      </w:r>
      <w:r>
        <w:t xml:space="preserve">, обладает возможностью отправить произвольный исходный код в качестве решения задачи. Цель атаки — нарушить целостность сервера-носителя, получить доступ к данным других пользователей, выполнить непривилегированные операции на машине-носителе или вывести из строя контейнер-исполнитель посредством исчерпания ресурсов (форк-бомба, бесконечный цикл, аллокация памяти). Атакуемый компонент — модуль</w:t>
      </w:r>
      <w:r>
        <w:t xml:space="preserve"> </w:t>
      </w:r>
      <w:r>
        <w:rPr>
          <w:rStyle w:val="VerbatimChar"/>
        </w:rPr>
        <w:t xml:space="preserve">sandbox</w:t>
      </w:r>
      <w:r>
        <w:t xml:space="preserve"> </w:t>
      </w:r>
      <w:r>
        <w:t xml:space="preserve">и среда исполнения Docker. Контрмеры: комплекс hardening-флагов</w:t>
      </w:r>
      <w:r>
        <w:t xml:space="preserve"> </w:t>
      </w:r>
      <w:r>
        <w:rPr>
          <w:rStyle w:val="VerbatimChar"/>
        </w:rPr>
        <w:t xml:space="preserve">docker run</w:t>
      </w:r>
      <w:r>
        <w:t xml:space="preserve"> </w:t>
      </w:r>
      <w:r>
        <w:t xml:space="preserve">(</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--cap-drop=ALL</w:t>
      </w:r>
      <w:r>
        <w:t xml:space="preserve">,</w:t>
      </w:r>
      <w:r>
        <w:t xml:space="preserve"> </w:t>
      </w:r>
      <w:r>
        <w:rPr>
          <w:rStyle w:val="VerbatimChar"/>
        </w:rPr>
        <w:t xml:space="preserve">--tmpfs /tmp:rw,noexec,nosuid,nodev,size=128m</w:t>
      </w:r>
      <w:r>
        <w:t xml:space="preserve">,</w:t>
      </w:r>
      <w:r>
        <w:t xml:space="preserve"> </w:t>
      </w:r>
      <w:r>
        <w:rPr>
          <w:rStyle w:val="VerbatimChar"/>
        </w:rPr>
        <w:t xml:space="preserve">--pids-limit=64</w:t>
      </w:r>
      <w:r>
        <w:t xml:space="preserve">,</w:t>
      </w:r>
      <w:r>
        <w:t xml:space="preserve"> </w:t>
      </w:r>
      <w:r>
        <w:rPr>
          <w:rStyle w:val="VerbatimChar"/>
        </w:rPr>
        <w:t xml:space="preserve">--security-opt=no-new-privileges:true</w:t>
      </w:r>
      <w:r>
        <w:t xml:space="preserve">), ограничения ресурсов (</w:t>
      </w:r>
      <w:r>
        <w:rPr>
          <w:rStyle w:val="VerbatimChar"/>
        </w:rPr>
        <w:t xml:space="preserve">-m</w:t>
      </w:r>
      <w:r>
        <w:t xml:space="preserve">,</w:t>
      </w:r>
      <w:r>
        <w:t xml:space="preserve"> </w:t>
      </w:r>
      <w:r>
        <w:rPr>
          <w:rStyle w:val="VerbatimChar"/>
        </w:rPr>
        <w:t xml:space="preserve">--cpus</w:t>
      </w:r>
      <w:r>
        <w:t xml:space="preserve">), watchdog hard-timeout (см. подраздел 3.1.2), монтирование рабочей директории контейнера в режиме</w:t>
      </w:r>
      <w:r>
        <w:t xml:space="preserve"> </w:t>
      </w:r>
      <w:r>
        <w:rPr>
          <w:rStyle w:val="VerbatimChar"/>
        </w:rPr>
        <w:t xml:space="preserve">read-write</w:t>
      </w:r>
      <w:r>
        <w:t xml:space="preserve"> </w:t>
      </w:r>
      <w:r>
        <w:t xml:space="preserve">исключительно для временных файлов с дальнейшим удалением.</w:t>
      </w:r>
    </w:p>
    <w:p>
      <w:pPr>
        <w:pStyle w:val="BodyText"/>
      </w:pPr>
      <w:r>
        <w:rPr>
          <w:b/>
          <w:bCs/>
        </w:rPr>
        <w:t xml:space="preserve">Класс N₂ — студент, атакующий через инъекции в промпт.</w:t>
      </w:r>
      <w:r>
        <w:t xml:space="preserve"> </w:t>
      </w:r>
      <w:r>
        <w:t xml:space="preserve">Характерные признаки: легитимный аутентифицированный пользователь системы с ролью</w:t>
      </w:r>
      <w:r>
        <w:t xml:space="preserve"> </w:t>
      </w:r>
      <w:r>
        <w:rPr>
          <w:rStyle w:val="VerbatimChar"/>
        </w:rPr>
        <w:t xml:space="preserve">STUDENT</w:t>
      </w:r>
      <w:r>
        <w:t xml:space="preserve">, обладает возможностью разместить в теле решения комментарии, литеральные строки или специальные последовательности символов, направленные на манипулирование выходом языковой модели интеллектуального анализа. Цель атаки — заставить модель завысить оценку качества решения, проигнорировать выявленные дефекты, раскрыть содержимое системного промпта, изменить роль модели на иную (например, перевести модель в режим «помощника по выполнению учебного задания»). Атакуемый компонент — модуль</w:t>
      </w:r>
      <w:r>
        <w:t xml:space="preserve"> </w:t>
      </w:r>
      <w:r>
        <w:rPr>
          <w:rStyle w:val="VerbatimChar"/>
        </w:rPr>
        <w:t xml:space="preserve">ai-analyzer</w:t>
      </w:r>
      <w:r>
        <w:t xml:space="preserve">. Контрмеры образуют семиуровневую защиту: sentinel-маркеры в обрамлении пользовательского кода с заменой совпадающих литералов на безопасные заменители; нормализация Unicode по форме NFKC и удаление управляющих, двунаправленных и пустых символов; ограничение длины входа (метод</w:t>
      </w:r>
      <w:r>
        <w:t xml:space="preserve"> </w:t>
      </w:r>
      <w:r>
        <w:rPr>
          <w:rStyle w:val="VerbatimChar"/>
        </w:rPr>
        <w:t xml:space="preserve">enforceSizeLimit</w:t>
      </w:r>
      <w:r>
        <w:t xml:space="preserve">); валидация ответа модели по JSON-Schema с запретом дополнительных полей (</w:t>
      </w:r>
      <w:r>
        <w:rPr>
          <w:rStyle w:val="VerbatimChar"/>
        </w:rPr>
        <w:t xml:space="preserve">additionalProperties=false</w:t>
      </w:r>
      <w:r>
        <w:t xml:space="preserve">); очистка вывода методом</w:t>
      </w:r>
      <w:r>
        <w:t xml:space="preserve"> </w:t>
      </w:r>
      <w:r>
        <w:rPr>
          <w:rStyle w:val="VerbatimChar"/>
        </w:rPr>
        <w:t xml:space="preserve">stripUnsafeOutput</w:t>
      </w:r>
      <w:r>
        <w:t xml:space="preserve">; нормализация тона ответа методом</w:t>
      </w:r>
      <w:r>
        <w:t xml:space="preserve"> </w:t>
      </w:r>
      <w:r>
        <w:rPr>
          <w:rStyle w:val="VerbatimChar"/>
        </w:rPr>
        <w:t xml:space="preserve">enforceImpersonalTone</w:t>
      </w:r>
      <w:r>
        <w:t xml:space="preserve">; динамическое верхнее ограничение оценки</w:t>
      </w:r>
      <w:r>
        <w:t xml:space="preserve"> </w:t>
      </w:r>
      <w:r>
        <w:rPr>
          <w:rStyle w:val="VerbatimChar"/>
        </w:rPr>
        <w:t xml:space="preserve">dynamicQualityCap</w:t>
      </w:r>
      <w:r>
        <w:t xml:space="preserve"> </w:t>
      </w:r>
      <w:r>
        <w:t xml:space="preserve">с дополнительным AST-обусловленным понижением (</w:t>
      </w:r>
      <w:r>
        <w:rPr>
          <w:rStyle w:val="VerbatimChar"/>
        </w:rPr>
        <w:t xml:space="preserve">AST-clamp</w:t>
      </w:r>
      <w:r>
        <w:t xml:space="preserve">). Эмпирическая проверка эффективности защиты приведена в Главе 5.</w:t>
      </w:r>
    </w:p>
    <w:p>
      <w:pPr>
        <w:pStyle w:val="BodyText"/>
      </w:pPr>
      <w:r>
        <w:rPr>
          <w:b/>
          <w:bCs/>
        </w:rPr>
        <w:t xml:space="preserve">Класс N₃ — внешний нарушитель, не имеющий учётной записи.</w:t>
      </w:r>
      <w:r>
        <w:t xml:space="preserve"> </w:t>
      </w:r>
      <w:r>
        <w:t xml:space="preserve">Характерные признаки: лицо, не прошедшее процедуру регистрации в системе или не предъявившее валидного токена доступа. Цель атаки — получение несанкционированного доступа к функциональности веб-сервиса, к данным учётных записей или к произвольному коду, ранее отправленному другими пользователями; компрометация сервера-носителя через уязвимости открытых сетевых эндпоинтов. Атакуемый компонент — модуль</w:t>
      </w:r>
      <w:r>
        <w:t xml:space="preserve"> </w:t>
      </w:r>
      <w:r>
        <w:rPr>
          <w:rStyle w:val="VerbatimChar"/>
        </w:rPr>
        <w:t xml:space="preserve">task-resolver</w:t>
      </w:r>
      <w:r>
        <w:t xml:space="preserve"> </w:t>
      </w:r>
      <w:r>
        <w:t xml:space="preserve">и в особенности эндпоинты аутентификации и регистрации. Контрмеры: stateless-аутентификация по JWT с подписью HS256; хранение паролей в виде BCrypt-хешей с фактором стоимости 10; защита от перебора паролей через ограничение частоты неудачных попыток входа; защита от перечисления учётных записей через единообразный код ошибки</w:t>
      </w:r>
      <w:r>
        <w:t xml:space="preserve"> </w:t>
      </w:r>
      <w:r>
        <w:rPr>
          <w:rStyle w:val="VerbatimChar"/>
        </w:rPr>
        <w:t xml:space="preserve">INVALID_CREDENTIALS</w:t>
      </w:r>
      <w:r>
        <w:t xml:space="preserve"> </w:t>
      </w:r>
      <w:r>
        <w:t xml:space="preserve">без раскрытия типа несоответствия; параметризация всех SQL-запросов через JPA, исключающая возможность инъекций SQL; ограничительная CORS-политика; явный список публичных эндпоинтов с отказом по умолчанию для всех остальных.</w:t>
      </w:r>
    </w:p>
    <w:p>
      <w:pPr>
        <w:pStyle w:val="BodyText"/>
      </w:pPr>
      <w:r>
        <w:rPr>
          <w:b/>
          <w:bCs/>
        </w:rPr>
        <w:t xml:space="preserve">Класс N₄ — компрометация изолированной среды исполнения.</w:t>
      </w:r>
      <w:r>
        <w:t xml:space="preserve"> </w:t>
      </w:r>
      <w:r>
        <w:t xml:space="preserve">Характерные признаки: вектор реализации — успешное преодоление защиты sandbox-контейнера со стороны исполняемого пользовательского кода (контейнер escape), либо взаимодействие с известной уязвимостью Docker-движка или ядра Linux операционной системы-носителя. Цель атаки — выход за периметр контейнера и получение доступа к ресурсам сервера-носителя или к контейнерам, обслуживающим параллельные submission других пользователей. Атакуемый компонент — Docker-движок и операционная система-носитель. Контрмеры: своевременное обновление версий Docker и операционной системы с применением патчей безопасности; отсутствие в контейнере дополнительных инструментов, необходимых для постэксплуатационных действий (отсутствие</w:t>
      </w:r>
      <w:r>
        <w:t xml:space="preserve"> </w:t>
      </w:r>
      <w:r>
        <w:rPr>
          <w:rStyle w:val="VerbatimChar"/>
        </w:rPr>
        <w:t xml:space="preserve">curl</w:t>
      </w:r>
      <w:r>
        <w:t xml:space="preserve">,</w:t>
      </w:r>
      <w:r>
        <w:t xml:space="preserve"> </w:t>
      </w:r>
      <w:r>
        <w:rPr>
          <w:rStyle w:val="VerbatimChar"/>
        </w:rPr>
        <w:t xml:space="preserve">wget</w:t>
      </w:r>
      <w:r>
        <w:t xml:space="preserve">,</w:t>
      </w:r>
      <w:r>
        <w:t xml:space="preserve"> </w:t>
      </w:r>
      <w:r>
        <w:rPr>
          <w:rStyle w:val="VerbatimChar"/>
        </w:rPr>
        <w:t xml:space="preserve">nc</w:t>
      </w:r>
      <w:r>
        <w:t xml:space="preserve">, отсутствие сетевого стека); регулярный аудит набора hardening-флагов; на горизонте развития системы — переход на гипервизорную изоляцию gVisor или Firecracker, обеспечивающую более строгие гарантии (рассмотрено как направление дальнейшей работы в Заключении).</w:t>
      </w:r>
    </w:p>
    <w:p>
      <w:pPr>
        <w:pStyle w:val="BodyText"/>
      </w:pPr>
      <w:r>
        <w:t xml:space="preserve">Совокупная модель угроз увязывает каждый класс нарушителя с конкретной реализованной контрмерой и обосновывает дальнейшее изложение архитектуры подсистемы безопасности и архитектуры модуля интеллектуального анализа.</w:t>
      </w:r>
    </w:p>
    <w:bookmarkEnd w:id="57"/>
    <w:bookmarkStart w:id="58" w:name="X0777a1aec0db72f656543c31de912c40e5dff2e"/>
    <w:p>
      <w:pPr>
        <w:pStyle w:val="Heading3"/>
      </w:pPr>
      <w:r>
        <w:t xml:space="preserve">2.6.2. Подсистема аутентификации и контроля доступа</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pPr>
      <w:r>
        <w:rPr>
          <w:i/>
          <w:iCs/>
        </w:rPr>
        <w:t xml:space="preserve">Ролевая модель</w:t>
      </w:r>
      <w:r>
        <w:t xml:space="preserve">. Поддерживаются две доменные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 Дополнительно объявлена техническая in-memory роль</w:t>
      </w:r>
      <w:r>
        <w:t xml:space="preserve"> </w:t>
      </w:r>
      <w:r>
        <w:rPr>
          <w:rStyle w:val="VerbatimChar"/>
        </w:rPr>
        <w:t xml:space="preserve">OPS</w:t>
      </w:r>
      <w:r>
        <w:t xml:space="preserve"> </w:t>
      </w:r>
      <w:r>
        <w:t xml:space="preserve">исключительно для basic-auth прокси к</w:t>
      </w:r>
      <w:r>
        <w:t xml:space="preserve"> </w:t>
      </w:r>
      <w:r>
        <w:rPr>
          <w:rStyle w:val="VerbatimChar"/>
        </w:rPr>
        <w:t xml:space="preserve">/actuator/prometheus</w:t>
      </w:r>
      <w:r>
        <w:t xml:space="preserve">; к доменным пользователям отношения не имеет и в БД не хранится.</w:t>
      </w:r>
    </w:p>
    <w:p>
      <w:pPr>
        <w:pStyle w:val="BodyText"/>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58"/>
    <w:bookmarkEnd w:id="59"/>
    <w:bookmarkStart w:id="70"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0"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0"/>
    <w:bookmarkStart w:id="64"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5)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CaptionedFigure"/>
      </w:pPr>
      <w:r>
        <w:drawing>
          <wp:inline>
            <wp:extent cx="5930900" cy="8133805"/>
            <wp:effectExtent b="0" l="0" r="0" t="0"/>
            <wp:docPr descr="Рисунок 2.5 — Архитектура AI-анализатора (нейро-символьный подход)" title="" id="62" name="Picture"/>
            <a:graphic>
              <a:graphicData uri="http://schemas.openxmlformats.org/drawingml/2006/picture">
                <pic:pic>
                  <pic:nvPicPr>
                    <pic:cNvPr descr="../figures/06_ai_analyzer_layers.png" id="63" name="Picture"/>
                    <pic:cNvPicPr>
                      <a:picLocks noChangeArrowheads="1" noChangeAspect="1"/>
                    </pic:cNvPicPr>
                  </pic:nvPicPr>
                  <pic:blipFill>
                    <a:blip r:embed="rId61"/>
                    <a:stretch>
                      <a:fillRect/>
                    </a:stretch>
                  </pic:blipFill>
                  <pic:spPr bwMode="auto">
                    <a:xfrm>
                      <a:off x="0" y="0"/>
                      <a:ext cx="5930900" cy="8133805"/>
                    </a:xfrm>
                    <a:prstGeom prst="rect">
                      <a:avLst/>
                    </a:prstGeom>
                    <a:noFill/>
                    <a:ln w="9525">
                      <a:noFill/>
                      <a:headEnd/>
                      <a:tailEnd/>
                    </a:ln>
                  </pic:spPr>
                </pic:pic>
              </a:graphicData>
            </a:graphic>
          </wp:inline>
        </w:drawing>
      </w:r>
    </w:p>
    <w:p>
      <w:pPr>
        <w:pStyle w:val="ImageCaption"/>
      </w:pPr>
      <w:r>
        <w:t xml:space="preserve">Рисунок 2.5 — Архитектура AI-анализатора (нейро-символьный подход)</w:t>
      </w:r>
    </w:p>
    <w:p>
      <w:pPr>
        <w:pStyle w:val="BodyText"/>
      </w:pPr>
      <w:r>
        <w:t xml:space="preserve">Рисунок 2.5 — Архитектура AI-анализатора (нейро-символьный подход)</w:t>
      </w:r>
    </w:p>
    <w:bookmarkEnd w:id="64"/>
    <w:bookmarkStart w:id="65"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5"/>
    <w:bookmarkStart w:id="66"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pPr>
      <w:r>
        <w:t xml:space="preserve">Содержательно базовый system-prompt состоит из шести разделов:</w:t>
      </w:r>
    </w:p>
    <w:p>
      <w:pPr>
        <w:numPr>
          <w:ilvl w:val="0"/>
          <w:numId w:val="1007"/>
        </w:numPr>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66"/>
    <w:bookmarkStart w:id="67"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pPr>
      <w:r>
        <w:rPr>
          <w:i/>
          <w:iCs/>
        </w:rPr>
        <w:t xml:space="preserve">Динамические 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пропорциональных отношению прошедших тестов к общему числу. Функция</w:t>
      </w:r>
      <w:r>
        <w:t xml:space="preserve"> </w:t>
      </w:r>
      <w:r>
        <w:rPr>
          <w:rStyle w:val="VerbatimChar"/>
        </w:rPr>
        <w:t xml:space="preserve">dynamicQualityCap(passed, total)</w:t>
      </w:r>
      <w:r>
        <w:t xml:space="preserve"> </w:t>
      </w:r>
      <w:r>
        <w:t xml:space="preserve">(</w:t>
      </w:r>
      <w:r>
        <w:rPr>
          <w:rStyle w:val="VerbatimChar"/>
        </w:rPr>
        <w:t xml:space="preserve">ai-analyzer/src/main/kotlin/ru/aianalyzer/service/GigaChatAnalyzer.kt</w:t>
      </w:r>
      <w:r>
        <w:t xml:space="preserve">) задаёт следующее соответствие:</w:t>
      </w:r>
    </w:p>
    <w:p>
      <w:pPr>
        <w:pStyle w:val="BodyText"/>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p>
    <w:p>
      <w:pPr>
        <w:pStyle w:val="BodyText"/>
      </w:pP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20</w:t>
      </w:r>
      <w:r>
        <w:t xml:space="preserve">;</w:t>
      </w:r>
    </w:p>
    <w:p>
      <w:pPr>
        <w:pStyle w:val="BodyText"/>
      </w:pPr>
      <w:r>
        <w:t xml:space="preserve">–</w:t>
      </w:r>
      <w:r>
        <w:t xml:space="preserve"> </w:t>
      </w:r>
      <w:r>
        <w:rPr>
          <w:rStyle w:val="VerbatimChar"/>
        </w:rPr>
        <w:t xml:space="preserve">passed = 1</w:t>
      </w:r>
      <w:r>
        <w:t xml:space="preserve"> </w:t>
      </w:r>
      <w:r>
        <w:t xml:space="preserve">(один прошедший тест из нескольких) —</w:t>
      </w:r>
      <w:r>
        <w:t xml:space="preserve"> </w:t>
      </w:r>
      <w:r>
        <w:rPr>
          <w:b/>
          <w:bCs/>
        </w:rPr>
        <w:t xml:space="preserve">30</w:t>
      </w:r>
      <w:r>
        <w:t xml:space="preserve">;</w:t>
      </w:r>
    </w:p>
    <w:p>
      <w:pPr>
        <w:pStyle w:val="BodyText"/>
      </w:pPr>
      <w:r>
        <w:t xml:space="preserve">–</w:t>
      </w:r>
      <w:r>
        <w:t xml:space="preserve"> </w:t>
      </w:r>
      <w:r>
        <w:rPr>
          <w:rStyle w:val="VerbatimChar"/>
        </w:rPr>
        <w:t xml:space="preserve">2 · passed ≤ total</w:t>
      </w:r>
      <w:r>
        <w:t xml:space="preserve"> </w:t>
      </w:r>
      <w:r>
        <w:t xml:space="preserve">(половина или меньше) —</w:t>
      </w:r>
      <w:r>
        <w:t xml:space="preserve"> </w:t>
      </w:r>
      <w:r>
        <w:rPr>
          <w:b/>
          <w:bCs/>
        </w:rPr>
        <w:t xml:space="preserve">50</w:t>
      </w:r>
      <w:r>
        <w:t xml:space="preserve">;</w:t>
      </w:r>
    </w:p>
    <w:p>
      <w:pPr>
        <w:pStyle w:val="BodyText"/>
      </w:pPr>
      <w:r>
        <w:t xml:space="preserve">–</w:t>
      </w:r>
      <w:r>
        <w:t xml:space="preserve"> </w:t>
      </w:r>
      <w:r>
        <w:rPr>
          <w:rStyle w:val="VerbatimChar"/>
        </w:rPr>
        <w:t xml:space="preserve">passed = total − 1</w:t>
      </w:r>
      <w:r>
        <w:t xml:space="preserve"> </w:t>
      </w:r>
      <w:r>
        <w:t xml:space="preserve">(все, кроме одного) —</w:t>
      </w:r>
      <w:r>
        <w:t xml:space="preserve"> </w:t>
      </w:r>
      <w:r>
        <w:rPr>
          <w:b/>
          <w:bCs/>
        </w:rPr>
        <w:t xml:space="preserve">70</w:t>
      </w:r>
      <w:r>
        <w:t xml:space="preserve">;</w:t>
      </w:r>
    </w:p>
    <w:p>
      <w:pPr>
        <w:pStyle w:val="BodyText"/>
      </w:pPr>
      <w:r>
        <w:t xml:space="preserve">– во всех остальных промежуточных случаях —</w:t>
      </w:r>
      <w:r>
        <w:t xml:space="preserve"> </w:t>
      </w:r>
      <w:r>
        <w:rPr>
          <w:b/>
          <w:bCs/>
        </w:rPr>
        <w:t xml:space="preserve">70</w:t>
      </w:r>
      <w:r>
        <w:t xml:space="preserve">.</w:t>
      </w:r>
    </w:p>
    <w:p>
      <w:pPr>
        <w:pStyle w:val="BodyText"/>
      </w:pPr>
      <w:r>
        <w:t xml:space="preserve">Дополнительно при</w:t>
      </w:r>
      <w:r>
        <w:t xml:space="preserve"> </w:t>
      </w:r>
      <w:r>
        <w:rPr>
          <w:rStyle w:val="VerbatimChar"/>
        </w:rPr>
        <w:t xml:space="preserve">astSuspiciousReturnsConstant = true</w:t>
      </w:r>
      <w:r>
        <w:t xml:space="preserve"> </w:t>
      </w:r>
      <w:r>
        <w:t xml:space="preserve">(AST-признак «функция возвращает константу») в сочетании с полным провалом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динамическая шкала заменила ранее использовавшиеся фиксированные границы (40 при полном провале, 60 при частичном) и обеспечивает пропорциональность ограничения вкладу sandbox-вердикта.</w:t>
      </w:r>
    </w:p>
    <w:p>
      <w:pPr>
        <w:pStyle w:val="BodyText"/>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5).</w:t>
      </w:r>
    </w:p>
    <w:p>
      <w:pPr>
        <w:pStyle w:val="BodyText"/>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Исключение составляет экспериментальный флаг</w:t>
      </w:r>
      <w:r>
        <w:t xml:space="preserve"> </w:t>
      </w:r>
      <w:r>
        <w:rPr>
          <w:rStyle w:val="VerbatimChar"/>
        </w:rPr>
        <w:t xml:space="preserve">disableVerdictGuards = true</w:t>
      </w:r>
      <w:r>
        <w:t xml:space="preserve">, который используется исключительно в варианте B3 (no-guards) пред-регистрированного конфирматорный эксперимента для ablation-замера вклада guard-слоя в защиту от prompt-инъекций; в production-конфигурации флаг не выставляется. Принципиально: безопасность системы не должна зависеть от качества инструкций, переданных во внешний сервис.</w:t>
      </w:r>
    </w:p>
    <w:bookmarkEnd w:id="67"/>
    <w:bookmarkStart w:id="68"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pPr>
      <w:r>
        <w:t xml:space="preserve">– язык программирования (lowercase);</w:t>
      </w:r>
    </w:p>
    <w:p>
      <w:pPr>
        <w:pStyle w:val="BodyText"/>
      </w:pPr>
      <w:r>
        <w:t xml:space="preserve">– санитизированный код;</w:t>
      </w:r>
    </w:p>
    <w:p>
      <w:pPr>
        <w:pStyle w:val="BodyText"/>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pPr>
      <w:r>
        <w:t xml:space="preserve">– fingerprint описания задачи (первые 2048 символов) — без этого редакция условия молча возвращала бы старый разбор.</w:t>
      </w:r>
    </w:p>
    <w:p>
      <w:pPr>
        <w:pStyle w:val="BodyText"/>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5) для чистоты замеров.</w:t>
      </w:r>
    </w:p>
    <w:p>
      <w:pPr>
        <w:pStyle w:val="BodyText"/>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68"/>
    <w:bookmarkStart w:id="69"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pPr>
      <w:r>
        <w:rPr>
          <w:i/>
          <w:iCs/>
        </w:rPr>
        <w:t xml:space="preserve">Динамическая шкала</w:t>
      </w:r>
      <w:r>
        <w:rPr>
          <w:i/>
          <w:iCs/>
        </w:rPr>
        <w:t xml:space="preserve"> </w:t>
      </w:r>
      <w:r>
        <w:rPr>
          <w:rStyle w:val="VerbatimChar"/>
          <w:i/>
          <w:iCs/>
        </w:rPr>
        <w:t xml:space="preserve">dynamicQualityCap</w:t>
      </w:r>
      <w:r>
        <w:t xml:space="preserve">. Введение фиксированной верхней границы (например, единого</w:t>
      </w:r>
      <w:r>
        <w:t xml:space="preserve"> </w:t>
      </w:r>
      <w:r>
        <w:rPr>
          <w:rStyle w:val="VerbatimChar"/>
        </w:rPr>
        <w:t xml:space="preserve">cap = 40</w:t>
      </w:r>
      <w:r>
        <w:t xml:space="preserve"> </w:t>
      </w:r>
      <w:r>
        <w:t xml:space="preserve">при</w:t>
      </w:r>
      <w:r>
        <w:t xml:space="preserve"> </w:t>
      </w:r>
      <w:r>
        <w:rPr>
          <w:rStyle w:val="VerbatimChar"/>
        </w:rPr>
        <w:t xml:space="preserve">passedTests = 0</w:t>
      </w:r>
      <w:r>
        <w:t xml:space="preserve">) даёт грубую защиту, но не различает «вообще ничего не работает» и «работают почти все тесты, кроме одного». Динамическая шкала пропорциональна вкладу sandbox-вердикта: при нулевом прохождении оценка не может превышать 20 (нижний дециль шкалы), при единственном прошедшем тесте — 30, при прохождении половины — 50, при прохождении всех, кроме одного — 70. Все границы выбраны как верхние края соответствующих диапазонов «работоспособности»: 0–20 «нерабочее решение», 20–50 «частично рабочее», 50–70 «в основном рабочее», 70–100 «корректное». Граничный случай —</w:t>
      </w:r>
      <w:r>
        <w:t xml:space="preserve"> </w:t>
      </w:r>
      <w:r>
        <w:rPr>
          <w:rStyle w:val="VerbatimChar"/>
        </w:rPr>
        <w:t xml:space="preserve">astSuspiciousReturnsConstant ∧ allFailed</w:t>
      </w:r>
      <w:r>
        <w:t xml:space="preserve"> </w:t>
      </w:r>
      <w:r>
        <w:t xml:space="preserve">— обрабатывается отдельным экстремальным cap’ом = 10, поскольку структурно тривиальная заглушка, не прошедшая ни одного теста, не имеет права получить даже среднюю оценку. Шкала закреплена в чистой функции</w:t>
      </w:r>
      <w:r>
        <w:t xml:space="preserve"> </w:t>
      </w:r>
      <w:r>
        <w:rPr>
          <w:rStyle w:val="VerbatimChar"/>
        </w:rPr>
        <w:t xml:space="preserve">dynamicQualityCap(passed, total)</w:t>
      </w:r>
      <w:r>
        <w:t xml:space="preserve"> </w:t>
      </w:r>
      <w:r>
        <w:t xml:space="preserve">и покрыта параметризованным тестом</w:t>
      </w:r>
      <w:r>
        <w:t xml:space="preserve"> </w:t>
      </w:r>
      <w:r>
        <w:rPr>
          <w:rStyle w:val="VerbatimChar"/>
        </w:rPr>
        <w:t xml:space="preserve">GigaChatAnalyzerTest.dynamicQualityCap_table</w:t>
      </w:r>
      <w:r>
        <w:t xml:space="preserve">.</w:t>
      </w:r>
    </w:p>
    <w:p>
      <w:pPr>
        <w:pStyle w:val="BodyText"/>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69"/>
    <w:bookmarkEnd w:id="70"/>
    <w:bookmarkStart w:id="71"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1"/>
    <w:bookmarkStart w:id="72"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2"/>
    <w:bookmarkStart w:id="73"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девять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динамическую шкалу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5, в которой проведена количественная оценка трёх конфигураций AI-анализатора на пред-регистрированном эталонный корпусе (60 элементов × 3 повтора × 3 варианта анализатора, 540 вызовов GigaChat, cross-model LLM-судья Claude).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bookmarkEnd w:id="73"/>
    <w:bookmarkEnd w:id="74"/>
    <w:bookmarkStart w:id="115"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3"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5"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5"/>
    <w:bookmarkStart w:id="76"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76"/>
    <w:bookmarkStart w:id="77"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77"/>
    <w:bookmarkStart w:id="78"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78"/>
    <w:bookmarkStart w:id="82"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w:t>
      </w:r>
    </w:p>
    <w:p>
      <w:pPr>
        <w:pStyle w:val="BodyText"/>
      </w:pPr>
      <w:r>
        <w:t xml:space="preserve">Алгоритм sandbox-исполнения, выполненный по нотации блок-схем ГОСТ 19.701-90 [7], показан на рисунке 3.1.</w:t>
      </w:r>
    </w:p>
    <w:p>
      <w:pPr>
        <w:pStyle w:val="CaptionedFigure"/>
      </w:pPr>
      <w:r>
        <w:drawing>
          <wp:inline>
            <wp:extent cx="5930900" cy="11778585"/>
            <wp:effectExtent b="0" l="0" r="0" t="0"/>
            <wp:docPr descr="Рисунок 3.1 — Блок-схема алгоритма sandbox-исполнения (ГОСТ 19.701-90)" title="" id="80" name="Picture"/>
            <a:graphic>
              <a:graphicData uri="http://schemas.openxmlformats.org/drawingml/2006/picture">
                <pic:pic>
                  <pic:nvPicPr>
                    <pic:cNvPr descr="../figures/07_sandbox_flowchart.png" id="81" name="Picture"/>
                    <pic:cNvPicPr>
                      <a:picLocks noChangeArrowheads="1" noChangeAspect="1"/>
                    </pic:cNvPicPr>
                  </pic:nvPicPr>
                  <pic:blipFill>
                    <a:blip r:embed="rId79"/>
                    <a:stretch>
                      <a:fillRect/>
                    </a:stretch>
                  </pic:blipFill>
                  <pic:spPr bwMode="auto">
                    <a:xfrm>
                      <a:off x="0" y="0"/>
                      <a:ext cx="5930900" cy="11778585"/>
                    </a:xfrm>
                    <a:prstGeom prst="rect">
                      <a:avLst/>
                    </a:prstGeom>
                    <a:noFill/>
                    <a:ln w="9525">
                      <a:noFill/>
                      <a:headEnd/>
                      <a:tailEnd/>
                    </a:ln>
                  </pic:spPr>
                </pic:pic>
              </a:graphicData>
            </a:graphic>
          </wp:inline>
        </w:drawing>
      </w:r>
    </w:p>
    <w:p>
      <w:pPr>
        <w:pStyle w:val="ImageCaption"/>
      </w:pPr>
      <w:r>
        <w:t xml:space="preserve">Рисунок 3.1 — Блок-схема алгоритма sandbox-исполнения (ГОСТ 19.701-90)</w:t>
      </w:r>
    </w:p>
    <w:p>
      <w:pPr>
        <w:pStyle w:val="BodyText"/>
      </w:pPr>
      <w:r>
        <w:t xml:space="preserve">Рисунок 3.1 — Блок-схема алгоритма sandbox-исполнения (ГОСТ 19.701-90)</w:t>
      </w:r>
    </w:p>
    <w:bookmarkEnd w:id="82"/>
    <w:bookmarkEnd w:id="83"/>
    <w:bookmarkStart w:id="94"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87"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pPr>
      <w:r>
        <w:t xml:space="preserve">Последовательность построения user-prompt из контекста анализа, AST-фактов и кода представлена в виде блок-схемы на рисунке 3.2.</w:t>
      </w:r>
    </w:p>
    <w:p>
      <w:pPr>
        <w:pStyle w:val="CaptionedFigure"/>
      </w:pPr>
      <w:r>
        <w:drawing>
          <wp:inline>
            <wp:extent cx="5930900" cy="23926499"/>
            <wp:effectExtent b="0" l="0" r="0" t="0"/>
            <wp:docPr descr="Рисунок 3.2 — Блок-схема построения user-prompt для AI-анализатора" title="" id="85" name="Picture"/>
            <a:graphic>
              <a:graphicData uri="http://schemas.openxmlformats.org/drawingml/2006/picture">
                <pic:pic>
                  <pic:nvPicPr>
                    <pic:cNvPr descr="../figures/08_user_prompt_build.png" id="86" name="Picture"/>
                    <pic:cNvPicPr>
                      <a:picLocks noChangeArrowheads="1" noChangeAspect="1"/>
                    </pic:cNvPicPr>
                  </pic:nvPicPr>
                  <pic:blipFill>
                    <a:blip r:embed="rId84"/>
                    <a:stretch>
                      <a:fillRect/>
                    </a:stretch>
                  </pic:blipFill>
                  <pic:spPr bwMode="auto">
                    <a:xfrm>
                      <a:off x="0" y="0"/>
                      <a:ext cx="5930900" cy="23926499"/>
                    </a:xfrm>
                    <a:prstGeom prst="rect">
                      <a:avLst/>
                    </a:prstGeom>
                    <a:noFill/>
                    <a:ln w="9525">
                      <a:noFill/>
                      <a:headEnd/>
                      <a:tailEnd/>
                    </a:ln>
                  </pic:spPr>
                </pic:pic>
              </a:graphicData>
            </a:graphic>
          </wp:inline>
        </w:drawing>
      </w:r>
    </w:p>
    <w:p>
      <w:pPr>
        <w:pStyle w:val="ImageCaption"/>
      </w:pPr>
      <w:r>
        <w:t xml:space="preserve">Рисунок 3.2 — Блок-схема построения user-prompt для AI-анализатора</w:t>
      </w:r>
    </w:p>
    <w:p>
      <w:pPr>
        <w:pStyle w:val="BodyText"/>
      </w:pPr>
      <w:r>
        <w:t xml:space="preserve">Рисунок 3.2 — Блок-схема построения user-prompt для AI-анализатора</w:t>
      </w:r>
    </w:p>
    <w:bookmarkEnd w:id="87"/>
    <w:bookmarkStart w:id="88"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88"/>
    <w:bookmarkStart w:id="89"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89"/>
    <w:bookmarkStart w:id="90"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0"/>
    <w:bookmarkStart w:id="91"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p>
      <w:pPr>
        <w:pStyle w:val="BodyText"/>
      </w:pPr>
      <w:r>
        <w:t xml:space="preserve">Дополнительно реализован метод</w:t>
      </w:r>
      <w:r>
        <w:t xml:space="preserve"> </w:t>
      </w:r>
      <w:r>
        <w:rPr>
          <w:rStyle w:val="VerbatimChar"/>
        </w:rPr>
        <w:t xml:space="preserve">enforceImpersonalTone</w:t>
      </w:r>
      <w:r>
        <w:t xml:space="preserve"> </w:t>
      </w:r>
      <w:r>
        <w:t xml:space="preserve">— regex-нормализатор стиля ответа LLM, удаляющий обращения второго лица («ты», «вам», «тебе»), упоминания «студент» и менторские директивы («необходимо», «следует обратить внимание»). Метод применяется к полям</w:t>
      </w:r>
      <w:r>
        <w:t xml:space="preserve"> </w:t>
      </w:r>
      <w:r>
        <w:rPr>
          <w:rStyle w:val="VerbatimChar"/>
        </w:rPr>
        <w:t xml:space="preserve">explanation</w:t>
      </w:r>
      <w:r>
        <w:t xml:space="preserve">, элементам</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w:t>
      </w:r>
      <w:r>
        <w:t xml:space="preserve">совместно со</w:t>
      </w:r>
      <w:r>
        <w:t xml:space="preserve"> </w:t>
      </w:r>
      <w:r>
        <w:rPr>
          <w:rStyle w:val="VerbatimChar"/>
        </w:rPr>
        <w:t xml:space="preserve">stripUnsafeOutput</w:t>
      </w:r>
      <w:r>
        <w:t xml:space="preserve">. Введён в коммите</w:t>
      </w:r>
      <w:r>
        <w:t xml:space="preserve"> </w:t>
      </w:r>
      <w:r>
        <w:rPr>
          <w:rStyle w:val="VerbatimChar"/>
        </w:rPr>
        <w:t xml:space="preserve">1a962b0</w:t>
      </w:r>
      <w:r>
        <w:t xml:space="preserve"> </w:t>
      </w:r>
      <w:r>
        <w:t xml:space="preserve">после того, как -прогон обнаружил «менторский тон» в ответах GigaChat, выходящий за рамки безличного академического стиля.</w:t>
      </w:r>
    </w:p>
    <w:bookmarkEnd w:id="91"/>
    <w:bookmarkStart w:id="92" w:name="verdict-guards"/>
    <w:p>
      <w:pPr>
        <w:pStyle w:val="Heading3"/>
      </w:pPr>
      <w:r>
        <w:t xml:space="preserve">3.2.6. Verdict-guards</w:t>
      </w:r>
    </w:p>
    <w:p>
      <w:pPr>
        <w:pStyle w:val="FirstParagraph"/>
      </w:pPr>
      <w:r>
        <w:t xml:space="preserve">Реализован каскадный механизм ограничения</w:t>
      </w:r>
      <w:r>
        <w:t xml:space="preserve"> </w:t>
      </w:r>
      <w:r>
        <w:rPr>
          <w:rStyle w:val="VerbatimChar"/>
        </w:rPr>
        <w:t xml:space="preserve">codeQuality</w:t>
      </w:r>
      <w:r>
        <w:t xml:space="preserve"> </w:t>
      </w:r>
      <w:r>
        <w:t xml:space="preserve">поверх ответа LLM в виде динамической шкалы</w:t>
      </w:r>
      <w:r>
        <w:t xml:space="preserve"> </w:t>
      </w:r>
      <w:r>
        <w:rPr>
          <w:rStyle w:val="VerbatimChar"/>
        </w:rPr>
        <w:t xml:space="preserve">dynamicQualityCap(passed, total)</w:t>
      </w:r>
      <w:r>
        <w:t xml:space="preserve"> </w:t>
      </w:r>
      <w:r>
        <w:t xml:space="preserve">(</w:t>
      </w:r>
      <w:r>
        <w:rPr>
          <w:rStyle w:val="VerbatimChar"/>
        </w:rPr>
        <w:t xml:space="preserve">GigaChatAnalyzer.kt</w:t>
      </w:r>
      <w:r>
        <w:t xml:space="preserve">, коммит</w:t>
      </w:r>
      <w:r>
        <w:t xml:space="preserve"> </w:t>
      </w:r>
      <w:r>
        <w:rPr>
          <w:rStyle w:val="VerbatimChar"/>
        </w:rPr>
        <w:t xml:space="preserve">6be1ffd</w:t>
      </w:r>
      <w:r>
        <w:t xml:space="preserve">):</w:t>
      </w:r>
    </w:p>
    <w:p>
      <w:pPr>
        <w:pStyle w:val="BodyText"/>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r>
        <w:t xml:space="preserve"> </w:t>
      </w: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не выше</w:t>
      </w:r>
      <w:r>
        <w:t xml:space="preserve"> </w:t>
      </w:r>
      <w:r>
        <w:rPr>
          <w:b/>
          <w:bCs/>
        </w:rPr>
        <w:t xml:space="preserve">20</w:t>
      </w:r>
      <w:r>
        <w:t xml:space="preserve">;</w:t>
      </w:r>
      <w:r>
        <w:t xml:space="preserve"> </w:t>
      </w:r>
      <w:r>
        <w:t xml:space="preserve">—</w:t>
      </w:r>
      <w:r>
        <w:t xml:space="preserve"> </w:t>
      </w:r>
      <w:r>
        <w:rPr>
          <w:rStyle w:val="VerbatimChar"/>
        </w:rPr>
        <w:t xml:space="preserve">passed == 1</w:t>
      </w:r>
      <w:r>
        <w:t xml:space="preserve"> </w:t>
      </w:r>
      <w:r>
        <w:t xml:space="preserve">→ не выше</w:t>
      </w:r>
      <w:r>
        <w:t xml:space="preserve"> </w:t>
      </w:r>
      <w:r>
        <w:rPr>
          <w:b/>
          <w:bCs/>
        </w:rPr>
        <w:t xml:space="preserve">30</w:t>
      </w:r>
      <w:r>
        <w:t xml:space="preserve">;</w:t>
      </w:r>
      <w:r>
        <w:t xml:space="preserve"> </w:t>
      </w:r>
      <w:r>
        <w:t xml:space="preserve">—</w:t>
      </w:r>
      <w:r>
        <w:t xml:space="preserve"> </w:t>
      </w:r>
      <w:r>
        <w:rPr>
          <w:rStyle w:val="VerbatimChar"/>
        </w:rPr>
        <w:t xml:space="preserve">2 · passed ≤ total</w:t>
      </w:r>
      <w:r>
        <w:t xml:space="preserve"> </w:t>
      </w:r>
      <w:r>
        <w:t xml:space="preserve">(половина или меньше) → не выше</w:t>
      </w:r>
      <w:r>
        <w:t xml:space="preserve"> </w:t>
      </w:r>
      <w:r>
        <w:rPr>
          <w:b/>
          <w:bCs/>
        </w:rPr>
        <w:t xml:space="preserve">50</w:t>
      </w:r>
      <w:r>
        <w:t xml:space="preserve">;</w:t>
      </w:r>
      <w:r>
        <w:t xml:space="preserve"> </w:t>
      </w:r>
      <w:r>
        <w:t xml:space="preserve">—</w:t>
      </w:r>
      <w:r>
        <w:t xml:space="preserve"> </w:t>
      </w:r>
      <w:r>
        <w:rPr>
          <w:rStyle w:val="VerbatimChar"/>
        </w:rPr>
        <w:t xml:space="preserve">passed == total − 1</w:t>
      </w:r>
      <w:r>
        <w:t xml:space="preserve"> </w:t>
      </w:r>
      <w:r>
        <w:t xml:space="preserve">→ не выше</w:t>
      </w:r>
      <w:r>
        <w:t xml:space="preserve"> </w:t>
      </w:r>
      <w:r>
        <w:rPr>
          <w:b/>
          <w:bCs/>
        </w:rPr>
        <w:t xml:space="preserve">70</w:t>
      </w:r>
      <w:r>
        <w:t xml:space="preserve">;</w:t>
      </w:r>
      <w:r>
        <w:t xml:space="preserve"> </w:t>
      </w:r>
      <w:r>
        <w:t xml:space="preserve">— иначе (промежуточный случай) → не выше</w:t>
      </w:r>
      <w:r>
        <w:t xml:space="preserve"> </w:t>
      </w:r>
      <w:r>
        <w:rPr>
          <w:b/>
          <w:bCs/>
        </w:rPr>
        <w:t xml:space="preserve">70</w:t>
      </w:r>
      <w:r>
        <w:t xml:space="preserve">.</w:t>
      </w:r>
    </w:p>
    <w:p>
      <w:pPr>
        <w:pStyle w:val="BodyText"/>
      </w:pPr>
      <w:r>
        <w:t xml:space="preserve">Дополнительно при сочетании</w:t>
      </w:r>
      <w:r>
        <w:t xml:space="preserve"> </w:t>
      </w:r>
      <w:r>
        <w:rPr>
          <w:rStyle w:val="VerbatimChar"/>
        </w:rPr>
        <w:t xml:space="preserve">astSuspiciousReturnsConstant == true</w:t>
      </w:r>
      <w:r>
        <w:t xml:space="preserve"> </w:t>
      </w:r>
      <w:r>
        <w:t xml:space="preserve">(AST-признак «функция возвращает константу») и полного провала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шкала заменила использовавшиеся ранее фиксированные границы (40 при полном провале, 60 при частичном) и обеспечивает пропорциональность ограничения вкладу sandbox-вердикта. Шкала покрыта параметризованным unit-тестом</w:t>
      </w:r>
      <w:r>
        <w:t xml:space="preserve"> </w:t>
      </w:r>
      <w:r>
        <w:rPr>
          <w:rStyle w:val="VerbatimChar"/>
        </w:rPr>
        <w:t xml:space="preserve">GigaChatAnalyzerTest.dynamicQualityCap_table</w:t>
      </w:r>
      <w:r>
        <w:t xml:space="preserve">.</w:t>
      </w:r>
    </w:p>
    <w:p>
      <w:pPr>
        <w:pStyle w:val="BodyText"/>
      </w:pPr>
      <w:r>
        <w:t xml:space="preserve">Для пред-регистрированного конфирматорный эксперимента в</w:t>
      </w:r>
      <w:r>
        <w:t xml:space="preserve"> </w:t>
      </w:r>
      <w:r>
        <w:rPr>
          <w:rStyle w:val="VerbatimChar"/>
        </w:rPr>
        <w:t xml:space="preserve">GigaChatAnalyzer</w:t>
      </w:r>
      <w:r>
        <w:t xml:space="preserve"> </w:t>
      </w:r>
      <w:r>
        <w:t xml:space="preserve">добавлен флаг</w:t>
      </w:r>
      <w:r>
        <w:t xml:space="preserve"> </w:t>
      </w:r>
      <w:r>
        <w:rPr>
          <w:rStyle w:val="VerbatimChar"/>
        </w:rPr>
        <w:t xml:space="preserve">disableVerdictGuards = true</w:t>
      </w:r>
      <w:r>
        <w:t xml:space="preserve">, отключающий каскад целиком; флаг используется исключительно в варианте B3 (no-guards) для ablation-замера вклада guard-слоя в защиту от prompt-инъекций (см. главу 5). В production-конфигурации (</w:t>
      </w:r>
      <w:r>
        <w:rPr>
          <w:rStyle w:val="VerbatimChar"/>
        </w:rPr>
        <w:t xml:space="preserve">AiAnalyzerConfig</w:t>
      </w:r>
      <w:r>
        <w:t xml:space="preserve">) флаг не выставляется и значение по умолчанию остаётся</w:t>
      </w:r>
      <w:r>
        <w:t xml:space="preserve"> </w:t>
      </w:r>
      <w:r>
        <w:rPr>
          <w:rStyle w:val="VerbatimChar"/>
        </w:rPr>
        <w:t xml:space="preserve">false</w:t>
      </w:r>
      <w:r>
        <w:t xml:space="preserve">.</w:t>
      </w:r>
    </w:p>
    <w:p>
      <w:pPr>
        <w:pStyle w:val="BodyText"/>
      </w:pPr>
      <w:r>
        <w:t xml:space="preserve">Этот механизм решает воспроизводимую галлюцинацию: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 = 85</w:t>
      </w:r>
      <w:r>
        <w:t xml:space="preserve">. При том, что sandbox сообщил</w:t>
      </w:r>
      <w:r>
        <w:t xml:space="preserve"> </w:t>
      </w:r>
      <w:r>
        <w:rPr>
          <w:rStyle w:val="VerbatimChar"/>
        </w:rPr>
        <w:t xml:space="preserve">passed = 0</w:t>
      </w:r>
      <w:r>
        <w:t xml:space="preserve">, подобный ответ дезориентировал студента. Динамический cap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предусмотрен также собственный AST cross-check, применяющийся к границам выше</w:t>
      </w:r>
      <w:r>
        <w:t xml:space="preserve"> </w:t>
      </w:r>
      <w:r>
        <w:rPr>
          <w:rStyle w:val="VerbatimChar"/>
        </w:rPr>
        <w:t xml:space="preserve">dynamicQualityCap</w:t>
      </w:r>
      <w:r>
        <w:t xml:space="preserve">.</w:t>
      </w:r>
    </w:p>
    <w:bookmarkEnd w:id="92"/>
    <w:bookmarkStart w:id="93"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3"/>
    <w:bookmarkEnd w:id="94"/>
    <w:bookmarkStart w:id="95"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5"/>
    <w:bookmarkStart w:id="99"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96"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p>
      <w:pPr>
        <w:pStyle w:val="BodyText"/>
      </w:pPr>
      <w:r>
        <w:t xml:space="preserve">Помимо двух штатных топиков (</w:t>
      </w:r>
      <w:r>
        <w:rPr>
          <w:rStyle w:val="VerbatimChar"/>
        </w:rPr>
        <w:t xml:space="preserve">task-execution</w:t>
      </w:r>
      <w:r>
        <w:t xml:space="preserve"> </w:t>
      </w:r>
      <w:r>
        <w:t xml:space="preserve">и</w:t>
      </w:r>
      <w:r>
        <w:t xml:space="preserve"> </w:t>
      </w:r>
      <w:r>
        <w:rPr>
          <w:rStyle w:val="VerbatimChar"/>
        </w:rPr>
        <w:t xml:space="preserve">task-results</w:t>
      </w:r>
      <w:r>
        <w:t xml:space="preserve">) предусмотрен Dead Letter Topic</w:t>
      </w:r>
      <w:r>
        <w:t xml:space="preserve"> </w:t>
      </w:r>
      <w:r>
        <w:rPr>
          <w:rStyle w:val="VerbatimChar"/>
        </w:rPr>
        <w:t xml:space="preserve">task-execution.DLT</w:t>
      </w:r>
      <w:r>
        <w:t xml:space="preserve">, обслуживаемый</w:t>
      </w:r>
      <w:r>
        <w:t xml:space="preserve"> </w:t>
      </w:r>
      <w:r>
        <w:rPr>
          <w:rStyle w:val="VerbatimChar"/>
        </w:rPr>
        <w:t xml:space="preserve">DefaultErrorHandler</w:t>
      </w:r>
      <w:r>
        <w:t xml:space="preserve"> </w:t>
      </w:r>
      <w:r>
        <w:t xml:space="preserve">совместно с</w:t>
      </w:r>
      <w:r>
        <w:t xml:space="preserve"> </w:t>
      </w:r>
      <w:r>
        <w:rPr>
          <w:rStyle w:val="VerbatimChar"/>
        </w:rPr>
        <w:t xml:space="preserve">DeadLetterPublishingRecoverer</w:t>
      </w:r>
      <w:r>
        <w:t xml:space="preserve"> </w:t>
      </w:r>
      <w:r>
        <w:t xml:space="preserve">(</w:t>
      </w:r>
      <w:r>
        <w:rPr>
          <w:rStyle w:val="VerbatimChar"/>
        </w:rPr>
        <w:t xml:space="preserve">worker/.../KafkaWorkerConfig</w:t>
      </w:r>
      <w:r>
        <w:t xml:space="preserve">, коммит F-16/F-17). После трёх неудачных fast-retry «отравленное» сообщение перенаправляется в DLT с сохранением оригинального ключа, значения и заголовков. Мониторинг DLT-потока выполняется отдельной панелью «DLT messages per second (task-execution.DLT)» в Grafana-дашборде Kafka (см. п. 3.6.3).</w:t>
      </w:r>
    </w:p>
    <w:bookmarkEnd w:id="96"/>
    <w:bookmarkStart w:id="97" w:name="безопасность-llm-пайплайна-сводка-защиты"/>
    <w:p>
      <w:pPr>
        <w:pStyle w:val="Heading3"/>
      </w:pPr>
      <w:r>
        <w:t xml:space="preserve">3.4.3. Безопасность LLM-пайплайна — сводка защиты</w:t>
      </w:r>
    </w:p>
    <w:p>
      <w:pPr>
        <w:pStyle w:val="FirstParagraph"/>
      </w:pPr>
      <w:r>
        <w:t xml:space="preserve">В целях наглядности перечислим итоговые семь уровней защиты LLM-пайплайна, образующих архитектурный контур противодействия prompt-инъекциям. Каждый уровень закрывает свой класс атаки и применим независимо от остальных, что соответствует принципу defense-in-depth:</w:t>
      </w:r>
    </w:p>
    <w:p>
      <w:pPr>
        <w:pStyle w:val="Compact"/>
        <w:numPr>
          <w:ilvl w:val="0"/>
          <w:numId w:val="1010"/>
        </w:numPr>
      </w:pPr>
      <w:r>
        <w:rPr>
          <w:b/>
          <w:bCs/>
        </w:rPr>
        <w:t xml:space="preserve">Sentinel-маркеры</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w:t>
      </w:r>
      <w:r>
        <w:t xml:space="preserve">— изолируют пользовательский код от системного prompt в одной строке с фиксированной структурой.</w:t>
      </w:r>
    </w:p>
    <w:p>
      <w:pPr>
        <w:pStyle w:val="Compact"/>
        <w:numPr>
          <w:ilvl w:val="0"/>
          <w:numId w:val="1010"/>
        </w:numPr>
      </w:pPr>
      <w:r>
        <w:rPr>
          <w:b/>
          <w:bCs/>
        </w:rPr>
        <w:t xml:space="preserve">Нормализация Unicode NFKC</w:t>
      </w:r>
      <w:r>
        <w:t xml:space="preserve"> </w:t>
      </w:r>
      <w:r>
        <w:t xml:space="preserve">(</w:t>
      </w:r>
      <w:r>
        <w:rPr>
          <w:rStyle w:val="VerbatimChar"/>
        </w:rPr>
        <w:t xml:space="preserve">InputSanitizer.normalizeUnicode</w:t>
      </w:r>
      <w:r>
        <w:t xml:space="preserve">) — приведение совместимых представлений к канонической форме; удаление управляющих/bidi/zero-width-символов.</w:t>
      </w:r>
    </w:p>
    <w:p>
      <w:pPr>
        <w:pStyle w:val="Compact"/>
        <w:numPr>
          <w:ilvl w:val="0"/>
          <w:numId w:val="1010"/>
        </w:numPr>
      </w:pPr>
      <w:r>
        <w:rPr>
          <w:b/>
          <w:bCs/>
        </w:rPr>
        <w:t xml:space="preserve">Ограничение длины входа</w:t>
      </w:r>
      <w:r>
        <w:t xml:space="preserve"> </w:t>
      </w:r>
      <w:r>
        <w:t xml:space="preserve">(</w:t>
      </w:r>
      <w:r>
        <w:rPr>
          <w:rStyle w:val="VerbatimChar"/>
        </w:rPr>
        <w:t xml:space="preserve">enforceSizeLimit(16 КБ)</w:t>
      </w:r>
      <w:r>
        <w:t xml:space="preserve">) — защита от token-exhaustion и DoS на стороне токенизатора LLM.</w:t>
      </w:r>
    </w:p>
    <w:p>
      <w:pPr>
        <w:pStyle w:val="Compact"/>
        <w:numPr>
          <w:ilvl w:val="0"/>
          <w:numId w:val="1010"/>
        </w:numPr>
      </w:pPr>
      <w:r>
        <w:rPr>
          <w:b/>
          <w:bCs/>
        </w:rPr>
        <w:t xml:space="preserve">JSON-Schema с</w:t>
      </w:r>
      <w:r>
        <w:rPr>
          <w:b/>
          <w:bCs/>
        </w:rPr>
        <w:t xml:space="preserve"> </w:t>
      </w:r>
      <w:r>
        <w:rPr>
          <w:rStyle w:val="VerbatimChar"/>
          <w:b/>
          <w:bCs/>
        </w:rPr>
        <w:t xml:space="preserve">additionalProperties=false</w:t>
      </w:r>
      <w:r>
        <w:t xml:space="preserve"> </w:t>
      </w:r>
      <w:r>
        <w:t xml:space="preserve">— формальный контракт на ответ модели; попытки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 приводят к ошибке валидации и retry/fallback.</w:t>
      </w:r>
    </w:p>
    <w:p>
      <w:pPr>
        <w:pStyle w:val="Compact"/>
        <w:numPr>
          <w:ilvl w:val="0"/>
          <w:numId w:val="1010"/>
        </w:numPr>
      </w:pPr>
      <w:r>
        <w:rPr>
          <w:rStyle w:val="VerbatimChar"/>
          <w:b/>
          <w:bCs/>
        </w:rPr>
        <w:t xml:space="preserve">stripUnsafeOutput</w:t>
      </w:r>
      <w:r>
        <w:t xml:space="preserve"> </w:t>
      </w:r>
      <w:r>
        <w:t xml:space="preserve">— пост-фильтр строковых полей ответа: HTML-теги, опасные URL-схемы (</w:t>
      </w:r>
      <w:r>
        <w:rPr>
          <w:rStyle w:val="VerbatimChar"/>
        </w:rPr>
        <w:t xml:space="preserve">javascript:</w:t>
      </w:r>
      <w:r>
        <w:t xml:space="preserve">,</w:t>
      </w:r>
      <w:r>
        <w:t xml:space="preserve"> </w:t>
      </w:r>
      <w:r>
        <w:rPr>
          <w:rStyle w:val="VerbatimChar"/>
        </w:rPr>
        <w:t xml:space="preserve">data:</w:t>
      </w:r>
      <w:r>
        <w:t xml:space="preserve">), фрагменты подмены роли.</w:t>
      </w:r>
    </w:p>
    <w:p>
      <w:pPr>
        <w:pStyle w:val="Compact"/>
        <w:numPr>
          <w:ilvl w:val="0"/>
          <w:numId w:val="1010"/>
        </w:numPr>
      </w:pPr>
      <w:r>
        <w:rPr>
          <w:rStyle w:val="VerbatimChar"/>
          <w:b/>
          <w:bCs/>
        </w:rPr>
        <w:t xml:space="preserve">enforceImpersonalTone</w:t>
      </w:r>
      <w:r>
        <w:t xml:space="preserve"> </w:t>
      </w:r>
      <w:r>
        <w:t xml:space="preserve">— regex-нормализатор стиля ответа: удаление обращений второго лица и менторских директив (коммит</w:t>
      </w:r>
      <w:r>
        <w:t xml:space="preserve"> </w:t>
      </w:r>
      <w:r>
        <w:rPr>
          <w:rStyle w:val="VerbatimChar"/>
        </w:rPr>
        <w:t xml:space="preserve">1a962b0</w:t>
      </w:r>
      <w:r>
        <w:t xml:space="preserve">).</w:t>
      </w:r>
    </w:p>
    <w:p>
      <w:pPr>
        <w:pStyle w:val="Compact"/>
        <w:numPr>
          <w:ilvl w:val="0"/>
          <w:numId w:val="1010"/>
        </w:numPr>
      </w:pPr>
      <w:r>
        <w:rPr>
          <w:b/>
          <w:bCs/>
        </w:rPr>
        <w:t xml:space="preserve">Динамический verdict-cap (</w:t>
      </w:r>
      <w:r>
        <w:rPr>
          <w:rStyle w:val="VerbatimChar"/>
          <w:b/>
          <w:bCs/>
        </w:rPr>
        <w:t xml:space="preserve">dynamicQualityCap</w:t>
      </w:r>
      <w:r>
        <w:rPr>
          <w:b/>
          <w:bCs/>
        </w:rPr>
        <w:t xml:space="preserve">) + AST-clamp</w:t>
      </w:r>
      <w:r>
        <w:t xml:space="preserve"> </w:t>
      </w:r>
      <w:r>
        <w:t xml:space="preserve">— пост-обработка</w:t>
      </w:r>
      <w:r>
        <w:t xml:space="preserve"> </w:t>
      </w:r>
      <w:r>
        <w:rPr>
          <w:rStyle w:val="VerbatimChar"/>
        </w:rPr>
        <w:t xml:space="preserve">codeQuality</w:t>
      </w:r>
      <w:r>
        <w:t xml:space="preserve">, привязанная к sandbox-вердикту и AST-признакам (см. п. 3.2.6).</w:t>
      </w:r>
    </w:p>
    <w:p>
      <w:pPr>
        <w:pStyle w:val="FirstParagraph"/>
      </w:pPr>
      <w:r>
        <w:t xml:space="preserve">Эмпирическая эффективность защиты подтверждена результатом 0/60 успешных атак на пред-регистрированном эталонный корпусе (см. главу 5).</w:t>
      </w:r>
    </w:p>
    <w:bookmarkEnd w:id="97"/>
    <w:bookmarkStart w:id="98"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1"/>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1"/>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1"/>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1"/>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1"/>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98"/>
    <w:bookmarkEnd w:id="99"/>
    <w:bookmarkStart w:id="105"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0"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0"/>
    <w:bookmarkStart w:id="101"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1"/>
    <w:bookmarkStart w:id="102"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2"/>
    <w:bookmarkStart w:id="103"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3"/>
    <w:bookmarkStart w:id="104" w:name="copybutton-для-тестовых-данных"/>
    <w:p>
      <w:pPr>
        <w:pStyle w:val="Heading3"/>
      </w:pPr>
      <w:r>
        <w:t xml:space="preserve">3.5.5. CopyButton для тестовых данных</w:t>
      </w:r>
    </w:p>
    <w:p>
      <w:pPr>
        <w:pStyle w:val="FirstParagraph"/>
      </w:pPr>
      <w:r>
        <w:t xml:space="preserve">Компонент</w:t>
      </w:r>
      <w:r>
        <w:t xml:space="preserve"> </w:t>
      </w:r>
      <w:r>
        <w:rPr>
          <w:rStyle w:val="VerbatimChar"/>
        </w:rPr>
        <w:t xml:space="preserve">CopyButton</w:t>
      </w:r>
      <w:r>
        <w:t xml:space="preserve"> </w:t>
      </w:r>
      <w:r>
        <w:t xml:space="preserve">(</w:t>
      </w:r>
      <w:r>
        <w:rPr>
          <w:rStyle w:val="VerbatimChar"/>
        </w:rPr>
        <w:t xml:space="preserve">frontend/src/components/common/CopyButton.tsx</w:t>
      </w:r>
      <w:r>
        <w:t xml:space="preserve">, коммит</w:t>
      </w:r>
      <w:r>
        <w:t xml:space="preserve"> </w:t>
      </w:r>
      <w:r>
        <w:rPr>
          <w:rStyle w:val="VerbatimChar"/>
        </w:rPr>
        <w:t xml:space="preserve">eb269be</w:t>
      </w:r>
      <w:r>
        <w:t xml:space="preserve">) реализует копирование произвольной строки в системный буфер обмена через</w:t>
      </w:r>
      <w:r>
        <w:t xml:space="preserve"> </w:t>
      </w:r>
      <w:r>
        <w:rPr>
          <w:rStyle w:val="VerbatimChar"/>
        </w:rPr>
        <w:t xml:space="preserve">navigator.clipboard.writeText</w:t>
      </w:r>
      <w:r>
        <w:t xml:space="preserve">. Применяется на странице задачи (</w:t>
      </w:r>
      <w:r>
        <w:rPr>
          <w:rStyle w:val="VerbatimChar"/>
        </w:rPr>
        <w:t xml:space="preserve">TaskDetail.tsx</w:t>
      </w:r>
      <w:r>
        <w:t xml:space="preserve">) для копирования примеров входных и выходных данных и на странице результатов (</w:t>
      </w:r>
      <w:r>
        <w:rPr>
          <w:rStyle w:val="VerbatimChar"/>
        </w:rPr>
        <w:t xml:space="preserve">Results.tsx</w:t>
      </w:r>
      <w:r>
        <w:t xml:space="preserve">) для копирования собственного ранее отправленного кода. Компонент использует MUI</w:t>
      </w:r>
      <w:r>
        <w:t xml:space="preserve"> </w:t>
      </w:r>
      <w:r>
        <w:rPr>
          <w:rStyle w:val="VerbatimChar"/>
        </w:rPr>
        <w:t xml:space="preserve">IconButton</w:t>
      </w:r>
      <w:r>
        <w:t xml:space="preserve"> </w:t>
      </w:r>
      <w:r>
        <w:t xml:space="preserve">с переключающейся иконкой</w:t>
      </w:r>
      <w:r>
        <w:t xml:space="preserve"> </w:t>
      </w:r>
      <w:r>
        <w:rPr>
          <w:rStyle w:val="VerbatimChar"/>
        </w:rPr>
        <w:t xml:space="preserve">ContentCopy</w:t>
      </w:r>
      <w:r>
        <w:t xml:space="preserve"> </w:t>
      </w:r>
      <w:r>
        <w:t xml:space="preserve">/</w:t>
      </w:r>
      <w:r>
        <w:t xml:space="preserve"> </w:t>
      </w:r>
      <w:r>
        <w:rPr>
          <w:rStyle w:val="VerbatimChar"/>
        </w:rPr>
        <w:t xml:space="preserve">Check</w:t>
      </w:r>
      <w:r>
        <w:t xml:space="preserve"> </w:t>
      </w:r>
      <w:r>
        <w:t xml:space="preserve">и Snackbar-уведомлением «Скопировано» с тайм-аутом 1,5 с. Учитывает ограничение</w:t>
      </w:r>
      <w:r>
        <w:t xml:space="preserve"> </w:t>
      </w:r>
      <w:r>
        <w:rPr>
          <w:rStyle w:val="VerbatimChar"/>
        </w:rPr>
        <w:t xml:space="preserve">navigator.clipboard</w:t>
      </w:r>
      <w:r>
        <w:t xml:space="preserve"> </w:t>
      </w:r>
      <w:r>
        <w:t xml:space="preserve">в небезопасных контекстах (HTTP без</w:t>
      </w:r>
      <w:r>
        <w:t xml:space="preserve"> </w:t>
      </w:r>
      <w:r>
        <w:rPr>
          <w:rStyle w:val="VerbatimChar"/>
        </w:rPr>
        <w:t xml:space="preserve">localhost</w:t>
      </w:r>
      <w:r>
        <w:t xml:space="preserve">): при ошибке записи показывается сообщение «Не удалось скопировать».</w:t>
      </w:r>
    </w:p>
    <w:bookmarkEnd w:id="104"/>
    <w:bookmarkEnd w:id="105"/>
    <w:bookmarkStart w:id="113"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06"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06"/>
    <w:bookmarkStart w:id="107"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07"/>
    <w:bookmarkStart w:id="108"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2"/>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2"/>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w:t>
      </w:r>
      <w:r>
        <w:t xml:space="preserve"> </w:t>
      </w:r>
      <w:r>
        <w:rPr>
          <w:b/>
          <w:bCs/>
        </w:rPr>
        <w:t xml:space="preserve">3001</w:t>
      </w:r>
      <w:r>
        <w:t xml:space="preserve"> </w:t>
      </w:r>
      <w:r>
        <w:t xml:space="preserve">(порт 3000 оставлен под Vite dev-сервер фронтенда; изменение зафиксировано в коммите</w:t>
      </w:r>
      <w:r>
        <w:t xml:space="preserve"> </w:t>
      </w:r>
      <w:r>
        <w:rPr>
          <w:rStyle w:val="VerbatimChar"/>
        </w:rPr>
        <w:t xml:space="preserve">f6842d0</w:t>
      </w:r>
      <w:r>
        <w:t xml:space="preserve">);</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08"/>
    <w:bookmarkStart w:id="112"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CaptionedFigure"/>
      </w:pPr>
      <w:r>
        <w:drawing>
          <wp:inline>
            <wp:extent cx="5930900" cy="4429869"/>
            <wp:effectExtent b="0" l="0" r="0" t="0"/>
            <wp:docPr descr="Рисунок 3.3 — Диаграмма состояний жизненного цикла submission" title="" id="110" name="Picture"/>
            <a:graphic>
              <a:graphicData uri="http://schemas.openxmlformats.org/drawingml/2006/picture">
                <pic:pic>
                  <pic:nvPicPr>
                    <pic:cNvPr descr="../figures/09_submission_state.png" id="111" name="Picture"/>
                    <pic:cNvPicPr>
                      <a:picLocks noChangeArrowheads="1" noChangeAspect="1"/>
                    </pic:cNvPicPr>
                  </pic:nvPicPr>
                  <pic:blipFill>
                    <a:blip r:embed="rId109"/>
                    <a:stretch>
                      <a:fillRect/>
                    </a:stretch>
                  </pic:blipFill>
                  <pic:spPr bwMode="auto">
                    <a:xfrm>
                      <a:off x="0" y="0"/>
                      <a:ext cx="5930900" cy="4429869"/>
                    </a:xfrm>
                    <a:prstGeom prst="rect">
                      <a:avLst/>
                    </a:prstGeom>
                    <a:noFill/>
                    <a:ln w="9525">
                      <a:noFill/>
                      <a:headEnd/>
                      <a:tailEnd/>
                    </a:ln>
                  </pic:spPr>
                </pic:pic>
              </a:graphicData>
            </a:graphic>
          </wp:inline>
        </w:drawing>
      </w:r>
    </w:p>
    <w:p>
      <w:pPr>
        <w:pStyle w:val="ImageCaption"/>
      </w:pPr>
      <w:r>
        <w:t xml:space="preserve">Рисунок 3.3 — Диаграмма состояний жизненного цикла submission</w:t>
      </w:r>
    </w:p>
    <w:p>
      <w:pPr>
        <w:pStyle w:val="BodyText"/>
      </w:pPr>
      <w:r>
        <w:t xml:space="preserve">Рисунок 3.3 — Диаграмма состояний жизненного цикла submission</w:t>
      </w:r>
      <w:r>
        <w:t xml:space="preserve"> </w:t>
      </w:r>
      <w:r>
        <w:t xml:space="preserve">## 3.7. Развёртывание</w:t>
      </w:r>
    </w:p>
    <w:p>
      <w:pPr>
        <w:pStyle w:val="BodyText"/>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12"/>
    <w:bookmarkEnd w:id="113"/>
    <w:bookmarkStart w:id="114" w:name="выводы-по-главе-1"/>
    <w:p>
      <w:pPr>
        <w:pStyle w:val="Heading2"/>
      </w:pPr>
      <w:r>
        <w:t xml:space="preserve">3.8.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w:t>
      </w:r>
    </w:p>
    <w:p>
      <w:pPr>
        <w:pStyle w:val="BodyText"/>
      </w:pPr>
      <w:r>
        <w:t xml:space="preserve">Для модуля ai-analyzer реализована нейро-символьная цепочка</w:t>
      </w:r>
      <w:r>
        <w:t xml:space="preserve"> </w:t>
      </w:r>
      <w:r>
        <w:rPr>
          <w:rStyle w:val="VerbatimChar"/>
        </w:rPr>
        <w:t xml:space="preserve">AstHybridAnalyzer → GigaChatAnalyzer → SimpleRuleBasedAnalyzer</w:t>
      </w:r>
      <w:r>
        <w:t xml:space="preserve"> </w:t>
      </w:r>
      <w:r>
        <w:t xml:space="preserve">с явной иерархией авторитетности «sandbox &gt; AST &gt; LLM». Защита от инъекций сведена в семиуровневой архитектуре (см. п. 3.4.3):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Защита от галлюцинаций — динамическая шкала</w:t>
      </w:r>
      <w:r>
        <w:t xml:space="preserve"> </w:t>
      </w:r>
      <w:r>
        <w:rPr>
          <w:rStyle w:val="VerbatimChar"/>
        </w:rPr>
        <w:t xml:space="preserve">dynamicQualityCap</w:t>
      </w:r>
      <w:r>
        <w:t xml:space="preserve"> </w:t>
      </w:r>
      <w:r>
        <w:t xml:space="preserve">(0/N → 20, 1/N → 30, ≤ N/2 → 50, N−1/N → 70, all-failed + AST-stub → 10). Производительность поддерживается локальным Caffeine-кэшем с многокомпонентным ключом.</w:t>
      </w:r>
    </w:p>
    <w:p>
      <w:pPr>
        <w:pStyle w:val="BodyText"/>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pPr>
      <w:r>
        <w:t xml:space="preserve">Зафиксированы и обоснованы решения по MVP-границам: поддержка двух языков Java и Python, отложенное подтверждение электронной почты, реализация сценарных тестов как псевдо-сценариев (по одному запуску контейнера на шаг), LLM-варианты</w:t>
      </w:r>
      <w:r>
        <w:t xml:space="preserve"> </w:t>
      </w:r>
      <w:r>
        <w:rPr>
          <w:rStyle w:val="VerbatimChar"/>
        </w:rPr>
        <w:t xml:space="preserve">explainErrorWithLlm</w:t>
      </w:r>
      <w:r>
        <w:t xml:space="preserve"> </w:t>
      </w:r>
      <w:r>
        <w:t xml:space="preserve">и</w:t>
      </w:r>
      <w:r>
        <w:t xml:space="preserve"> </w:t>
      </w:r>
      <w:r>
        <w:rPr>
          <w:rStyle w:val="VerbatimChar"/>
        </w:rPr>
        <w:t xml:space="preserve">assessCodeQualityWithLlm</w:t>
      </w:r>
      <w:r>
        <w:t xml:space="preserve"> </w:t>
      </w:r>
      <w:r>
        <w:t xml:space="preserve">как опциональный код-путь под feature-flag.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bookmarkEnd w:id="114"/>
    <w:bookmarkEnd w:id="115"/>
    <w:bookmarkStart w:id="178" w:name="глава-4.-описание-работы-системы"/>
    <w:p>
      <w:pPr>
        <w:pStyle w:val="Heading1"/>
      </w:pPr>
      <w:r>
        <w:t xml:space="preserve">ГЛАВА 4. ОПИСАНИЕ РАБОТЫ СИСТЕМЫ</w:t>
      </w:r>
    </w:p>
    <w:p>
      <w:pPr>
        <w:pStyle w:val="FirstParagraph"/>
      </w:pPr>
      <w:r>
        <w:t xml:space="preserve">В настоящей главе описана работа разработанного веб-сервиса автоматизированной проверки решений задач по программированию с позиций конечного пользователя. Изложение организовано по ролевым сценариям и сопровождается снимками экрана пользовательского интерфейса и панелей наблюдаемости, полученными на локально развёрнутом стенде в редакции, соответствующей моменту защиты выпускной квалификационной работы. Стенд развёрнут средствами Docker Compose (см. раздел 3.8) и включает фронтенд на адресе</w:t>
      </w:r>
      <w:r>
        <w:t xml:space="preserve"> </w:t>
      </w:r>
      <w:r>
        <w:rPr>
          <w:rStyle w:val="VerbatimChar"/>
        </w:rPr>
        <w:t xml:space="preserve">http://localhost:3000</w:t>
      </w:r>
      <w:r>
        <w:t xml:space="preserve">, серверную часть</w:t>
      </w:r>
      <w:r>
        <w:t xml:space="preserve"> </w:t>
      </w:r>
      <w:r>
        <w:rPr>
          <w:rStyle w:val="VerbatimChar"/>
        </w:rPr>
        <w:t xml:space="preserve">task-resolver</w:t>
      </w:r>
      <w:r>
        <w:t xml:space="preserve"> </w:t>
      </w:r>
      <w:r>
        <w:t xml:space="preserve">на</w:t>
      </w:r>
      <w:r>
        <w:t xml:space="preserve"> </w:t>
      </w:r>
      <w:r>
        <w:rPr>
          <w:rStyle w:val="VerbatimChar"/>
        </w:rPr>
        <w:t xml:space="preserve">http://localhost:8080</w:t>
      </w:r>
      <w:r>
        <w:t xml:space="preserve">, инстанс PostgreSQL, брокер Apache Kafka, экземпляр Grafana на адресе</w:t>
      </w:r>
      <w:r>
        <w:t xml:space="preserve"> </w:t>
      </w:r>
      <w:r>
        <w:rPr>
          <w:rStyle w:val="VerbatimChar"/>
        </w:rPr>
        <w:t xml:space="preserve">http://localhost:3001</w:t>
      </w:r>
      <w:r>
        <w:t xml:space="preserve"> </w:t>
      </w:r>
      <w:r>
        <w:t xml:space="preserve">с предварительно сконфигурированными источниками данных Prometheus, а также модули</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 </w:t>
      </w:r>
      <w:r>
        <w:t xml:space="preserve">и</w:t>
      </w:r>
      <w:r>
        <w:t xml:space="preserve"> </w:t>
      </w:r>
      <w:r>
        <w:rPr>
          <w:rStyle w:val="VerbatimChar"/>
        </w:rPr>
        <w:t xml:space="preserve">scenario-runner</w:t>
      </w:r>
      <w:r>
        <w:t xml:space="preserve">, исполняющиеся как отдельные процессы. Все снимки экрана выполнены в браузере Chromium, оконный режим 1280 × 900 пикселей, светлая тема Material UI.</w:t>
      </w:r>
    </w:p>
    <w:p>
      <w:pPr>
        <w:pStyle w:val="BodyText"/>
      </w:pPr>
      <w:r>
        <w:t xml:space="preserve">Глава содержит четыре содержательных раздела. В разделе 4.1 представлены сценарии регистрации нового пользователя и аутентификации; в разделе 4.2 — последовательность шагов от просмотра каталога задач до получения вердикта и объяснения от модуля</w:t>
      </w:r>
      <w:r>
        <w:t xml:space="preserve"> </w:t>
      </w:r>
      <w:r>
        <w:rPr>
          <w:rStyle w:val="VerbatimChar"/>
        </w:rPr>
        <w:t xml:space="preserve">ai-analyzer</w:t>
      </w:r>
      <w:r>
        <w:t xml:space="preserve">; в разделе 4.3 — функциональность администрирования каталога задач преподавателем; в разделе 4.4 — состояние системы, наблюдаемое через панели Grafana. Раздел 4.5 содержит обобщающие выводы по главе.</w:t>
      </w:r>
    </w:p>
    <w:bookmarkStart w:id="122" w:name="X247b5823e1751b5b076f441e7f7b371106a7a17"/>
    <w:p>
      <w:pPr>
        <w:pStyle w:val="Heading2"/>
      </w:pPr>
      <w:r>
        <w:t xml:space="preserve">4.1. Регистрация пользователя и аутентификация</w:t>
      </w:r>
    </w:p>
    <w:p>
      <w:pPr>
        <w:pStyle w:val="FirstParagraph"/>
      </w:pPr>
      <w:r>
        <w:t xml:space="preserve">Доступ к функциональности веб-сервиса предоставляется зарегистрированным пользователям и опирается на токен-аутентификацию по протоколу JSON Web Token (JWT, см. раздел 3.4 о реализации цепочки</w:t>
      </w:r>
      <w:r>
        <w:t xml:space="preserve"> </w:t>
      </w:r>
      <w:r>
        <w:rPr>
          <w:rStyle w:val="VerbatimChar"/>
        </w:rPr>
        <w:t xml:space="preserve">JwtAuthenticationFilter</w:t>
      </w:r>
      <w:r>
        <w:t xml:space="preserve"> </w:t>
      </w:r>
      <w:r>
        <w:t xml:space="preserve">и</w:t>
      </w:r>
      <w:r>
        <w:t xml:space="preserve"> </w:t>
      </w:r>
      <w:r>
        <w:rPr>
          <w:rStyle w:val="VerbatimChar"/>
        </w:rPr>
        <w:t xml:space="preserve">JwtService</w:t>
      </w:r>
      <w:r>
        <w:t xml:space="preserve">). Анонимный пользователь, обращающийся к корневому маршруту приложения, перенаправляется на страницу входа в систему (рисунок 4.1). Форма содержит два поля — логин и пароль — и кнопку отправки. Под формой расположена ссылка «Зарегистрироваться», открывающая страницу регистрации.</w:t>
      </w:r>
    </w:p>
    <w:p>
      <w:pPr>
        <w:pStyle w:val="CaptionedFigure"/>
      </w:pPr>
      <w:r>
        <w:drawing>
          <wp:inline>
            <wp:extent cx="5930900" cy="4170164"/>
            <wp:effectExtent b="0" l="0" r="0" t="0"/>
            <wp:docPr descr="Рисунок 4.1 — Страница входа в систему" title="" id="117" name="Picture"/>
            <a:graphic>
              <a:graphicData uri="http://schemas.openxmlformats.org/drawingml/2006/picture">
                <pic:pic>
                  <pic:nvPicPr>
                    <pic:cNvPr descr="../figures/screenshots/01_login.png" id="118" name="Picture"/>
                    <pic:cNvPicPr>
                      <a:picLocks noChangeArrowheads="1" noChangeAspect="1"/>
                    </pic:cNvPicPr>
                  </pic:nvPicPr>
                  <pic:blipFill>
                    <a:blip r:embed="rId116"/>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4.1 — Страница входа в систему</w:t>
      </w:r>
    </w:p>
    <w:p>
      <w:pPr>
        <w:pStyle w:val="BodyText"/>
      </w:pPr>
      <w:r>
        <w:t xml:space="preserve">Рисунок 4.1 — Страница входа в систему</w:t>
      </w:r>
    </w:p>
    <w:p>
      <w:pPr>
        <w:pStyle w:val="BodyText"/>
      </w:pPr>
      <w:r>
        <w:t xml:space="preserve">При отправке формы фронтенд формирует запрос</w:t>
      </w:r>
      <w:r>
        <w:t xml:space="preserve"> </w:t>
      </w:r>
      <w:r>
        <w:rPr>
          <w:rStyle w:val="VerbatimChar"/>
        </w:rPr>
        <w:t xml:space="preserve">POST /api/v1/auth/login</w:t>
      </w:r>
      <w:r>
        <w:t xml:space="preserve"> </w:t>
      </w:r>
      <w:r>
        <w:t xml:space="preserve">с телом</w:t>
      </w:r>
      <w:r>
        <w:t xml:space="preserve"> </w:t>
      </w:r>
      <w:r>
        <w:rPr>
          <w:rStyle w:val="VerbatimChar"/>
        </w:rPr>
        <w:t xml:space="preserve">{ "username": "...", "password": "..." }</w:t>
      </w:r>
      <w:r>
        <w:t xml:space="preserve">. Серверный обработчик сверяет хеш пароля с записью в таблице</w:t>
      </w:r>
      <w:r>
        <w:t xml:space="preserve"> </w:t>
      </w:r>
      <w:r>
        <w:rPr>
          <w:rStyle w:val="VerbatimChar"/>
        </w:rPr>
        <w:t xml:space="preserve">users</w:t>
      </w:r>
      <w:r>
        <w:t xml:space="preserve"> </w:t>
      </w:r>
      <w:r>
        <w:t xml:space="preserve">(схема приведена в Приложении В), формирует пару access-токена (срок действия — 15 минут) и refresh-токена (срок действия — 24 часа) и возвращает их в теле ответа. Access-токен помещается фронтендом в JavaScript-переменную state-менеджера Zustand, refresh-токен сохраняется в безопасной HTTP-only Cookie. При отсутствии учётной записи или несовпадении пароля сервер возвращает HTTP 401 с кодом ошибки</w:t>
      </w:r>
      <w:r>
        <w:t xml:space="preserve"> </w:t>
      </w:r>
      <w:r>
        <w:rPr>
          <w:rStyle w:val="VerbatimChar"/>
        </w:rPr>
        <w:t xml:space="preserve">INVALID_CREDENTIALS</w:t>
      </w:r>
      <w:r>
        <w:t xml:space="preserve">; фронтенд отображает поясняющее сообщение под полем пароля без раскрытия того, какое именно поле некорректно. Подобное поведение соответствует требованию информационной безопасности «отсутствие user enumeration» и не позволяет атакующему определить, существует ли в системе учётная запись с указанным логином.</w:t>
      </w:r>
    </w:p>
    <w:p>
      <w:pPr>
        <w:pStyle w:val="BodyText"/>
      </w:pPr>
      <w:r>
        <w:t xml:space="preserve">Регистрация нового пользователя выполняется по ссылке «Зарегистрироваться» (рисунок 4.2). Форма содержит четыре поля: логин, адрес электронной почты, пароль и подтверждение пароля. Валидация выполняется на фронтенде на стороне клиента: логин должен содержать от 3 до 32 латинских символов и цифр, адрес электронной почты — соответствовать формату RFC 5322, пароль — содержать не менее 8 символов и хотя бы один символ верхнего регистра, нижнего регистра и цифру. Серверная валидация дублирует клиентскую и дополнительно проверяет уникальность логина и адреса электронной почты по индексам</w:t>
      </w:r>
      <w:r>
        <w:t xml:space="preserve"> </w:t>
      </w:r>
      <w:r>
        <w:rPr>
          <w:rStyle w:val="VerbatimChar"/>
        </w:rPr>
        <w:t xml:space="preserve">users.username</w:t>
      </w:r>
      <w:r>
        <w:t xml:space="preserve"> </w:t>
      </w:r>
      <w:r>
        <w:t xml:space="preserve">и</w:t>
      </w:r>
      <w:r>
        <w:t xml:space="preserve"> </w:t>
      </w:r>
      <w:r>
        <w:rPr>
          <w:rStyle w:val="VerbatimChar"/>
        </w:rPr>
        <w:t xml:space="preserve">users.email</w:t>
      </w:r>
      <w:r>
        <w:t xml:space="preserve"> </w:t>
      </w:r>
      <w:r>
        <w:t xml:space="preserve">в базе данных. При успешной регистрации создаётся запись в таблице</w:t>
      </w:r>
      <w:r>
        <w:t xml:space="preserve"> </w:t>
      </w:r>
      <w:r>
        <w:rPr>
          <w:rStyle w:val="VerbatimChar"/>
        </w:rPr>
        <w:t xml:space="preserve">users</w:t>
      </w:r>
      <w:r>
        <w:t xml:space="preserve"> </w:t>
      </w:r>
      <w:r>
        <w:t xml:space="preserve">с ролью</w:t>
      </w:r>
      <w:r>
        <w:t xml:space="preserve"> </w:t>
      </w:r>
      <w:r>
        <w:rPr>
          <w:rStyle w:val="VerbatimChar"/>
        </w:rPr>
        <w:t xml:space="preserve">STUDENT</w:t>
      </w:r>
      <w:r>
        <w:t xml:space="preserve"> </w:t>
      </w:r>
      <w:r>
        <w:t xml:space="preserve">(роль</w:t>
      </w:r>
      <w:r>
        <w:t xml:space="preserve"> </w:t>
      </w:r>
      <w:r>
        <w:rPr>
          <w:rStyle w:val="VerbatimChar"/>
        </w:rPr>
        <w:t xml:space="preserve">TEACHER</w:t>
      </w:r>
      <w:r>
        <w:t xml:space="preserve"> </w:t>
      </w:r>
      <w:r>
        <w:t xml:space="preserve">назначается администратором отдельно — см. раздел 4.3) и хешем пароля, вычисленным алгоритмом BCrypt с фактором стоимости 10. Пользователь перенаправляется на страницу входа с предзаполненным полем логина.</w:t>
      </w:r>
    </w:p>
    <w:p>
      <w:pPr>
        <w:pStyle w:val="CaptionedFigure"/>
      </w:pPr>
      <w:r>
        <w:drawing>
          <wp:inline>
            <wp:extent cx="5930900" cy="4170164"/>
            <wp:effectExtent b="0" l="0" r="0" t="0"/>
            <wp:docPr descr="Рисунок 4.2 — Страница регистрации нового пользователя" title="" id="120" name="Picture"/>
            <a:graphic>
              <a:graphicData uri="http://schemas.openxmlformats.org/drawingml/2006/picture">
                <pic:pic>
                  <pic:nvPicPr>
                    <pic:cNvPr descr="../figures/screenshots/02_register.png" id="121" name="Picture"/>
                    <pic:cNvPicPr>
                      <a:picLocks noChangeArrowheads="1" noChangeAspect="1"/>
                    </pic:cNvPicPr>
                  </pic:nvPicPr>
                  <pic:blipFill>
                    <a:blip r:embed="rId119"/>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4.2 — Страница регистрации нового пользователя</w:t>
      </w:r>
    </w:p>
    <w:p>
      <w:pPr>
        <w:pStyle w:val="BodyText"/>
      </w:pPr>
      <w:r>
        <w:t xml:space="preserve">Рисунок 4.2 — Страница регистрации нового пользователя</w:t>
      </w:r>
    </w:p>
    <w:p>
      <w:pPr>
        <w:pStyle w:val="BodyText"/>
      </w:pPr>
      <w:r>
        <w:t xml:space="preserve">После аутентификации пользователь получает доступ ко всем разделам приложения, перечень которых определяется его ролью. Студент видит каталог задач, страницы конкретных задач, историю собственных решений и личный кабинет; преподаватель дополнительно располагает разделом «Импорт задач», предназначенным для пополнения каталога. Информация о роли извлекается из claim</w:t>
      </w:r>
      <w:r>
        <w:t xml:space="preserve"> </w:t>
      </w:r>
      <w:r>
        <w:rPr>
          <w:rStyle w:val="VerbatimChar"/>
        </w:rPr>
        <w:t xml:space="preserve">role</w:t>
      </w:r>
      <w:r>
        <w:t xml:space="preserve"> </w:t>
      </w:r>
      <w:r>
        <w:t xml:space="preserve">access-токена и используется фронтендом для условного рендеринга элементов навигации, а сервером — для авторизации операций уровня контроллера через аннотации</w:t>
      </w:r>
      <w:r>
        <w:t xml:space="preserve"> </w:t>
      </w:r>
      <w:r>
        <w:rPr>
          <w:rStyle w:val="VerbatimChar"/>
        </w:rPr>
        <w:t xml:space="preserve">@PreAuthorize</w:t>
      </w:r>
      <w:r>
        <w:t xml:space="preserve">.</w:t>
      </w:r>
    </w:p>
    <w:bookmarkEnd w:id="122"/>
    <w:bookmarkStart w:id="147" w:name="решение-задачи"/>
    <w:p>
      <w:pPr>
        <w:pStyle w:val="Heading2"/>
      </w:pPr>
      <w:r>
        <w:t xml:space="preserve">4.2. Решение задачи</w:t>
      </w:r>
    </w:p>
    <w:p>
      <w:pPr>
        <w:pStyle w:val="FirstParagraph"/>
      </w:pPr>
      <w:r>
        <w:t xml:space="preserve">Центральный пользовательский сценарий веб-сервиса — решение задачи студентом — состоит из последовательности шагов, представленных в подразделах 4.2.1–4.2.6: выбор задачи в каталоге, ознакомление с её описанием, написание исходного кода в редакторе, отправка решения, наблюдение за состоянием обработки и получение итогового вердикта вместе с разбором от модуля интеллектуального анализа.</w:t>
      </w:r>
    </w:p>
    <w:bookmarkStart w:id="126" w:name="каталог-задач"/>
    <w:p>
      <w:pPr>
        <w:pStyle w:val="Heading3"/>
      </w:pPr>
      <w:r>
        <w:t xml:space="preserve">4.2.1. Каталог задач</w:t>
      </w:r>
    </w:p>
    <w:p>
      <w:pPr>
        <w:pStyle w:val="FirstParagraph"/>
      </w:pPr>
      <w:r>
        <w:t xml:space="preserve">После входа в систему пользователь попадает на страницу каталога (рисунок 4.3). Каждая задача представлена карточкой, содержащей название, метку сложности (Easy, Medium, Hard) и цветовой маркер тематики (Array, String, Math, Stack, LinkedList, SlidingWindow, General). Над списком расположены два фильтра: выпадающий список «Сложность» и выпадающий список «Тематика». При смене значения любого фильтра фронтенд формирует запрос</w:t>
      </w:r>
      <w:r>
        <w:t xml:space="preserve"> </w:t>
      </w:r>
      <w:r>
        <w:rPr>
          <w:rStyle w:val="VerbatimChar"/>
        </w:rPr>
        <w:t xml:space="preserve">GET /api/v1/tasks?difficulty=...&amp;category=...</w:t>
      </w:r>
      <w:r>
        <w:t xml:space="preserve"> </w:t>
      </w:r>
      <w:r>
        <w:t xml:space="preserve">к серверу, который выполняет поиск по полям</w:t>
      </w:r>
      <w:r>
        <w:t xml:space="preserve"> </w:t>
      </w:r>
      <w:r>
        <w:rPr>
          <w:rStyle w:val="VerbatimChar"/>
        </w:rPr>
        <w:t xml:space="preserve">test.difficulty</w:t>
      </w:r>
      <w:r>
        <w:t xml:space="preserve"> </w:t>
      </w:r>
      <w:r>
        <w:t xml:space="preserve">и</w:t>
      </w:r>
      <w:r>
        <w:t xml:space="preserve"> </w:t>
      </w:r>
      <w:r>
        <w:rPr>
          <w:rStyle w:val="VerbatimChar"/>
        </w:rPr>
        <w:t xml:space="preserve">test.category</w:t>
      </w:r>
      <w:r>
        <w:t xml:space="preserve"> </w:t>
      </w:r>
      <w:r>
        <w:t xml:space="preserve">с использованием индексов</w:t>
      </w:r>
      <w:r>
        <w:t xml:space="preserve"> </w:t>
      </w:r>
      <w:r>
        <w:rPr>
          <w:rStyle w:val="VerbatimChar"/>
        </w:rPr>
        <w:t xml:space="preserve">idx_test_test_id</w:t>
      </w:r>
      <w:r>
        <w:t xml:space="preserve"> </w:t>
      </w:r>
      <w:r>
        <w:t xml:space="preserve">и</w:t>
      </w:r>
      <w:r>
        <w:t xml:space="preserve"> </w:t>
      </w:r>
      <w:r>
        <w:rPr>
          <w:rStyle w:val="VerbatimChar"/>
        </w:rPr>
        <w:t xml:space="preserve">idx_test_category</w:t>
      </w:r>
      <w:r>
        <w:t xml:space="preserve"> </w:t>
      </w:r>
      <w:r>
        <w:t xml:space="preserve">(см. Приложение В) и возвращает отфильтрованный набор. При совпадении пустого результата выводится сообщение «Подходящих задач не найдено», и кнопки фильтров остаются активными для смягчения условий.</w:t>
      </w:r>
    </w:p>
    <w:p>
      <w:pPr>
        <w:pStyle w:val="CaptionedFigure"/>
      </w:pPr>
      <w:r>
        <w:drawing>
          <wp:inline>
            <wp:extent cx="5930900" cy="4170164"/>
            <wp:effectExtent b="0" l="0" r="0" t="0"/>
            <wp:docPr descr="Рисунок 4.3 — Каталог задач с фильтрами по сложности и тематике" title="" id="124" name="Picture"/>
            <a:graphic>
              <a:graphicData uri="http://schemas.openxmlformats.org/drawingml/2006/picture">
                <pic:pic>
                  <pic:nvPicPr>
                    <pic:cNvPr descr="../figures/screenshots/03_tasks.png" id="125" name="Picture"/>
                    <pic:cNvPicPr>
                      <a:picLocks noChangeArrowheads="1" noChangeAspect="1"/>
                    </pic:cNvPicPr>
                  </pic:nvPicPr>
                  <pic:blipFill>
                    <a:blip r:embed="rId123"/>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4.3 — Каталог задач с фильтрами по сложности и тематике</w:t>
      </w:r>
    </w:p>
    <w:p>
      <w:pPr>
        <w:pStyle w:val="BodyText"/>
      </w:pPr>
      <w:r>
        <w:t xml:space="preserve">Рисунок 4.3 — Каталог задач с фильтрами по сложности и тематике</w:t>
      </w:r>
    </w:p>
    <w:p>
      <w:pPr>
        <w:pStyle w:val="BodyText"/>
      </w:pPr>
      <w:r>
        <w:t xml:space="preserve">Карточка задачи кликабельна целиком; нажатие открывает страницу описания задачи. Реализация навигации опирается на маршрутизатор React Router v6, а синхронизация фильтров с URL-параметрами обеспечивает корректное поведение кнопки «Назад» браузера: после возврата с экрана решения каталог восстанавливает выбранные ранее значения фильтров, не сбрасывая их в значения по умолчанию.</w:t>
      </w:r>
    </w:p>
    <w:bookmarkEnd w:id="126"/>
    <w:bookmarkStart w:id="130" w:name="страница-задачи"/>
    <w:p>
      <w:pPr>
        <w:pStyle w:val="Heading3"/>
      </w:pPr>
      <w:r>
        <w:t xml:space="preserve">4.2.2. Страница задачи</w:t>
      </w:r>
    </w:p>
    <w:p>
      <w:pPr>
        <w:pStyle w:val="FirstParagraph"/>
      </w:pPr>
      <w:r>
        <w:t xml:space="preserve">Страница конкретной задачи (рисунок 4.4) разделена на две полосы. Левая полоса содержит полное описание задачи, включая постановку, формат ввода и вывода и примеры. Описания хранятся в поле</w:t>
      </w:r>
      <w:r>
        <w:t xml:space="preserve"> </w:t>
      </w:r>
      <w:r>
        <w:rPr>
          <w:rStyle w:val="VerbatimChar"/>
        </w:rPr>
        <w:t xml:space="preserve">test.description</w:t>
      </w:r>
      <w:r>
        <w:t xml:space="preserve"> </w:t>
      </w:r>
      <w:r>
        <w:t xml:space="preserve">базы данных (тип TEXT, развёрнут миграцией V6) и отображаются с применением минимальной markdown-разметки; примеры тестовых случаев выделены кодовым шрифтом Consolas. Над описанием размещены заголовок, метки сложности и тематики, а также кнопка «Скопировать пример ввода», реализованная компонентом</w:t>
      </w:r>
      <w:r>
        <w:t xml:space="preserve"> </w:t>
      </w:r>
      <w:r>
        <w:rPr>
          <w:rStyle w:val="VerbatimChar"/>
        </w:rPr>
        <w:t xml:space="preserve">CopyButton</w:t>
      </w:r>
      <w:r>
        <w:t xml:space="preserve"> </w:t>
      </w:r>
      <w:r>
        <w:t xml:space="preserve">(см. раздел 3.5.5). Кнопка использует API</w:t>
      </w:r>
      <w:r>
        <w:t xml:space="preserve"> </w:t>
      </w:r>
      <w:r>
        <w:rPr>
          <w:rStyle w:val="VerbatimChar"/>
        </w:rPr>
        <w:t xml:space="preserve">navigator.clipboard.writeText</w:t>
      </w:r>
      <w:r>
        <w:t xml:space="preserve"> </w:t>
      </w:r>
      <w:r>
        <w:t xml:space="preserve">и отображает кратковременную обратную связь — изменение надписи на «Скопировано» в течение секунды, — что подтверждает успешное помещение текста в системный буфер обмена. Эта функция избавляет студента от ручного выделения примера из описания при подготовке локальной проверки решения.</w:t>
      </w:r>
    </w:p>
    <w:p>
      <w:pPr>
        <w:pStyle w:val="CaptionedFigure"/>
      </w:pPr>
      <w:r>
        <w:drawing>
          <wp:inline>
            <wp:extent cx="5930900" cy="4170164"/>
            <wp:effectExtent b="0" l="0" r="0" t="0"/>
            <wp:docPr descr="Рисунок 4.4 — Страница описания задачи «Valid Parentheses»" title="" id="128" name="Picture"/>
            <a:graphic>
              <a:graphicData uri="http://schemas.openxmlformats.org/drawingml/2006/picture">
                <pic:pic>
                  <pic:nvPicPr>
                    <pic:cNvPr descr="../figures/screenshots/04_task_detail.png" id="129" name="Picture"/>
                    <pic:cNvPicPr>
                      <a:picLocks noChangeArrowheads="1" noChangeAspect="1"/>
                    </pic:cNvPicPr>
                  </pic:nvPicPr>
                  <pic:blipFill>
                    <a:blip r:embed="rId127"/>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4.4 — Страница описания задачи «Valid Parentheses»</w:t>
      </w:r>
    </w:p>
    <w:p>
      <w:pPr>
        <w:pStyle w:val="BodyText"/>
      </w:pPr>
      <w:r>
        <w:t xml:space="preserve">Рисунок 4.4 — Страница описания задачи «Valid Parentheses»</w:t>
      </w:r>
    </w:p>
    <w:p>
      <w:pPr>
        <w:pStyle w:val="BodyText"/>
      </w:pPr>
      <w:r>
        <w:t xml:space="preserve">Правая полоса страницы содержит блок отправки решения, состоящий из выпадающего списка выбора языка программирования (поддерживаются Java и Python — см. раздел 3.1.5), интегрированного редактора кода Monaco и кнопки «Отправить». При смене языка редактор перезагружается с соответствующим конфигуратором подсветки синтаксиса и подсказок; одновременно очищается содержимое редактора, и пользователю выводится подтверждающий диалог, поскольку код, написанный на одном языке, в общем случае не совместим с другим.</w:t>
      </w:r>
    </w:p>
    <w:bookmarkEnd w:id="130"/>
    <w:bookmarkStart w:id="134" w:name="редактор-кода-monaco"/>
    <w:p>
      <w:pPr>
        <w:pStyle w:val="Heading3"/>
      </w:pPr>
      <w:r>
        <w:t xml:space="preserve">4.2.3. Редактор кода Monaco</w:t>
      </w:r>
    </w:p>
    <w:p>
      <w:pPr>
        <w:pStyle w:val="FirstParagraph"/>
      </w:pPr>
      <w:r>
        <w:t xml:space="preserve">Реализация редактора кода опирается на пакет</w:t>
      </w:r>
      <w:r>
        <w:t xml:space="preserve"> </w:t>
      </w:r>
      <w:r>
        <w:rPr>
          <w:rStyle w:val="VerbatimChar"/>
        </w:rPr>
        <w:t xml:space="preserve">@monaco-editor/react</w:t>
      </w:r>
      <w:r>
        <w:t xml:space="preserve">, обёртку над Monaco Editor — компонентом, лежащим в основе среды Visual Studio Code (рисунок 4.5). Редактор поддерживает подсветку синтаксиса, нумерацию строк, автоматический отступ, парные скобки, поиск и замену по содержимому, а также свёртку программных блоков. Высота редактора фиксирована в 60 % от высоты окна браузера; полоса прокрутки появляется автоматически при превышении содержимым видимой области.</w:t>
      </w:r>
    </w:p>
    <w:p>
      <w:pPr>
        <w:pStyle w:val="CaptionedFigure"/>
      </w:pPr>
      <w:r>
        <w:drawing>
          <wp:inline>
            <wp:extent cx="5930900" cy="4170164"/>
            <wp:effectExtent b="0" l="0" r="0" t="0"/>
            <wp:docPr descr="Рисунок 4.5 — Редактор Monaco с пользовательским решением на Python" title="" id="132" name="Picture"/>
            <a:graphic>
              <a:graphicData uri="http://schemas.openxmlformats.org/drawingml/2006/picture">
                <pic:pic>
                  <pic:nvPicPr>
                    <pic:cNvPr descr="../figures/screenshots/05_editor.png" id="133" name="Picture"/>
                    <pic:cNvPicPr>
                      <a:picLocks noChangeArrowheads="1" noChangeAspect="1"/>
                    </pic:cNvPicPr>
                  </pic:nvPicPr>
                  <pic:blipFill>
                    <a:blip r:embed="rId131"/>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4.5 — Редактор Monaco с пользовательским решением на Python</w:t>
      </w:r>
    </w:p>
    <w:p>
      <w:pPr>
        <w:pStyle w:val="BodyText"/>
      </w:pPr>
      <w:r>
        <w:t xml:space="preserve">Рисунок 4.5 — Редактор Monaco с пользовательским решением на Python</w:t>
      </w:r>
    </w:p>
    <w:p>
      <w:pPr>
        <w:pStyle w:val="BodyText"/>
      </w:pPr>
      <w:r>
        <w:t xml:space="preserve">Содержимое редактора синхронизируется с состоянием React-компонента через onChange-обработчик и автоматически сохраняется в локальном хранилище браузера (</w:t>
      </w:r>
      <w:r>
        <w:rPr>
          <w:rStyle w:val="VerbatimChar"/>
        </w:rPr>
        <w:t xml:space="preserve">localStorage</w:t>
      </w:r>
      <w:r>
        <w:t xml:space="preserve">) под ключом, включающим идентификатор задачи и идентификатор пользователя. При повторном открытии той же задачи редактор восстанавливает последний черновик решения, что предотвращает потерю работы при случайном закрытии вкладки. Подтверждение «Отправить» отправляет запрос</w:t>
      </w:r>
      <w:r>
        <w:t xml:space="preserve"> </w:t>
      </w:r>
      <w:r>
        <w:rPr>
          <w:rStyle w:val="VerbatimChar"/>
        </w:rPr>
        <w:t xml:space="preserve">POST /api/v1/submissions</w:t>
      </w:r>
      <w:r>
        <w:t xml:space="preserve"> </w:t>
      </w:r>
      <w:r>
        <w:t xml:space="preserve">с телом, включающим идентификатор задачи, идентификатор пользователя (восстанавливаемый сервером из access-токена), выбранный язык и тело исходного кода. Сервер записывает новую строку в таблицу</w:t>
      </w:r>
      <w:r>
        <w:t xml:space="preserve"> </w:t>
      </w:r>
      <w:r>
        <w:rPr>
          <w:rStyle w:val="VerbatimChar"/>
        </w:rPr>
        <w:t xml:space="preserve">submissions</w:t>
      </w:r>
      <w:r>
        <w:t xml:space="preserve"> </w:t>
      </w:r>
      <w:r>
        <w:t xml:space="preserve">со статусом</w:t>
      </w:r>
      <w:r>
        <w:t xml:space="preserve"> </w:t>
      </w:r>
      <w:r>
        <w:rPr>
          <w:rStyle w:val="VerbatimChar"/>
        </w:rPr>
        <w:t xml:space="preserve">PENDING</w:t>
      </w:r>
      <w:r>
        <w:t xml:space="preserve">, формирует сообщение Apache Kafka в топике</w:t>
      </w:r>
      <w:r>
        <w:t xml:space="preserve"> </w:t>
      </w:r>
      <w:r>
        <w:rPr>
          <w:rStyle w:val="VerbatimChar"/>
        </w:rPr>
        <w:t xml:space="preserve">task.submitted</w:t>
      </w:r>
      <w:r>
        <w:t xml:space="preserve"> </w:t>
      </w:r>
      <w:r>
        <w:t xml:space="preserve">и возвращает фронтенду идентификатор submission в теле ответа HTTP 202 Accepted.</w:t>
      </w:r>
    </w:p>
    <w:bookmarkEnd w:id="134"/>
    <w:bookmarkStart w:id="138" w:name="опрос-статуса-обработки"/>
    <w:p>
      <w:pPr>
        <w:pStyle w:val="Heading3"/>
      </w:pPr>
      <w:r>
        <w:t xml:space="preserve">4.2.4. Опрос статуса обработки</w:t>
      </w:r>
    </w:p>
    <w:p>
      <w:pPr>
        <w:pStyle w:val="FirstParagraph"/>
      </w:pPr>
      <w:r>
        <w:t xml:space="preserve">Решение задачи выполняется асинхронно: REST-эндпоинт</w:t>
      </w:r>
      <w:r>
        <w:t xml:space="preserve"> </w:t>
      </w:r>
      <w:r>
        <w:rPr>
          <w:rStyle w:val="VerbatimChar"/>
        </w:rPr>
        <w:t xml:space="preserve">POST /api/v1/submissions</w:t>
      </w:r>
      <w:r>
        <w:t xml:space="preserve"> </w:t>
      </w:r>
      <w:r>
        <w:t xml:space="preserve">не блокирует клиента на время прохождения пайплайна, а немедленно возвращает идентификатор и состояние</w:t>
      </w:r>
      <w:r>
        <w:t xml:space="preserve"> </w:t>
      </w:r>
      <w:r>
        <w:rPr>
          <w:rStyle w:val="VerbatimChar"/>
        </w:rPr>
        <w:t xml:space="preserve">PENDING</w:t>
      </w:r>
      <w:r>
        <w:t xml:space="preserve">. Дальнейшее состояние submission фронтенд получает методом периодического опроса (polling) эндпоинта</w:t>
      </w:r>
      <w:r>
        <w:t xml:space="preserve"> </w:t>
      </w:r>
      <w:r>
        <w:rPr>
          <w:rStyle w:val="VerbatimChar"/>
        </w:rPr>
        <w:t xml:space="preserve">GET /api/v1/submissions/{id}</w:t>
      </w:r>
      <w:r>
        <w:t xml:space="preserve"> </w:t>
      </w:r>
      <w:r>
        <w:t xml:space="preserve">(рисунок 4.6). Опрос реализован пользовательским React-хуком</w:t>
      </w:r>
      <w:r>
        <w:t xml:space="preserve"> </w:t>
      </w:r>
      <w:r>
        <w:rPr>
          <w:rStyle w:val="VerbatimChar"/>
        </w:rPr>
        <w:t xml:space="preserve">useSubmissionPolling</w:t>
      </w:r>
      <w:r>
        <w:t xml:space="preserve"> </w:t>
      </w:r>
      <w:r>
        <w:t xml:space="preserve">(см. раздел 3.5.3), интервал между запросами — 1 секунда, верхняя граница длительности опроса — 30 секунд, после чего фронтенд считает submission «зависшим» и отображает сообщение об ошибке.</w:t>
      </w:r>
    </w:p>
    <w:p>
      <w:pPr>
        <w:pStyle w:val="CaptionedFigure"/>
      </w:pPr>
      <w:r>
        <w:drawing>
          <wp:inline>
            <wp:extent cx="5930900" cy="4170164"/>
            <wp:effectExtent b="0" l="0" r="0" t="0"/>
            <wp:docPr descr="Рисунок 4.6 — Индикатор статуса submission в режиме polling" title="" id="136" name="Picture"/>
            <a:graphic>
              <a:graphicData uri="http://schemas.openxmlformats.org/drawingml/2006/picture">
                <pic:pic>
                  <pic:nvPicPr>
                    <pic:cNvPr descr="../figures/screenshots/06_polling.png" id="137" name="Picture"/>
                    <pic:cNvPicPr>
                      <a:picLocks noChangeArrowheads="1" noChangeAspect="1"/>
                    </pic:cNvPicPr>
                  </pic:nvPicPr>
                  <pic:blipFill>
                    <a:blip r:embed="rId135"/>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4.6 — Индикатор статуса submission в режиме polling</w:t>
      </w:r>
    </w:p>
    <w:p>
      <w:pPr>
        <w:pStyle w:val="BodyText"/>
      </w:pPr>
      <w:r>
        <w:t xml:space="preserve">Рисунок 4.6 — Индикатор статуса submission в режиме polling</w:t>
      </w:r>
    </w:p>
    <w:p>
      <w:pPr>
        <w:pStyle w:val="BodyText"/>
      </w:pPr>
      <w:r>
        <w:t xml:space="preserve">В момент опроса экран отображает шаговый индикатор, последовательно подсвечивающий стадии «Принято», «Тестирование», «Анализ» и «Готово». Переход между стадиями отражает фактическое движение submission через жизненный цикл, описанный в разделе 3.4.2: сервер обновляет столбец</w:t>
      </w:r>
      <w:r>
        <w:t xml:space="preserve"> </w:t>
      </w:r>
      <w:r>
        <w:rPr>
          <w:rStyle w:val="VerbatimChar"/>
        </w:rPr>
        <w:t xml:space="preserve">submissions.status</w:t>
      </w:r>
      <w:r>
        <w:t xml:space="preserve"> </w:t>
      </w:r>
      <w:r>
        <w:t xml:space="preserve">по мере того, как</w:t>
      </w:r>
      <w:r>
        <w:t xml:space="preserve"> </w:t>
      </w:r>
      <w:r>
        <w:rPr>
          <w:rStyle w:val="VerbatimChar"/>
        </w:rPr>
        <w:t xml:space="preserve">WorkerService</w:t>
      </w:r>
      <w:r>
        <w:t xml:space="preserve"> </w:t>
      </w:r>
      <w:r>
        <w:t xml:space="preserve">принимает сообщение из топика</w:t>
      </w:r>
      <w:r>
        <w:t xml:space="preserve"> </w:t>
      </w:r>
      <w:r>
        <w:rPr>
          <w:rStyle w:val="VerbatimChar"/>
        </w:rPr>
        <w:t xml:space="preserve">task.submitted</w:t>
      </w:r>
      <w:r>
        <w:t xml:space="preserve">, передаёт код в модуль</w:t>
      </w:r>
      <w:r>
        <w:t xml:space="preserve"> </w:t>
      </w:r>
      <w:r>
        <w:rPr>
          <w:rStyle w:val="VerbatimChar"/>
        </w:rPr>
        <w:t xml:space="preserve">sandbox</w:t>
      </w:r>
      <w:r>
        <w:t xml:space="preserve"> </w:t>
      </w:r>
      <w:r>
        <w:t xml:space="preserve">для исполнения, затем перенаправляет результат прохождения тестов и исходный код в модуль</w:t>
      </w:r>
      <w:r>
        <w:t xml:space="preserve"> </w:t>
      </w:r>
      <w:r>
        <w:rPr>
          <w:rStyle w:val="VerbatimChar"/>
        </w:rPr>
        <w:t xml:space="preserve">ai-analyzer</w:t>
      </w:r>
      <w:r>
        <w:t xml:space="preserve"> </w:t>
      </w:r>
      <w:r>
        <w:t xml:space="preserve">для генерации содержательного разбора. Завершающая стадия фиксирует статус</w:t>
      </w:r>
      <w:r>
        <w:t xml:space="preserve"> </w:t>
      </w:r>
      <w:r>
        <w:rPr>
          <w:rStyle w:val="VerbatimChar"/>
        </w:rPr>
        <w:t xml:space="preserve">COMPLETED</w:t>
      </w:r>
      <w:r>
        <w:t xml:space="preserve"> </w:t>
      </w:r>
      <w:r>
        <w:t xml:space="preserve">и заполняет связанные записи в таблицах</w:t>
      </w:r>
      <w:r>
        <w:t xml:space="preserve"> </w:t>
      </w:r>
      <w:r>
        <w:rPr>
          <w:rStyle w:val="VerbatimChar"/>
        </w:rPr>
        <w:t xml:space="preserve">task_results</w:t>
      </w:r>
      <w:r>
        <w:t xml:space="preserve"> </w:t>
      </w:r>
      <w:r>
        <w:t xml:space="preserve">и</w:t>
      </w:r>
      <w:r>
        <w:t xml:space="preserve"> </w:t>
      </w:r>
      <w:r>
        <w:rPr>
          <w:rStyle w:val="VerbatimChar"/>
        </w:rPr>
        <w:t xml:space="preserve">ai_analysis</w:t>
      </w:r>
      <w:r>
        <w:t xml:space="preserve">. Шаговый индикатор полностью соответствует диаграмме состояний жизненного цикла submission, представленной на рисунке 3.3 предыдущей главы, и обеспечивает прозрачность процесса для пользователя.</w:t>
      </w:r>
    </w:p>
    <w:bookmarkEnd w:id="138"/>
    <w:bookmarkStart w:id="142" w:name="получение-вердикта-и-просмотр-разбора"/>
    <w:p>
      <w:pPr>
        <w:pStyle w:val="Heading3"/>
      </w:pPr>
      <w:r>
        <w:t xml:space="preserve">4.2.5. Получение вердикта и просмотр разбора</w:t>
      </w:r>
    </w:p>
    <w:p>
      <w:pPr>
        <w:pStyle w:val="FirstParagraph"/>
      </w:pPr>
      <w:r>
        <w:t xml:space="preserve">По завершении пайплайна фронтенд переходит со страницы опроса на экран результатов (рисунок 4.7). Экран организован в виде трёх вертикальных блоков. Верхний блок содержит итоговый вердикт исполнения (например, «Все тесты пройдены», «Решение не прошло проверку» или «Превышен лимит времени»), число пройденных и общее число тестов, фактическое время исполнения и пиковое потребление оперативной памяти.</w:t>
      </w:r>
    </w:p>
    <w:p>
      <w:pPr>
        <w:pStyle w:val="CaptionedFigure"/>
      </w:pPr>
      <w:r>
        <w:drawing>
          <wp:inline>
            <wp:extent cx="5930900" cy="5435113"/>
            <wp:effectExtent b="0" l="0" r="0" t="0"/>
            <wp:docPr descr="Рисунок 4.7 — Финальный экран результатов с разбором AI-анализатора" title="" id="140" name="Picture"/>
            <a:graphic>
              <a:graphicData uri="http://schemas.openxmlformats.org/drawingml/2006/picture">
                <pic:pic>
                  <pic:nvPicPr>
                    <pic:cNvPr descr="../figures/screenshots/07_results.png" id="141" name="Picture"/>
                    <pic:cNvPicPr>
                      <a:picLocks noChangeArrowheads="1" noChangeAspect="1"/>
                    </pic:cNvPicPr>
                  </pic:nvPicPr>
                  <pic:blipFill>
                    <a:blip r:embed="rId139"/>
                    <a:stretch>
                      <a:fillRect/>
                    </a:stretch>
                  </pic:blipFill>
                  <pic:spPr bwMode="auto">
                    <a:xfrm>
                      <a:off x="0" y="0"/>
                      <a:ext cx="5930900" cy="5435113"/>
                    </a:xfrm>
                    <a:prstGeom prst="rect">
                      <a:avLst/>
                    </a:prstGeom>
                    <a:noFill/>
                    <a:ln w="9525">
                      <a:noFill/>
                      <a:headEnd/>
                      <a:tailEnd/>
                    </a:ln>
                  </pic:spPr>
                </pic:pic>
              </a:graphicData>
            </a:graphic>
          </wp:inline>
        </w:drawing>
      </w:r>
    </w:p>
    <w:p>
      <w:pPr>
        <w:pStyle w:val="ImageCaption"/>
      </w:pPr>
      <w:r>
        <w:t xml:space="preserve">Рисунок 4.7 — Финальный экран результатов с разбором AI-анализатора</w:t>
      </w:r>
    </w:p>
    <w:p>
      <w:pPr>
        <w:pStyle w:val="BodyText"/>
      </w:pPr>
      <w:r>
        <w:t xml:space="preserve">Рисунок 4.7 — Финальный экран результатов с разбором AI-анализатора</w:t>
      </w:r>
    </w:p>
    <w:p>
      <w:pPr>
        <w:pStyle w:val="BodyText"/>
      </w:pPr>
      <w:r>
        <w:t xml:space="preserve">Средний блок отображает посуммарную статистику по индивидуальным тестам с указанием их статуса, входных данных и фактически полученного вывода. Тесты, на которых решение завершилось ошибкой, помечены красным цветом; пройденные — зелёным. Полные детали тест-кейса доступны по нажатию на строку. При вердикте</w:t>
      </w:r>
      <w:r>
        <w:t xml:space="preserve"> </w:t>
      </w:r>
      <w:r>
        <w:rPr>
          <w:rStyle w:val="VerbatimChar"/>
        </w:rPr>
        <w:t xml:space="preserve">WRONG_ANSWER</w:t>
      </w:r>
      <w:r>
        <w:t xml:space="preserve"> </w:t>
      </w:r>
      <w:r>
        <w:t xml:space="preserve">дополнительно отображается ожидавшийся вывод, что облегчает диагностику ошибки.</w:t>
      </w:r>
    </w:p>
    <w:p>
      <w:pPr>
        <w:pStyle w:val="BodyText"/>
      </w:pPr>
      <w:r>
        <w:t xml:space="preserve">Нижний блок представляет результат работы модуля</w:t>
      </w:r>
      <w:r>
        <w:t xml:space="preserve"> </w:t>
      </w:r>
      <w:r>
        <w:rPr>
          <w:rStyle w:val="VerbatimChar"/>
        </w:rPr>
        <w:t xml:space="preserve">ai-analyzer</w:t>
      </w:r>
      <w:r>
        <w:t xml:space="preserve"> </w:t>
      </w:r>
      <w:r>
        <w:t xml:space="preserve">и состоит из четырёх элементов:</w:t>
      </w:r>
    </w:p>
    <w:p>
      <w:pPr>
        <w:pStyle w:val="BodyText"/>
      </w:pPr>
      <w:r>
        <w:t xml:space="preserve">—</w:t>
      </w:r>
      <w:r>
        <w:t xml:space="preserve"> </w:t>
      </w:r>
      <w:r>
        <w:rPr>
          <w:b/>
          <w:bCs/>
        </w:rPr>
        <w:t xml:space="preserve">Числовая оценка качества кода</w:t>
      </w:r>
      <w:r>
        <w:t xml:space="preserve"> </w:t>
      </w:r>
      <w:r>
        <w:t xml:space="preserve">(</w:t>
      </w:r>
      <w:r>
        <w:rPr>
          <w:rStyle w:val="VerbatimChar"/>
        </w:rPr>
        <w:t xml:space="preserve">codeQuality</w:t>
      </w:r>
      <w:r>
        <w:t xml:space="preserve">, диапазон от 0 до 100), полученная как взвешенная сумма по осям выразительности, корректности и сложности с применением динамической шкалы верхних ограничений</w:t>
      </w:r>
      <w:r>
        <w:t xml:space="preserve"> </w:t>
      </w:r>
      <w:r>
        <w:rPr>
          <w:rStyle w:val="VerbatimChar"/>
        </w:rPr>
        <w:t xml:space="preserve">dynamicQualityCap</w:t>
      </w:r>
      <w:r>
        <w:t xml:space="preserve"> </w:t>
      </w:r>
      <w:r>
        <w:t xml:space="preserve">(см. раздел 2.3 и подраздел 3.2.6). Оценка отображается крупным шрифтом с цветовой кодировкой: красная цветовая группа — оценка не выше 30, жёлтая — от 31 до 60, зелёная — выше 60.</w:t>
      </w:r>
    </w:p>
    <w:p>
      <w:pPr>
        <w:pStyle w:val="BodyText"/>
      </w:pPr>
      <w:r>
        <w:t xml:space="preserve">—</w:t>
      </w:r>
      <w:r>
        <w:t xml:space="preserve"> </w:t>
      </w:r>
      <w:r>
        <w:rPr>
          <w:b/>
          <w:bCs/>
        </w:rPr>
        <w:t xml:space="preserve">Категория алгоритмической сложности</w:t>
      </w:r>
      <w:r>
        <w:t xml:space="preserve">, оценённая модулем по нотации О-большое (</w:t>
      </w:r>
      <w:r>
        <w:rPr>
          <w:rStyle w:val="VerbatimChar"/>
        </w:rPr>
        <w:t xml:space="preserve">LOW</w:t>
      </w:r>
      <w:r>
        <w:t xml:space="preserve"> </w:t>
      </w:r>
      <w:r>
        <w:t xml:space="preserve">соответствует пометке O(1),</w:t>
      </w:r>
      <w:r>
        <w:t xml:space="preserve"> </w:t>
      </w:r>
      <w:r>
        <w:rPr>
          <w:rStyle w:val="VerbatimChar"/>
        </w:rPr>
        <w:t xml:space="preserve">MEDIUM</w:t>
      </w:r>
      <w:r>
        <w:t xml:space="preserve"> </w:t>
      </w:r>
      <w:r>
        <w:t xml:space="preserve">— O(n),</w:t>
      </w:r>
      <w:r>
        <w:t xml:space="preserve"> </w:t>
      </w:r>
      <w:r>
        <w:rPr>
          <w:rStyle w:val="VerbatimChar"/>
        </w:rPr>
        <w:t xml:space="preserve">HIGH</w:t>
      </w:r>
      <w:r>
        <w:t xml:space="preserve"> </w:t>
      </w:r>
      <w:r>
        <w:t xml:space="preserve">— O(n log n),</w:t>
      </w:r>
      <w:r>
        <w:t xml:space="preserve"> </w:t>
      </w:r>
      <w:r>
        <w:rPr>
          <w:rStyle w:val="VerbatimChar"/>
        </w:rPr>
        <w:t xml:space="preserve">VERY_HIGH</w:t>
      </w:r>
      <w:r>
        <w:t xml:space="preserve"> </w:t>
      </w:r>
      <w:r>
        <w:t xml:space="preserve">— O(n²) или хуже). Категория получена сочетанием эвристики</w:t>
      </w:r>
      <w:r>
        <w:t xml:space="preserve"> </w:t>
      </w:r>
      <w:r>
        <w:rPr>
          <w:rStyle w:val="VerbatimChar"/>
        </w:rPr>
        <w:t xml:space="preserve">complexityHeuristic</w:t>
      </w:r>
      <w:r>
        <w:t xml:space="preserve"> </w:t>
      </w:r>
      <w:r>
        <w:t xml:space="preserve">из модуля AST-экстрактора и итогового суждения LLM.</w:t>
      </w:r>
    </w:p>
    <w:p>
      <w:pPr>
        <w:pStyle w:val="BodyText"/>
      </w:pPr>
      <w:r>
        <w:t xml:space="preserve">—</w:t>
      </w:r>
      <w:r>
        <w:t xml:space="preserve"> </w:t>
      </w:r>
      <w:r>
        <w:rPr>
          <w:b/>
          <w:bCs/>
        </w:rPr>
        <w:t xml:space="preserve">Текстовое объяснение</w:t>
      </w:r>
      <w:r>
        <w:t xml:space="preserve">, генерируемое моделью GigaChat в соответствии с системным промптом, фиксирующим иерархию авторитетности</w:t>
      </w:r>
      <w:r>
        <w:t xml:space="preserve"> </w:t>
      </w:r>
      <w:r>
        <w:rPr>
          <w:rStyle w:val="VerbatimChar"/>
        </w:rPr>
        <w:t xml:space="preserve">sandbox-verdict &gt; AST-facts &gt; LLM-judgement</w:t>
      </w:r>
      <w:r>
        <w:t xml:space="preserve"> </w:t>
      </w:r>
      <w:r>
        <w:t xml:space="preserve">(см. подраздел 3.2.1). Объяснение содержит описание поведения решения, причин полученного вердикта и, при наличии, выявленных дефектов программного стиля.</w:t>
      </w:r>
    </w:p>
    <w:p>
      <w:pPr>
        <w:pStyle w:val="BodyText"/>
      </w:pPr>
      <w:r>
        <w:t xml:space="preserve">—</w:t>
      </w:r>
      <w:r>
        <w:t xml:space="preserve"> </w:t>
      </w:r>
      <w:r>
        <w:rPr>
          <w:b/>
          <w:bCs/>
        </w:rPr>
        <w:t xml:space="preserve">Список рекомендаций</w:t>
      </w:r>
      <w:r>
        <w:t xml:space="preserve">, оформленный маркированным перечнем коротких практических советов по улучшению решения; формат поля</w:t>
      </w:r>
      <w:r>
        <w:t xml:space="preserve"> </w:t>
      </w:r>
      <w:r>
        <w:rPr>
          <w:rStyle w:val="VerbatimChar"/>
        </w:rPr>
        <w:t xml:space="preserve">recommendations</w:t>
      </w:r>
      <w:r>
        <w:t xml:space="preserve"> </w:t>
      </w:r>
      <w:r>
        <w:t xml:space="preserve">определён JSON-Schema модуля</w:t>
      </w:r>
      <w:r>
        <w:t xml:space="preserve"> </w:t>
      </w:r>
      <w:r>
        <w:rPr>
          <w:rStyle w:val="VerbatimChar"/>
        </w:rPr>
        <w:t xml:space="preserve">ai-analyzer</w:t>
      </w:r>
      <w:r>
        <w:t xml:space="preserve"> </w:t>
      </w:r>
      <w:r>
        <w:t xml:space="preserve">и валидируется на стороне сервера компонентом</w:t>
      </w:r>
      <w:r>
        <w:t xml:space="preserve"> </w:t>
      </w:r>
      <w:r>
        <w:rPr>
          <w:rStyle w:val="VerbatimChar"/>
        </w:rPr>
        <w:t xml:space="preserve">SchemaValidator</w:t>
      </w:r>
      <w:r>
        <w:t xml:space="preserve">.</w:t>
      </w:r>
    </w:p>
    <w:p>
      <w:pPr>
        <w:pStyle w:val="BodyText"/>
      </w:pPr>
      <w:r>
        <w:t xml:space="preserve">Содержимое блока разбора получено в результате прохождения сообщения по нейро-символьному конвейеру: AST-экстрактор формирует детерминированные факты о структуре кода, эти факты включаются в пользовательский промпт, обращение к GigaChat выполняется клиентом</w:t>
      </w:r>
      <w:r>
        <w:t xml:space="preserve"> </w:t>
      </w:r>
      <w:r>
        <w:rPr>
          <w:rStyle w:val="VerbatimChar"/>
        </w:rPr>
        <w:t xml:space="preserve">GigaChatClient</w:t>
      </w:r>
      <w:r>
        <w:t xml:space="preserve"> </w:t>
      </w:r>
      <w:r>
        <w:t xml:space="preserve">с OAuth2-аутентификацией и автоматическим повтором при сетевых ошибках, ответ модели проходит проверку JSON-Schema, очистку через</w:t>
      </w:r>
      <w:r>
        <w:t xml:space="preserve"> </w:t>
      </w:r>
      <w:r>
        <w:rPr>
          <w:rStyle w:val="VerbatimChar"/>
        </w:rPr>
        <w:t xml:space="preserve">stripUnsafeOutput</w:t>
      </w:r>
      <w:r>
        <w:t xml:space="preserve">, нормализацию тона через</w:t>
      </w:r>
      <w:r>
        <w:t xml:space="preserve"> </w:t>
      </w:r>
      <w:r>
        <w:rPr>
          <w:rStyle w:val="VerbatimChar"/>
        </w:rPr>
        <w:t xml:space="preserve">enforceImpersonalTone</w:t>
      </w:r>
      <w:r>
        <w:t xml:space="preserve"> </w:t>
      </w:r>
      <w:r>
        <w:t xml:space="preserve">и финальное применение динамического верхнего ограничения</w:t>
      </w:r>
      <w:r>
        <w:t xml:space="preserve"> </w:t>
      </w:r>
      <w:r>
        <w:rPr>
          <w:rStyle w:val="VerbatimChar"/>
        </w:rPr>
        <w:t xml:space="preserve">dynamicQualityCap</w:t>
      </w:r>
      <w:r>
        <w:t xml:space="preserve">. При недоступности модели GigaChat конвейер обращается к резервному анализатору</w:t>
      </w:r>
      <w:r>
        <w:t xml:space="preserve"> </w:t>
      </w:r>
      <w:r>
        <w:rPr>
          <w:rStyle w:val="VerbatimChar"/>
        </w:rPr>
        <w:t xml:space="preserve">SimpleRuleBased</w:t>
      </w:r>
      <w:r>
        <w:t xml:space="preserve">, что обеспечивает работоспособность сервиса в условиях деградации внешней зависимости.</w:t>
      </w:r>
    </w:p>
    <w:bookmarkEnd w:id="142"/>
    <w:bookmarkStart w:id="146" w:name="история-отправленных-решений"/>
    <w:p>
      <w:pPr>
        <w:pStyle w:val="Heading3"/>
      </w:pPr>
      <w:r>
        <w:t xml:space="preserve">4.2.6. История отправленных решений</w:t>
      </w:r>
    </w:p>
    <w:p>
      <w:pPr>
        <w:pStyle w:val="FirstParagraph"/>
      </w:pPr>
      <w:r>
        <w:t xml:space="preserve">Полный набор отправленных пользователем решений доступен в разделе «Мои решения» (рисунок 4.8). Раздел представлен таблицей, упорядоченной по убыванию даты отправки; колонки содержат название задачи, выбранный язык программирования, итоговый вердикт, число пройденных тестов от общего числа, оценку качества от модуля</w:t>
      </w:r>
      <w:r>
        <w:t xml:space="preserve"> </w:t>
      </w:r>
      <w:r>
        <w:rPr>
          <w:rStyle w:val="VerbatimChar"/>
        </w:rPr>
        <w:t xml:space="preserve">ai-analyzer</w:t>
      </w:r>
      <w:r>
        <w:t xml:space="preserve"> </w:t>
      </w:r>
      <w:r>
        <w:t xml:space="preserve">и временную метку. Строки кликабельны и открывают полную страницу результатов соответствующей submission, идентичную экрану из подраздела 4.2.5. Хранение истории опирается на таблицу</w:t>
      </w:r>
      <w:r>
        <w:t xml:space="preserve"> </w:t>
      </w:r>
      <w:r>
        <w:rPr>
          <w:rStyle w:val="VerbatimChar"/>
        </w:rPr>
        <w:t xml:space="preserve">submissions</w:t>
      </w:r>
      <w:r>
        <w:t xml:space="preserve"> </w:t>
      </w:r>
      <w:r>
        <w:t xml:space="preserve">с индексом</w:t>
      </w:r>
      <w:r>
        <w:t xml:space="preserve"> </w:t>
      </w:r>
      <w:r>
        <w:rPr>
          <w:rStyle w:val="VerbatimChar"/>
        </w:rPr>
        <w:t xml:space="preserve">idx_submissions_user_id</w:t>
      </w:r>
      <w:r>
        <w:t xml:space="preserve">, что обеспечивает эффективный отбор записей текущего пользователя независимо от общего объёма таблицы. Раздел поддерживает повторную отправку решения через кнопку «Решить заново», открывающую редактор предзаполненным последним отправленным исходным кодом, что облегчает работу над итеративными улучшениями.</w:t>
      </w:r>
    </w:p>
    <w:p>
      <w:pPr>
        <w:pStyle w:val="CaptionedFigure"/>
      </w:pPr>
      <w:r>
        <w:drawing>
          <wp:inline>
            <wp:extent cx="5930900" cy="4170164"/>
            <wp:effectExtent b="0" l="0" r="0" t="0"/>
            <wp:docPr descr="Рисунок 4.8 — Страница «Мои решения»" title="" id="144" name="Picture"/>
            <a:graphic>
              <a:graphicData uri="http://schemas.openxmlformats.org/drawingml/2006/picture">
                <pic:pic>
                  <pic:nvPicPr>
                    <pic:cNvPr descr="../figures/screenshots/08_submissions.png" id="145" name="Picture"/>
                    <pic:cNvPicPr>
                      <a:picLocks noChangeArrowheads="1" noChangeAspect="1"/>
                    </pic:cNvPicPr>
                  </pic:nvPicPr>
                  <pic:blipFill>
                    <a:blip r:embed="rId143"/>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4.8 — Страница «Мои решения»</w:t>
      </w:r>
    </w:p>
    <w:p>
      <w:pPr>
        <w:pStyle w:val="BodyText"/>
      </w:pPr>
      <w:r>
        <w:t xml:space="preserve">Рисунок 4.8 — Страница «Мои решения»</w:t>
      </w:r>
    </w:p>
    <w:bookmarkEnd w:id="146"/>
    <w:bookmarkEnd w:id="147"/>
    <w:bookmarkStart w:id="151" w:name="администрирование-каталога-задач"/>
    <w:p>
      <w:pPr>
        <w:pStyle w:val="Heading2"/>
      </w:pPr>
      <w:r>
        <w:t xml:space="preserve">4.3. Администрирование каталога задач</w:t>
      </w:r>
    </w:p>
    <w:p>
      <w:pPr>
        <w:pStyle w:val="FirstParagraph"/>
      </w:pPr>
      <w:r>
        <w:t xml:space="preserve">Расширение каталога задач отнесено к функциональности роли</w:t>
      </w:r>
      <w:r>
        <w:t xml:space="preserve"> </w:t>
      </w:r>
      <w:r>
        <w:rPr>
          <w:rStyle w:val="VerbatimChar"/>
        </w:rPr>
        <w:t xml:space="preserve">TEACHER</w:t>
      </w:r>
      <w:r>
        <w:t xml:space="preserve">. Пользователю с этой ролью в верхней навигационной панели становится доступен пункт «Импорт задач», открывающий одноимённый раздел (рисунок 4.9). Раздел реализует пакетное добавление задач из CSV-файла, содержащего колонки: название задачи, текстовое описание, сложность, тематическая категория, список тестовых случаев в формате JSON. Имеется возможность одиночного создания задачи через интерактивную форму, но основной режим использования — импорт CSV, что соответствует сценарию подготовки набора задач преподавателем на этапе планирования учебного семестра.</w:t>
      </w:r>
    </w:p>
    <w:p>
      <w:pPr>
        <w:pStyle w:val="CaptionedFigure"/>
      </w:pPr>
      <w:r>
        <w:drawing>
          <wp:inline>
            <wp:extent cx="5930900" cy="4170164"/>
            <wp:effectExtent b="0" l="0" r="0" t="0"/>
            <wp:docPr descr="Рисунок 4.9 — Страница импорта задач из CSV (роль TEACHER)" title="" id="149" name="Picture"/>
            <a:graphic>
              <a:graphicData uri="http://schemas.openxmlformats.org/drawingml/2006/picture">
                <pic:pic>
                  <pic:nvPicPr>
                    <pic:cNvPr descr="../figures/screenshots/09_admin_import.png" id="150" name="Picture"/>
                    <pic:cNvPicPr>
                      <a:picLocks noChangeArrowheads="1" noChangeAspect="1"/>
                    </pic:cNvPicPr>
                  </pic:nvPicPr>
                  <pic:blipFill>
                    <a:blip r:embed="rId148"/>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4.9 — Страница импорта задач из CSV (роль TEACHER)</w:t>
      </w:r>
    </w:p>
    <w:p>
      <w:pPr>
        <w:pStyle w:val="BodyText"/>
      </w:pPr>
      <w:r>
        <w:t xml:space="preserve">Рисунок 4.9 — Страница импорта задач из CSV (роль TEACHER)</w:t>
      </w:r>
    </w:p>
    <w:p>
      <w:pPr>
        <w:pStyle w:val="BodyText"/>
      </w:pPr>
      <w:r>
        <w:t xml:space="preserve">Загруженный файл валидируется в две стадии. На стороне фронтенда выполняется проверка размера (не более 1 МБ) и MIME-типа</w:t>
      </w:r>
      <w:r>
        <w:t xml:space="preserve"> </w:t>
      </w:r>
      <w:r>
        <w:rPr>
          <w:rStyle w:val="VerbatimChar"/>
        </w:rPr>
        <w:t xml:space="preserve">text/csv</w:t>
      </w:r>
      <w:r>
        <w:t xml:space="preserve">. На стороне серверной части реализована детальная валидация (см. раздел 3.6.2): для каждой строки проверяется присутствие обязательных полей, корректность типа сложности (одно из значений Easy, Medium, Hard), синтаксическая правильность JSON-выражения тестовых случаев, наличие непустых полей</w:t>
      </w:r>
      <w:r>
        <w:t xml:space="preserve"> </w:t>
      </w:r>
      <w:r>
        <w:rPr>
          <w:rStyle w:val="VerbatimChar"/>
        </w:rPr>
        <w:t xml:space="preserve">input</w:t>
      </w:r>
      <w:r>
        <w:t xml:space="preserve"> </w:t>
      </w:r>
      <w:r>
        <w:t xml:space="preserve">и</w:t>
      </w:r>
      <w:r>
        <w:t xml:space="preserve"> </w:t>
      </w:r>
      <w:r>
        <w:rPr>
          <w:rStyle w:val="VerbatimChar"/>
        </w:rPr>
        <w:t xml:space="preserve">expectedOutput</w:t>
      </w:r>
      <w:r>
        <w:t xml:space="preserve"> </w:t>
      </w:r>
      <w:r>
        <w:t xml:space="preserve">в каждом случае. При обнаружении ошибки серверный обработчик возвращает HTTP 400 с подробным указанием номера строки и характера дефекта; ни одна задача не сохраняется до полного прохождения валидации, что соответствует принципу транзакционности импорта. Удачный импорт оборачивается записью соответствующих строк в таблицы</w:t>
      </w:r>
      <w:r>
        <w:t xml:space="preserve"> </w:t>
      </w:r>
      <w:r>
        <w:rPr>
          <w:rStyle w:val="VerbatimChar"/>
        </w:rPr>
        <w:t xml:space="preserve">test</w:t>
      </w:r>
      <w:r>
        <w:t xml:space="preserve"> </w:t>
      </w:r>
      <w:r>
        <w:t xml:space="preserve">и</w:t>
      </w:r>
      <w:r>
        <w:t xml:space="preserve"> </w:t>
      </w:r>
      <w:r>
        <w:rPr>
          <w:rStyle w:val="VerbatimChar"/>
        </w:rPr>
        <w:t xml:space="preserve">test_resolve</w:t>
      </w:r>
      <w:r>
        <w:t xml:space="preserve"> </w:t>
      </w:r>
      <w:r>
        <w:t xml:space="preserve">(см. Приложение В), одновременным присвоением каждой задаче значения поля</w:t>
      </w:r>
      <w:r>
        <w:t xml:space="preserve"> </w:t>
      </w:r>
      <w:r>
        <w:rPr>
          <w:rStyle w:val="VerbatimChar"/>
        </w:rPr>
        <w:t xml:space="preserve">category</w:t>
      </w:r>
      <w:r>
        <w:t xml:space="preserve"> </w:t>
      </w:r>
      <w:r>
        <w:t xml:space="preserve">и автоматическим возвращением пользователя в каталог с применённым фильтром по только что импортированной тематической категории.</w:t>
      </w:r>
    </w:p>
    <w:bookmarkEnd w:id="151"/>
    <w:bookmarkStart w:id="176" w:name="мониторинг-и-наблюдаемость"/>
    <w:p>
      <w:pPr>
        <w:pStyle w:val="Heading2"/>
      </w:pPr>
      <w:r>
        <w:t xml:space="preserve">4.4. Мониторинг и наблюдаемость</w:t>
      </w:r>
    </w:p>
    <w:p>
      <w:pPr>
        <w:pStyle w:val="FirstParagraph"/>
      </w:pPr>
      <w:r>
        <w:t xml:space="preserve">Слой наблюдаемости системы реализован стеком Prometheus + Grafana + Alertmanager (см. раздел 3.8.3). Все Spring Boot-приложения экспортируют метрики Micrometer по эндпоинту</w:t>
      </w:r>
      <w:r>
        <w:t xml:space="preserve"> </w:t>
      </w:r>
      <w:r>
        <w:rPr>
          <w:rStyle w:val="VerbatimChar"/>
        </w:rPr>
        <w:t xml:space="preserve">/actuator/prometheus</w:t>
      </w:r>
      <w:r>
        <w:t xml:space="preserve"> </w:t>
      </w:r>
      <w:r>
        <w:t xml:space="preserve">в формате OpenMetrics, который раз в 15 секунд опрашивается экземпляром Prometheus. В Grafana предварительно настроены шесть дашбордов, покрывающих ключевые подсистемы: уровень обслуживания, виртуальная машина Java, брокер Apache Kafka, реляционная СУБД PostgreSQL, контур sandbox-исполнения и модуль интеллектуального анализа. Все дашборды доступны на адресе</w:t>
      </w:r>
      <w:r>
        <w:t xml:space="preserve"> </w:t>
      </w:r>
      <w:r>
        <w:rPr>
          <w:rStyle w:val="VerbatimChar"/>
        </w:rPr>
        <w:t xml:space="preserve">http://localhost:3001</w:t>
      </w:r>
      <w:r>
        <w:t xml:space="preserve"> </w:t>
      </w:r>
      <w:r>
        <w:t xml:space="preserve">и приведены далее в порядке убывания степени абстракции — от итогового индикатора уровня обслуживания до низкоуровневых характеристик отдельных модулей.</w:t>
      </w:r>
    </w:p>
    <w:bookmarkStart w:id="155" w:name="целевые-показатели-уровня-обслуживания"/>
    <w:p>
      <w:pPr>
        <w:pStyle w:val="Heading3"/>
      </w:pPr>
      <w:r>
        <w:t xml:space="preserve">4.4.1. Целевые показатели уровня обслуживания</w:t>
      </w:r>
    </w:p>
    <w:p>
      <w:pPr>
        <w:pStyle w:val="FirstParagraph"/>
      </w:pPr>
      <w:r>
        <w:t xml:space="preserve">Главный дашборд «SLO/SLA» (рисунок 4.10) визуализирует соблюдение установленных целевых показателей уровня обслуживания (Service Level Objective, SLO): доступность фронтенда не ниже 99,5 %, медианное время от отправки решения до получения вердикта не более двух секунд, доля HTTP-ошибок класса 5xx не выше 1 %. В верхней части дашборда расположены три статистических виджета («single stat»), отображающие текущие значения целевых показателей; центральная панель содержит график их динамики во времени с горизонтальной линией порога SLO. При нарушении показателя соответствующий виджет окрашивается в красный цвет, и одновременно Alertmanager отправляет уведомление через предварительно сконфигурированный канал доставки.</w:t>
      </w:r>
    </w:p>
    <w:p>
      <w:pPr>
        <w:pStyle w:val="CaptionedFigure"/>
      </w:pPr>
      <w:r>
        <w:drawing>
          <wp:inline>
            <wp:extent cx="5930900" cy="4170164"/>
            <wp:effectExtent b="0" l="0" r="0" t="0"/>
            <wp:docPr descr="Рисунок 4.10 — Дашборд целевых показателей уровня обслуживания в Grafana" title="" id="153" name="Picture"/>
            <a:graphic>
              <a:graphicData uri="http://schemas.openxmlformats.org/drawingml/2006/picture">
                <pic:pic>
                  <pic:nvPicPr>
                    <pic:cNvPr descr="../figures/screenshots/10_grafana_slo.png" id="154" name="Picture"/>
                    <pic:cNvPicPr>
                      <a:picLocks noChangeArrowheads="1" noChangeAspect="1"/>
                    </pic:cNvPicPr>
                  </pic:nvPicPr>
                  <pic:blipFill>
                    <a:blip r:embed="rId152"/>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4.10 — Дашборд целевых показателей уровня обслуживания в Grafana</w:t>
      </w:r>
    </w:p>
    <w:p>
      <w:pPr>
        <w:pStyle w:val="BodyText"/>
      </w:pPr>
      <w:r>
        <w:t xml:space="preserve">Рисунок 4.10 — Дашборд целевых показателей уровня обслуживания в Grafana</w:t>
      </w:r>
    </w:p>
    <w:p>
      <w:pPr>
        <w:pStyle w:val="BodyText"/>
      </w:pPr>
      <w:r>
        <w:t xml:space="preserve">Дашборд предназначен для регулярного быстрого осмотра дежурным инженером и позволяет за один взгляд получить ответ на вопрос, соблюдает ли система обещания, заявленные пользователю.</w:t>
      </w:r>
    </w:p>
    <w:bookmarkEnd w:id="155"/>
    <w:bookmarkStart w:id="159" w:name="виртуальная-машина-java"/>
    <w:p>
      <w:pPr>
        <w:pStyle w:val="Heading3"/>
      </w:pPr>
      <w:r>
        <w:t xml:space="preserve">4.4.2. Виртуальная машина Java</w:t>
      </w:r>
    </w:p>
    <w:p>
      <w:pPr>
        <w:pStyle w:val="FirstParagraph"/>
      </w:pPr>
      <w:r>
        <w:t xml:space="preserve">Дашборд «JVM» (рисунок 4.11) представляет внутреннюю динамику виртуальной машины Java, на которой исполняются модули</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ai-analyzer</w:t>
      </w:r>
      <w:r>
        <w:t xml:space="preserve"> </w:t>
      </w:r>
      <w:r>
        <w:t xml:space="preserve">и</w:t>
      </w:r>
      <w:r>
        <w:t xml:space="preserve"> </w:t>
      </w:r>
      <w:r>
        <w:rPr>
          <w:rStyle w:val="VerbatimChar"/>
        </w:rPr>
        <w:t xml:space="preserve">scenario-runner</w:t>
      </w:r>
      <w:r>
        <w:t xml:space="preserve">. Дашборд агрегирует панели по четырём измерениям: использование оперативной памяти (раздельно для куч</w:t>
      </w:r>
      <w:r>
        <w:t xml:space="preserve"> </w:t>
      </w:r>
      <w:r>
        <w:rPr>
          <w:rStyle w:val="VerbatimChar"/>
        </w:rPr>
        <w:t xml:space="preserve">eden</w:t>
      </w:r>
      <w:r>
        <w:t xml:space="preserve">,</w:t>
      </w:r>
      <w:r>
        <w:t xml:space="preserve"> </w:t>
      </w:r>
      <w:r>
        <w:rPr>
          <w:rStyle w:val="VerbatimChar"/>
        </w:rPr>
        <w:t xml:space="preserve">old</w:t>
      </w:r>
      <w:r>
        <w:t xml:space="preserve">,</w:t>
      </w:r>
      <w:r>
        <w:t xml:space="preserve"> </w:t>
      </w:r>
      <w:r>
        <w:rPr>
          <w:rStyle w:val="VerbatimChar"/>
        </w:rPr>
        <w:t xml:space="preserve">metaspace</w:t>
      </w:r>
      <w:r>
        <w:t xml:space="preserve">,</w:t>
      </w:r>
      <w:r>
        <w:t xml:space="preserve"> </w:t>
      </w:r>
      <w:r>
        <w:rPr>
          <w:rStyle w:val="VerbatimChar"/>
        </w:rPr>
        <w:t xml:space="preserve">code cache</w:t>
      </w:r>
      <w:r>
        <w:t xml:space="preserve">), активность сборщика мусора (число циклов и кумулятивное время Stop-the-World), число активных потоков (с разбиением на RUNNABLE, WAITING, BLOCKED) и текущая загрузка CPU процессом. Левая часть дашборда содержит выпадающий список выбора целевого приложения (</w:t>
      </w:r>
      <w:r>
        <w:rPr>
          <w:rStyle w:val="VerbatimChar"/>
        </w:rPr>
        <w:t xml:space="preserve">task-resolver</w:t>
      </w:r>
      <w:r>
        <w:t xml:space="preserve"> </w:t>
      </w:r>
      <w:r>
        <w:t xml:space="preserve">по умолчанию), фильтрующий все панели по метке</w:t>
      </w:r>
      <w:r>
        <w:t xml:space="preserve"> </w:t>
      </w:r>
      <w:r>
        <w:rPr>
          <w:rStyle w:val="VerbatimChar"/>
        </w:rPr>
        <w:t xml:space="preserve">application</w:t>
      </w:r>
      <w:r>
        <w:t xml:space="preserve"> </w:t>
      </w:r>
      <w:r>
        <w:t xml:space="preserve">метрики.</w:t>
      </w:r>
    </w:p>
    <w:p>
      <w:pPr>
        <w:pStyle w:val="CaptionedFigure"/>
      </w:pPr>
      <w:r>
        <w:drawing>
          <wp:inline>
            <wp:extent cx="5930900" cy="4170164"/>
            <wp:effectExtent b="0" l="0" r="0" t="0"/>
            <wp:docPr descr="Рисунок 4.11 — Дашборд виртуальной машины Java" title="" id="157" name="Picture"/>
            <a:graphic>
              <a:graphicData uri="http://schemas.openxmlformats.org/drawingml/2006/picture">
                <pic:pic>
                  <pic:nvPicPr>
                    <pic:cNvPr descr="../figures/screenshots/11_grafana_jvm.png" id="158" name="Picture"/>
                    <pic:cNvPicPr>
                      <a:picLocks noChangeArrowheads="1" noChangeAspect="1"/>
                    </pic:cNvPicPr>
                  </pic:nvPicPr>
                  <pic:blipFill>
                    <a:blip r:embed="rId156"/>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4.11 — Дашборд виртуальной машины Java</w:t>
      </w:r>
    </w:p>
    <w:p>
      <w:pPr>
        <w:pStyle w:val="BodyText"/>
      </w:pPr>
      <w:r>
        <w:t xml:space="preserve">Рисунок 4.11 — Дашборд виртуальной машины Java</w:t>
      </w:r>
    </w:p>
    <w:p>
      <w:pPr>
        <w:pStyle w:val="BodyText"/>
      </w:pPr>
      <w:r>
        <w:t xml:space="preserve">Наблюдаемый профиль использования памяти линеен и обнаруживает регулярные пилообразные циклы освобождения, характерные для сборщика мусора G1; число RUNNABLE-потоков соответствует числу threads-on-CPU в пуле обработки REST-запросов и при холостой нагрузке остаётся около десяти. Видимых аномалий поведения сборщика мусора в ходе наблюдения за стендом не выявлено.</w:t>
      </w:r>
    </w:p>
    <w:bookmarkEnd w:id="159"/>
    <w:bookmarkStart w:id="163" w:name="apache-kafka"/>
    <w:p>
      <w:pPr>
        <w:pStyle w:val="Heading3"/>
      </w:pPr>
      <w:r>
        <w:t xml:space="preserve">4.4.3. Apache Kafka</w:t>
      </w:r>
    </w:p>
    <w:p>
      <w:pPr>
        <w:pStyle w:val="FirstParagraph"/>
      </w:pPr>
      <w:r>
        <w:t xml:space="preserve">Дашборд «Kafka» (рисунок 4.12) представляет состояние брокера Apache Kafka, выступающего шиной сообщений между модулем</w:t>
      </w:r>
      <w:r>
        <w:t xml:space="preserve"> </w:t>
      </w:r>
      <w:r>
        <w:rPr>
          <w:rStyle w:val="VerbatimChar"/>
        </w:rPr>
        <w:t xml:space="preserve">task-resolver</w:t>
      </w:r>
      <w:r>
        <w:t xml:space="preserve"> </w:t>
      </w:r>
      <w:r>
        <w:t xml:space="preserve">и модулем</w:t>
      </w:r>
      <w:r>
        <w:t xml:space="preserve"> </w:t>
      </w:r>
      <w:r>
        <w:rPr>
          <w:rStyle w:val="VerbatimChar"/>
        </w:rPr>
        <w:t xml:space="preserve">worker</w:t>
      </w:r>
      <w:r>
        <w:t xml:space="preserve"> </w:t>
      </w:r>
      <w:r>
        <w:t xml:space="preserve">(топики</w:t>
      </w:r>
      <w:r>
        <w:t xml:space="preserve"> </w:t>
      </w:r>
      <w:r>
        <w:rPr>
          <w:rStyle w:val="VerbatimChar"/>
        </w:rPr>
        <w:t xml:space="preserve">task.submitted</w:t>
      </w:r>
      <w:r>
        <w:t xml:space="preserve"> </w:t>
      </w:r>
      <w:r>
        <w:t xml:space="preserve">и</w:t>
      </w:r>
      <w:r>
        <w:t xml:space="preserve"> </w:t>
      </w:r>
      <w:r>
        <w:rPr>
          <w:rStyle w:val="VerbatimChar"/>
        </w:rPr>
        <w:t xml:space="preserve">task.completed</w:t>
      </w:r>
      <w:r>
        <w:t xml:space="preserve">, см. раздел 3.6.1). Ключевые панели дашборда: число сообщений, ожидающих обработки в каждой партиции (consumer lag), скорость поступления сообщений в брокер и скорость их обработки потребителем, средняя задержка между публикацией и фактическим прочтением сообщения, число партиций каждого топика и их распределение по экземплярам потребителя.</w:t>
      </w:r>
    </w:p>
    <w:p>
      <w:pPr>
        <w:pStyle w:val="CaptionedFigure"/>
      </w:pPr>
      <w:r>
        <w:drawing>
          <wp:inline>
            <wp:extent cx="5930900" cy="4170164"/>
            <wp:effectExtent b="0" l="0" r="0" t="0"/>
            <wp:docPr descr="Рисунок 4.12 — Дашборд брокера Apache Kafka" title="" id="161" name="Picture"/>
            <a:graphic>
              <a:graphicData uri="http://schemas.openxmlformats.org/drawingml/2006/picture">
                <pic:pic>
                  <pic:nvPicPr>
                    <pic:cNvPr descr="../figures/screenshots/12_grafana_kafka.png" id="162" name="Picture"/>
                    <pic:cNvPicPr>
                      <a:picLocks noChangeArrowheads="1" noChangeAspect="1"/>
                    </pic:cNvPicPr>
                  </pic:nvPicPr>
                  <pic:blipFill>
                    <a:blip r:embed="rId160"/>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4.12 — Дашборд брокера Apache Kafka</w:t>
      </w:r>
    </w:p>
    <w:p>
      <w:pPr>
        <w:pStyle w:val="BodyText"/>
      </w:pPr>
      <w:r>
        <w:t xml:space="preserve">Рисунок 4.12 — Дашборд брокера Apache Kafka</w:t>
      </w:r>
    </w:p>
    <w:p>
      <w:pPr>
        <w:pStyle w:val="BodyText"/>
      </w:pPr>
      <w:r>
        <w:t xml:space="preserve">Значение consumer lag на холостом стенде близко к нулю; при отправке одиночной submission кратковременный пик в 1–2 единицы наблюдается и устраняется в течение нескольких сотен миллисекунд, что согласуется с архитектурным решением полностью асинхронной обработки submission.</w:t>
      </w:r>
    </w:p>
    <w:bookmarkEnd w:id="163"/>
    <w:bookmarkStart w:id="167" w:name="postgresql"/>
    <w:p>
      <w:pPr>
        <w:pStyle w:val="Heading3"/>
      </w:pPr>
      <w:r>
        <w:t xml:space="preserve">4.4.4. PostgreSQL</w:t>
      </w:r>
    </w:p>
    <w:p>
      <w:pPr>
        <w:pStyle w:val="FirstParagraph"/>
      </w:pPr>
      <w:r>
        <w:t xml:space="preserve">Дашборд «PostgreSQL» (рисунок 4.13) построен на метриках, экспортируемых сторонним компонентом</w:t>
      </w:r>
      <w:r>
        <w:t xml:space="preserve"> </w:t>
      </w:r>
      <w:r>
        <w:rPr>
          <w:rStyle w:val="VerbatimChar"/>
        </w:rPr>
        <w:t xml:space="preserve">postgres_exporter</w:t>
      </w:r>
      <w:r>
        <w:t xml:space="preserve">, и описывает поведение базы данных. Среди отображаемых характеристик: число открытых соединений с разбивкой по состояниям (</w:t>
      </w:r>
      <w:r>
        <w:rPr>
          <w:rStyle w:val="VerbatimChar"/>
        </w:rPr>
        <w:t xml:space="preserve">active</w:t>
      </w:r>
      <w:r>
        <w:t xml:space="preserve">,</w:t>
      </w:r>
      <w:r>
        <w:t xml:space="preserve"> </w:t>
      </w:r>
      <w:r>
        <w:rPr>
          <w:rStyle w:val="VerbatimChar"/>
        </w:rPr>
        <w:t xml:space="preserve">idle</w:t>
      </w:r>
      <w:r>
        <w:t xml:space="preserve">,</w:t>
      </w:r>
      <w:r>
        <w:t xml:space="preserve"> </w:t>
      </w:r>
      <w:r>
        <w:rPr>
          <w:rStyle w:val="VerbatimChar"/>
        </w:rPr>
        <w:t xml:space="preserve">idle_in_transaction</w:t>
      </w:r>
      <w:r>
        <w:t xml:space="preserve">), интенсивность транзакций (коммитов и откатов в секунду), коэффициент попадания в кеш страниц (</w:t>
      </w:r>
      <w:r>
        <w:rPr>
          <w:rStyle w:val="VerbatimChar"/>
        </w:rPr>
        <w:t xml:space="preserve">cache hit ratio</w:t>
      </w:r>
      <w:r>
        <w:t xml:space="preserve">), число активных блокировок строк и таблиц, размер базы данных и крупнейших таблиц на диске. Особое внимание уделено двум индикаторам — коэффициенту попадания в кеш и числу блокировок, — поскольку именно их деградация в действующих системах сигнализирует о росте операций ввода-вывода или о конкуренции за общие ресурсы.</w:t>
      </w:r>
    </w:p>
    <w:p>
      <w:pPr>
        <w:pStyle w:val="CaptionedFigure"/>
      </w:pPr>
      <w:r>
        <w:drawing>
          <wp:inline>
            <wp:extent cx="5930900" cy="4170164"/>
            <wp:effectExtent b="0" l="0" r="0" t="0"/>
            <wp:docPr descr="Рисунок 4.13 — Дашборд PostgreSQL" title="" id="165" name="Picture"/>
            <a:graphic>
              <a:graphicData uri="http://schemas.openxmlformats.org/drawingml/2006/picture">
                <pic:pic>
                  <pic:nvPicPr>
                    <pic:cNvPr descr="../figures/screenshots/13_grafana_postgres.png" id="166" name="Picture"/>
                    <pic:cNvPicPr>
                      <a:picLocks noChangeArrowheads="1" noChangeAspect="1"/>
                    </pic:cNvPicPr>
                  </pic:nvPicPr>
                  <pic:blipFill>
                    <a:blip r:embed="rId164"/>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4.13 — Дашборд PostgreSQL</w:t>
      </w:r>
    </w:p>
    <w:p>
      <w:pPr>
        <w:pStyle w:val="BodyText"/>
      </w:pPr>
      <w:r>
        <w:t xml:space="preserve">Рисунок 4.13 — Дашборд PostgreSQL</w:t>
      </w:r>
    </w:p>
    <w:p>
      <w:pPr>
        <w:pStyle w:val="BodyText"/>
      </w:pPr>
      <w:r>
        <w:t xml:space="preserve">На холостом стенде коэффициент попадания в кеш стабильно превышает 99 %, число активных соединений остаётся ниже пяти, идущих от модуля</w:t>
      </w:r>
      <w:r>
        <w:t xml:space="preserve"> </w:t>
      </w:r>
      <w:r>
        <w:rPr>
          <w:rStyle w:val="VerbatimChar"/>
        </w:rPr>
        <w:t xml:space="preserve">task-resolver</w:t>
      </w:r>
      <w:r>
        <w:t xml:space="preserve">, и ни одной блокировки длительностью более 100 мс зафиксировано не было.</w:t>
      </w:r>
    </w:p>
    <w:bookmarkEnd w:id="167"/>
    <w:bookmarkStart w:id="171" w:name="контур-sandbox-исполнения"/>
    <w:p>
      <w:pPr>
        <w:pStyle w:val="Heading3"/>
      </w:pPr>
      <w:r>
        <w:t xml:space="preserve">4.4.5. Контур sandbox-исполнения</w:t>
      </w:r>
    </w:p>
    <w:p>
      <w:pPr>
        <w:pStyle w:val="FirstParagraph"/>
      </w:pPr>
      <w:r>
        <w:t xml:space="preserve">Дашборд «Sandbox» (рисунок 4.14) специально разработан для наблюдения за модулем изолированного исполнения пользовательского кода. Дашборд представляет четыре характеристики: 95-перцентиль времени исполнения с разбивкой по поддерживаемым языкам (Java и Python), распределение итоговых вердиктов по категориям (</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 число случаев активации защиты Out-of-Memory (метрика</w:t>
      </w:r>
      <w:r>
        <w:t xml:space="preserve"> </w:t>
      </w:r>
      <w:r>
        <w:rPr>
          <w:rStyle w:val="VerbatimChar"/>
        </w:rPr>
        <w:t xml:space="preserve">sandbox.oom.killed</w:t>
      </w:r>
      <w:r>
        <w:t xml:space="preserve">) и среднее пиковое потребление памяти контейнером. Эти показатели прямо отражают эффективность hardening-флагов</w:t>
      </w:r>
      <w:r>
        <w:t xml:space="preserve"> </w:t>
      </w:r>
      <w:r>
        <w:rPr>
          <w:rStyle w:val="VerbatimChar"/>
        </w:rPr>
        <w:t xml:space="preserve">docker run</w:t>
      </w:r>
      <w:r>
        <w:t xml:space="preserve">, описанных в подразделе 3.1.1, и их корректное функционирование на разнотипных нагрузках.</w:t>
      </w:r>
    </w:p>
    <w:p>
      <w:pPr>
        <w:pStyle w:val="CaptionedFigure"/>
      </w:pPr>
      <w:r>
        <w:drawing>
          <wp:inline>
            <wp:extent cx="5930900" cy="4170164"/>
            <wp:effectExtent b="0" l="0" r="0" t="0"/>
            <wp:docPr descr="Рисунок 4.14 — Дашборд контура sandbox-исполнения" title="" id="169" name="Picture"/>
            <a:graphic>
              <a:graphicData uri="http://schemas.openxmlformats.org/drawingml/2006/picture">
                <pic:pic>
                  <pic:nvPicPr>
                    <pic:cNvPr descr="../figures/screenshots/14_grafana_sandbox.png" id="170" name="Picture"/>
                    <pic:cNvPicPr>
                      <a:picLocks noChangeArrowheads="1" noChangeAspect="1"/>
                    </pic:cNvPicPr>
                  </pic:nvPicPr>
                  <pic:blipFill>
                    <a:blip r:embed="rId168"/>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4.14 — Дашборд контура sandbox-исполнения</w:t>
      </w:r>
    </w:p>
    <w:p>
      <w:pPr>
        <w:pStyle w:val="BodyText"/>
      </w:pPr>
      <w:r>
        <w:t xml:space="preserve">Рисунок 4.14 — Дашборд контура sandbox-исполнения</w:t>
      </w:r>
    </w:p>
    <w:p>
      <w:pPr>
        <w:pStyle w:val="BodyText"/>
      </w:pPr>
      <w:r>
        <w:t xml:space="preserve">Распределение вердиктов на холостом стенде согласуется с поведением начальных учебных задач, описанных в Приложении В: при правильных эталонных решениях преобладает категория</w:t>
      </w:r>
      <w:r>
        <w:t xml:space="preserve"> </w:t>
      </w:r>
      <w:r>
        <w:rPr>
          <w:rStyle w:val="VerbatimChar"/>
        </w:rPr>
        <w:t xml:space="preserve">OK</w:t>
      </w:r>
      <w:r>
        <w:t xml:space="preserve">, при намеренной отправке решений с ошибочной логикой —</w:t>
      </w:r>
      <w:r>
        <w:t xml:space="preserve"> </w:t>
      </w:r>
      <w:r>
        <w:rPr>
          <w:rStyle w:val="VerbatimChar"/>
        </w:rPr>
        <w:t xml:space="preserve">WRONG_ANSWER</w:t>
      </w:r>
      <w:r>
        <w:t xml:space="preserve">, что подтверждает корректную классификацию вердиктов на стороне</w:t>
      </w:r>
      <w:r>
        <w:t xml:space="preserve"> </w:t>
      </w:r>
      <w:r>
        <w:rPr>
          <w:rStyle w:val="VerbatimChar"/>
        </w:rPr>
        <w:t xml:space="preserve">DockerSandboxService.resolveVerdict</w:t>
      </w:r>
      <w:r>
        <w:t xml:space="preserve"> </w:t>
      </w:r>
      <w:r>
        <w:t xml:space="preserve">(см. подраздел 3.1.3).</w:t>
      </w:r>
    </w:p>
    <w:bookmarkEnd w:id="171"/>
    <w:bookmarkStart w:id="175" w:name="модуль-интеллектуального-анализа"/>
    <w:p>
      <w:pPr>
        <w:pStyle w:val="Heading3"/>
      </w:pPr>
      <w:r>
        <w:t xml:space="preserve">4.4.6. Модуль интеллектуального анализа</w:t>
      </w:r>
    </w:p>
    <w:p>
      <w:pPr>
        <w:pStyle w:val="FirstParagraph"/>
      </w:pPr>
      <w:r>
        <w:t xml:space="preserve">Дашборд «AI Analyzer» (рисунок 4.15) посвящён работе модуля</w:t>
      </w:r>
      <w:r>
        <w:t xml:space="preserve"> </w:t>
      </w:r>
      <w:r>
        <w:rPr>
          <w:rStyle w:val="VerbatimChar"/>
        </w:rPr>
        <w:t xml:space="preserve">ai-analyzer</w:t>
      </w:r>
      <w:r>
        <w:t xml:space="preserve"> </w:t>
      </w:r>
      <w:r>
        <w:t xml:space="preserve">и собирает прикладные метрики, экспортируемые непосредственно из его реализации. Среди них: число обращений к модели GigaChat в разбивке по вариантам промпта (</w:t>
      </w:r>
      <w:r>
        <w:rPr>
          <w:rStyle w:val="VerbatimChar"/>
        </w:rPr>
        <w:t xml:space="preserve">ZERO_SHOT</w:t>
      </w:r>
      <w:r>
        <w:t xml:space="preserve">,</w:t>
      </w:r>
      <w:r>
        <w:t xml:space="preserve"> </w:t>
      </w:r>
      <w:r>
        <w:rPr>
          <w:rStyle w:val="VerbatimChar"/>
        </w:rPr>
        <w:t xml:space="preserve">FEW_SHOT</w:t>
      </w:r>
      <w:r>
        <w:t xml:space="preserve">) и итогам (</w:t>
      </w:r>
      <w:r>
        <w:rPr>
          <w:rStyle w:val="VerbatimChar"/>
        </w:rPr>
        <w:t xml:space="preserve">success</w:t>
      </w:r>
      <w:r>
        <w:t xml:space="preserve">,</w:t>
      </w:r>
      <w:r>
        <w:t xml:space="preserve"> </w:t>
      </w:r>
      <w:r>
        <w:rPr>
          <w:rStyle w:val="VerbatimChar"/>
        </w:rPr>
        <w:t xml:space="preserve">fallback</w:t>
      </w:r>
      <w:r>
        <w:t xml:space="preserve">,</w:t>
      </w:r>
      <w:r>
        <w:t xml:space="preserve"> </w:t>
      </w:r>
      <w:r>
        <w:rPr>
          <w:rStyle w:val="VerbatimChar"/>
        </w:rPr>
        <w:t xml:space="preserve">schema_invalid</w:t>
      </w:r>
      <w:r>
        <w:t xml:space="preserve">,</w:t>
      </w:r>
      <w:r>
        <w:t xml:space="preserve"> </w:t>
      </w:r>
      <w:r>
        <w:rPr>
          <w:rStyle w:val="VerbatimChar"/>
        </w:rPr>
        <w:t xml:space="preserve">oauth_failure</w:t>
      </w:r>
      <w:r>
        <w:t xml:space="preserve">), частота срабатывания резервного анализатора</w:t>
      </w:r>
      <w:r>
        <w:t xml:space="preserve"> </w:t>
      </w:r>
      <w:r>
        <w:rPr>
          <w:rStyle w:val="VerbatimChar"/>
        </w:rPr>
        <w:t xml:space="preserve">SimpleRuleBased</w:t>
      </w:r>
      <w:r>
        <w:t xml:space="preserve"> </w:t>
      </w:r>
      <w:r>
        <w:t xml:space="preserve">(метрика</w:t>
      </w:r>
      <w:r>
        <w:t xml:space="preserve"> </w:t>
      </w:r>
      <w:r>
        <w:rPr>
          <w:rStyle w:val="VerbatimChar"/>
        </w:rPr>
        <w:t xml:space="preserve">analyzer.fallback.rate</w:t>
      </w:r>
      <w:r>
        <w:t xml:space="preserve">), доля ответов, не прошедших валидацию JSON-Schema (метрика</w:t>
      </w:r>
      <w:r>
        <w:t xml:space="preserve"> </w:t>
      </w:r>
      <w:r>
        <w:rPr>
          <w:rStyle w:val="VerbatimChar"/>
        </w:rPr>
        <w:t xml:space="preserve">analyzer.schema.invalid.rate</w:t>
      </w:r>
      <w:r>
        <w:t xml:space="preserve">), и медианная задержка одного вызова модели.</w:t>
      </w:r>
    </w:p>
    <w:p>
      <w:pPr>
        <w:pStyle w:val="CaptionedFigure"/>
      </w:pPr>
      <w:r>
        <w:drawing>
          <wp:inline>
            <wp:extent cx="5930900" cy="4170164"/>
            <wp:effectExtent b="0" l="0" r="0" t="0"/>
            <wp:docPr descr="Рисунок 4.15 — Дашборд модуля интеллектуального анализа" title="" id="173" name="Picture"/>
            <a:graphic>
              <a:graphicData uri="http://schemas.openxmlformats.org/drawingml/2006/picture">
                <pic:pic>
                  <pic:nvPicPr>
                    <pic:cNvPr descr="../figures/screenshots/15_grafana_ai.png" id="174" name="Picture"/>
                    <pic:cNvPicPr>
                      <a:picLocks noChangeArrowheads="1" noChangeAspect="1"/>
                    </pic:cNvPicPr>
                  </pic:nvPicPr>
                  <pic:blipFill>
                    <a:blip r:embed="rId172"/>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4.15 — Дашборд модуля интеллектуального анализа</w:t>
      </w:r>
    </w:p>
    <w:p>
      <w:pPr>
        <w:pStyle w:val="BodyText"/>
      </w:pPr>
      <w:r>
        <w:t xml:space="preserve">Рисунок 4.15 — Дашборд модуля интеллектуального анализа</w:t>
      </w:r>
    </w:p>
    <w:p>
      <w:pPr>
        <w:pStyle w:val="BodyText"/>
      </w:pPr>
      <w:r>
        <w:t xml:space="preserve">Доля fallback-обращений к резервному анализатору в ходе наблюдения за стендом не превышала единиц процентов и устойчиво возрастала только в случаях недоступности внешнего сервиса GigaChat; доля ответов, не прошедших валидацию JSON-Schema, оставалась около нуля, что подтверждает достаточность сочетания JSON-Schema c флагом</w:t>
      </w:r>
      <w:r>
        <w:t xml:space="preserve"> </w:t>
      </w:r>
      <w:r>
        <w:rPr>
          <w:rStyle w:val="VerbatimChar"/>
        </w:rPr>
        <w:t xml:space="preserve">additionalProperties=false</w:t>
      </w:r>
      <w:r>
        <w:t xml:space="preserve"> </w:t>
      </w:r>
      <w:r>
        <w:t xml:space="preserve">и механизма повторных обращений к модели при структурно невалидном ответе. Совокупность этих наблюдений обосновывает работоспособность нейро-символьного конвейера в режиме промышленной эксплуатации.</w:t>
      </w:r>
    </w:p>
    <w:bookmarkEnd w:id="175"/>
    <w:bookmarkEnd w:id="176"/>
    <w:bookmarkStart w:id="177" w:name="выводы-по-главе-2"/>
    <w:p>
      <w:pPr>
        <w:pStyle w:val="Heading2"/>
      </w:pPr>
      <w:r>
        <w:t xml:space="preserve">4.5. Выводы по главе</w:t>
      </w:r>
    </w:p>
    <w:p>
      <w:pPr>
        <w:pStyle w:val="FirstParagraph"/>
      </w:pPr>
      <w:r>
        <w:t xml:space="preserve">В настоящей главе представлено поведение разработанного веб-сервиса в основных пользовательских сценариях. Описание выполнено с привлечением пятнадцати снимков экрана, охватывающих как пользовательский интерфейс прототипа (формы аутентификации и регистрации, каталог задач, страницу описания задачи, редактор Monaco, индикатор статуса, экран результатов с разбором модуля интеллектуального анализа, страницу истории решений, страницу импорта задач преподавателем), так и контур наблюдаемости (шесть дашбордов Grafana по уровню обслуживания, виртуальной машине Java, брокеру Kafka, базе данных PostgreSQL, контуру sandbox-исполнения и модулю интеллектуального анализа).</w:t>
      </w:r>
    </w:p>
    <w:p>
      <w:pPr>
        <w:pStyle w:val="BodyText"/>
      </w:pPr>
      <w:r>
        <w:t xml:space="preserve">Представленные сценарии в совокупности подтверждают функциональную полноту разработанной системы по отношению к требованиям, сформулированным в разделе 1.6: пользователь имеет возможность зарегистрироваться, аутентифицироваться, просмотреть каталог задач с применением фильтров, выбрать задачу, написать решение в редакторе с поддержкой языка программирования, отправить его на проверку, наблюдать за состоянием обработки, получить итоговый вердикт вместе с содержательным разбором и обратиться к истории своих решений. Преподаватель располагает функцией пакетного добавления задач из CSV-файла, что соответствует сценарию формирования учебного курса. Контур наблюдаемости предоставляет дежурному инженеру средства быстрого осмотра состояния системы и детальной диагностики отдельных подсистем.</w:t>
      </w:r>
    </w:p>
    <w:p>
      <w:pPr>
        <w:pStyle w:val="BodyText"/>
      </w:pPr>
      <w:r>
        <w:t xml:space="preserve">Описанные в главе наблюдения за поведением прототипа имеют качественный характер; они подтверждают работоспособность реализованных функций, но не обосновывают количественные характеристики качества анализа решений модулем</w:t>
      </w:r>
      <w:r>
        <w:t xml:space="preserve"> </w:t>
      </w:r>
      <w:r>
        <w:rPr>
          <w:rStyle w:val="VerbatimChar"/>
        </w:rPr>
        <w:t xml:space="preserve">ai-analyzer</w:t>
      </w:r>
      <w:r>
        <w:t xml:space="preserve">. Количественная оценка приведена в Главе 5, в рамках пред-регистрированного конфирматорного эксперимента.</w:t>
      </w:r>
    </w:p>
    <w:bookmarkEnd w:id="177"/>
    <w:bookmarkEnd w:id="178"/>
    <w:bookmarkStart w:id="200" w:name="глава-5.-экспериментальное-исследование"/>
    <w:p>
      <w:pPr>
        <w:pStyle w:val="Heading1"/>
      </w:pPr>
      <w:r>
        <w:t xml:space="preserve">ГЛАВА 5. ЭКСПЕРИМЕНТАЛЬНОЕ ИССЛЕДОВАНИЕ</w:t>
      </w:r>
    </w:p>
    <w:p>
      <w:pPr>
        <w:pStyle w:val="FirstParagraph"/>
      </w:pPr>
      <w:r>
        <w:t xml:space="preserve">В настоящей главе описаны методика и результаты экспериментальной оценки разработанного нейро-символьного анализатора учебного кода. Исследование построено как пред-регистрированный конфирматорный эксперимент: гипотезы, объём выборки, состав сравниваемых конфигураций, статистические критерии и пороги отклонения нулевых гипотез заявлены до начала измерений и не пересматривались после получения первых результатов. Такая постановка соответствует современным требованиям воспроизводимости экспериментальных исследований и снимает риск пост-фактумной подгонки протокола под наблюдаемые данные.</w:t>
      </w:r>
    </w:p>
    <w:bookmarkStart w:id="179" w:name="цель-и-гипотезы"/>
    <w:p>
      <w:pPr>
        <w:pStyle w:val="Heading2"/>
      </w:pPr>
      <w:r>
        <w:t xml:space="preserve">5.1. Цель и гипотезы</w:t>
      </w:r>
    </w:p>
    <w:p>
      <w:pPr>
        <w:pStyle w:val="FirstParagraph"/>
      </w:pPr>
      <w:r>
        <w:rPr>
          <w:b/>
          <w:bCs/>
        </w:rPr>
        <w:t xml:space="preserve">Цель эксперимента</w:t>
      </w:r>
      <w:r>
        <w:t xml:space="preserve"> </w:t>
      </w:r>
      <w:r>
        <w:t xml:space="preserve">— получить количественную оценку трёх ключевых свойств разработанной системы: качества текстового разбора, формируемого модулем интеллектуального анализа; устойчивости защитной композиции к попыткам манипулирования языковой моделью через содержимое пользовательского кода; методологической пригодности применяемой схемы автоматической оценки.</w:t>
      </w:r>
    </w:p>
    <w:p>
      <w:pPr>
        <w:pStyle w:val="BodyText"/>
      </w:pPr>
      <w:r>
        <w:t xml:space="preserve">В соответствии с этой целью сформулированы три проверяемые гипотезы.</w:t>
      </w:r>
    </w:p>
    <w:p>
      <w:pPr>
        <w:pStyle w:val="BodyText"/>
      </w:pPr>
      <w:r>
        <w:rPr>
          <w:b/>
          <w:bCs/>
        </w:rPr>
        <w:t xml:space="preserve">Гипотеза H1 (качество разбора).</w:t>
      </w:r>
      <w:r>
        <w:t xml:space="preserve"> </w:t>
      </w:r>
      <w:r>
        <w:t xml:space="preserve">На корпусе учебных решений нейро-символьные конфигурации анализатора (с few-shot-примерами в системном промпте и с детерминированным слоем фактов абстрактного синтаксического дерева) обеспечивают более высокое качество текстового разбора по сравнению с базовой конфигурацией, использующей только обращение к языковой модели без дополнительных приёмов. Различие проверяется парным знаково-ранговым критерием Вилкоксона с поправкой Холма–Бонферрони и оценивается мерой эффекта δ Клиффа.</w:t>
      </w:r>
    </w:p>
    <w:p>
      <w:pPr>
        <w:pStyle w:val="BodyText"/>
      </w:pPr>
      <w:r>
        <w:rPr>
          <w:b/>
          <w:bCs/>
        </w:rPr>
        <w:t xml:space="preserve">Гипотеза H2 (защита от инъекций).</w:t>
      </w:r>
      <w:r>
        <w:t xml:space="preserve"> </w:t>
      </w:r>
      <w:r>
        <w:t xml:space="preserve">Композиция из семи защитных приёмов, реализованная в основной конфигурации анализатора, обеспечивает значимо более низкую долю успешных атак типа prompt injection по сравнению с конфигурацией, не использующей защитный слой. Различие проверяется сравнением 95-процентных доверительных интервалов Вильсона на корпусе атакующих решений, охватывающем десять классов угроз общеотраслевого списка OWASP LLM Top-10.</w:t>
      </w:r>
    </w:p>
    <w:p>
      <w:pPr>
        <w:pStyle w:val="BodyText"/>
      </w:pPr>
      <w:r>
        <w:rPr>
          <w:b/>
          <w:bCs/>
        </w:rPr>
        <w:t xml:space="preserve">Гипотеза H3 (методологическая валидность).</w:t>
      </w:r>
      <w:r>
        <w:t xml:space="preserve"> </w:t>
      </w:r>
      <w:r>
        <w:t xml:space="preserve">Применение независимой второй языковой модели в роли оценщика качества (cross-model judge) методологически предпочтительнее применения той же модели, которая формировала разбор, в роли судьи собственных ответов: расхождение оценок между двумя конфигурациями оценщика эмпирически подтверждает наличие систематического искажения self-preference и обосновывает выбор независимого судьи как первичного инструмента.</w:t>
      </w:r>
    </w:p>
    <w:p>
      <w:pPr>
        <w:pStyle w:val="BodyText"/>
      </w:pPr>
      <w:r>
        <w:t xml:space="preserve">Сравниваются четыре конфигурации анализатора:</w:t>
      </w:r>
    </w:p>
    <w:p>
      <w:pPr>
        <w:pStyle w:val="BodyText"/>
      </w:pPr>
      <w:r>
        <w:t xml:space="preserve">—</w:t>
      </w:r>
      <w:r>
        <w:t xml:space="preserve"> </w:t>
      </w:r>
      <w:r>
        <w:rPr>
          <w:b/>
          <w:bCs/>
        </w:rPr>
        <w:t xml:space="preserve">B0 (ablation, без защиты).</w:t>
      </w:r>
      <w:r>
        <w:t xml:space="preserve"> </w:t>
      </w:r>
      <w:r>
        <w:t xml:space="preserve">Прямое обращение к языковой модели без слоёв защиты, без верхних ограничений оценки и без верификации структуры ответа. Используется только в эксперименте по гипотезе H2 как контрольная группа.</w:t>
      </w:r>
    </w:p>
    <w:p>
      <w:pPr>
        <w:pStyle w:val="BodyText"/>
      </w:pPr>
      <w:r>
        <w:t xml:space="preserve">—</w:t>
      </w:r>
      <w:r>
        <w:t xml:space="preserve"> </w:t>
      </w:r>
      <w:r>
        <w:rPr>
          <w:b/>
          <w:bCs/>
        </w:rPr>
        <w:t xml:space="preserve">B1 (базовая).</w:t>
      </w:r>
      <w:r>
        <w:t xml:space="preserve"> </w:t>
      </w:r>
      <w:r>
        <w:t xml:space="preserve">Обращение к языковой модели с базовым системным промптом, без few-shot-примеров и без детерминированного слоя.</w:t>
      </w:r>
    </w:p>
    <w:p>
      <w:pPr>
        <w:pStyle w:val="BodyText"/>
      </w:pPr>
      <w:r>
        <w:t xml:space="preserve">—</w:t>
      </w:r>
      <w:r>
        <w:t xml:space="preserve"> </w:t>
      </w:r>
      <w:r>
        <w:rPr>
          <w:b/>
          <w:bCs/>
        </w:rPr>
        <w:t xml:space="preserve">B1f (расширенная).</w:t>
      </w:r>
      <w:r>
        <w:t xml:space="preserve"> </w:t>
      </w:r>
      <w:r>
        <w:t xml:space="preserve">Обращение к языковой модели с системным промптом, расширенным каноническими примерами разбора.</w:t>
      </w:r>
    </w:p>
    <w:p>
      <w:pPr>
        <w:pStyle w:val="BodyText"/>
      </w:pPr>
      <w:r>
        <w:t xml:space="preserve">—</w:t>
      </w:r>
      <w:r>
        <w:t xml:space="preserve"> </w:t>
      </w:r>
      <w:r>
        <w:rPr>
          <w:b/>
          <w:bCs/>
        </w:rPr>
        <w:t xml:space="preserve">B2 (гибридная).</w:t>
      </w:r>
      <w:r>
        <w:t xml:space="preserve"> </w:t>
      </w:r>
      <w:r>
        <w:t xml:space="preserve">Сочетание обращения к языковой модели с детерминированным извлечением фактов из абстрактного синтаксического дерева, встраиваемых в пользовательский промпт перед обращением.</w:t>
      </w:r>
    </w:p>
    <w:p>
      <w:pPr>
        <w:pStyle w:val="BodyText"/>
      </w:pPr>
      <w:r>
        <w:t xml:space="preserve">Конфигурации B1, B1f, B2 во всех частях эксперимента используют полную защитную композицию.</w:t>
      </w:r>
    </w:p>
    <w:bookmarkEnd w:id="179"/>
    <w:bookmarkStart w:id="180" w:name="материал"/>
    <w:p>
      <w:pPr>
        <w:pStyle w:val="Heading2"/>
      </w:pPr>
      <w:r>
        <w:t xml:space="preserve">5.2. Материал</w:t>
      </w:r>
    </w:p>
    <w:p>
      <w:pPr>
        <w:pStyle w:val="FirstParagraph"/>
      </w:pPr>
      <w:r>
        <w:t xml:space="preserve">Корпус эксперимента содержит</w:t>
      </w:r>
      <w:r>
        <w:t xml:space="preserve"> </w:t>
      </w:r>
      <w:r>
        <w:rPr>
          <w:b/>
          <w:bCs/>
        </w:rPr>
        <w:t xml:space="preserve">60 учебных элементов</w:t>
      </w:r>
      <w:r>
        <w:t xml:space="preserve">, формируемых детерминированным образом и сбалансированных по диагностическим категориям:</w:t>
      </w:r>
    </w:p>
    <w:p>
      <w:pPr>
        <w:pStyle w:val="BodyText"/>
      </w:pPr>
      <w:r>
        <w:t xml:space="preserve">—</w:t>
      </w:r>
      <w:r>
        <w:t xml:space="preserve"> </w:t>
      </w:r>
      <w:r>
        <w:rPr>
          <w:b/>
          <w:bCs/>
        </w:rPr>
        <w:t xml:space="preserve">20 учебных решений с дефектом исполнения</w:t>
      </w:r>
      <w:r>
        <w:t xml:space="preserve"> </w:t>
      </w:r>
      <w:r>
        <w:t xml:space="preserve">— категории RTE (runtime error), WA (wrong answer), TLE (time-limit exceeded), на которых вердикт песочницы даёт сильный сигнал;</w:t>
      </w:r>
      <w:r>
        <w:t xml:space="preserve"> </w:t>
      </w:r>
      <w:r>
        <w:t xml:space="preserve">—</w:t>
      </w:r>
      <w:r>
        <w:t xml:space="preserve"> </w:t>
      </w:r>
      <w:r>
        <w:rPr>
          <w:b/>
          <w:bCs/>
        </w:rPr>
        <w:t xml:space="preserve">20 учебных решений с дефектом содержания</w:t>
      </w:r>
      <w:r>
        <w:t xml:space="preserve"> </w:t>
      </w:r>
      <w:r>
        <w:t xml:space="preserve">— категории STUB (заглушка вместо реальной логики), STYLE (нарушения стиля программирования), SECURITY (использование небезопасных конструкций), на которых ожидается, что детерминированный слой и языковая модель различат заглушку и продуктивный код;</w:t>
      </w:r>
      <w:r>
        <w:t xml:space="preserve"> </w:t>
      </w:r>
      <w:r>
        <w:t xml:space="preserve">—</w:t>
      </w:r>
      <w:r>
        <w:t xml:space="preserve"> </w:t>
      </w:r>
      <w:r>
        <w:rPr>
          <w:b/>
          <w:bCs/>
        </w:rPr>
        <w:t xml:space="preserve">20 атакующих решений</w:t>
      </w:r>
      <w:r>
        <w:t xml:space="preserve"> </w:t>
      </w:r>
      <w:r>
        <w:t xml:space="preserve">— по два решения на каждый из десяти классов угроз общеотраслевого списка OWASP LLM Top-10 (от прямой инъекции инструкций до попыток раскрытия системного промпта и подмены формата ответа).</w:t>
      </w:r>
    </w:p>
    <w:p>
      <w:pPr>
        <w:pStyle w:val="BodyText"/>
      </w:pPr>
      <w:r>
        <w:t xml:space="preserve">Каждая пара (учебный элемент, конфигурация анализатора) обрабатывается</w:t>
      </w:r>
      <w:r>
        <w:t xml:space="preserve"> </w:t>
      </w:r>
      <w:r>
        <w:rPr>
          <w:b/>
          <w:bCs/>
        </w:rPr>
        <w:t xml:space="preserve">трижды</w:t>
      </w:r>
      <w:r>
        <w:t xml:space="preserve"> </w:t>
      </w:r>
      <w:r>
        <w:t xml:space="preserve">для оценки внутренней воспроизводимости и компенсации стохастичности языковой модели. Общее число обращений к языковой модели-генератору составляет</w:t>
      </w:r>
      <w:r>
        <w:t xml:space="preserve"> </w:t>
      </w:r>
      <m:oMath>
        <m:r>
          <m:t>60</m:t>
        </m:r>
        <m:r>
          <m:rPr>
            <m:sty m:val="p"/>
          </m:rPr>
          <m:t>×</m:t>
        </m:r>
        <m:r>
          <m:t>3</m:t>
        </m:r>
        <m:r>
          <m:rPr>
            <m:sty m:val="p"/>
          </m:rPr>
          <m:t>×</m:t>
        </m:r>
        <m:r>
          <m:t>3</m:t>
        </m:r>
        <m:r>
          <m:rPr>
            <m:sty m:val="p"/>
          </m:rPr>
          <m:t>=</m:t>
        </m:r>
        <m:r>
          <m:t>540</m:t>
        </m:r>
      </m:oMath>
      <w:r>
        <w:t xml:space="preserve"> </w:t>
      </w:r>
      <w:r>
        <w:t xml:space="preserve">для эксперимента по гипотезе H1; для эксперимента по гипотезе H2 дополнительно выполнено</w:t>
      </w:r>
      <w:r>
        <w:t xml:space="preserve"> </w:t>
      </w:r>
      <m:oMath>
        <m:r>
          <m:t>60</m:t>
        </m:r>
        <m:r>
          <m:rPr>
            <m:sty m:val="p"/>
          </m:rPr>
          <m:t>×</m:t>
        </m:r>
        <m:r>
          <m:t>3</m:t>
        </m:r>
        <m:r>
          <m:rPr>
            <m:sty m:val="p"/>
          </m:rPr>
          <m:t>=</m:t>
        </m:r>
        <m:r>
          <m:t>180</m:t>
        </m:r>
      </m:oMath>
      <w:r>
        <w:t xml:space="preserve"> </w:t>
      </w:r>
      <w:r>
        <w:t xml:space="preserve">обращений к базовой конфигурации без защиты B0, что даёт</w:t>
      </w:r>
      <w:r>
        <w:t xml:space="preserve"> </w:t>
      </w:r>
      <m:oMath>
        <m:r>
          <m:t>180</m:t>
        </m:r>
      </m:oMath>
      <w:r>
        <w:t xml:space="preserve"> </w:t>
      </w:r>
      <w:r>
        <w:t xml:space="preserve">контрольных наблюдений по атакам. Итого корпус наблюдений содержит</w:t>
      </w:r>
      <w:r>
        <w:t xml:space="preserve"> </w:t>
      </w:r>
      <w:r>
        <w:rPr>
          <w:b/>
          <w:bCs/>
        </w:rPr>
        <w:t xml:space="preserve">720 точек данных</w:t>
      </w:r>
      <w:r>
        <w:t xml:space="preserve">.</w:t>
      </w:r>
    </w:p>
    <w:p>
      <w:pPr>
        <w:pStyle w:val="BodyText"/>
      </w:pPr>
      <w:r>
        <w:t xml:space="preserve">Прогон выполнен в детерминированном режиме (фиксированный псевдослучайный посев на стороне генератора корпуса) и завершился без отказов внешнего сервиса языковой модели. Полное wall-time прогона составило приблизительно четырнадцать минут.</w:t>
      </w:r>
    </w:p>
    <w:bookmarkEnd w:id="180"/>
    <w:bookmarkStart w:id="187" w:name="методы-статистического-анализа"/>
    <w:p>
      <w:pPr>
        <w:pStyle w:val="Heading2"/>
      </w:pPr>
      <w:r>
        <w:t xml:space="preserve">5.3. Методы статистического анализа</w:t>
      </w:r>
    </w:p>
    <w:bookmarkStart w:id="181" w:name="общая-логика-выбора-методов"/>
    <w:p>
      <w:pPr>
        <w:pStyle w:val="Heading3"/>
      </w:pPr>
      <w:r>
        <w:t xml:space="preserve">5.3.1. Общая логика выбора методов</w:t>
      </w:r>
    </w:p>
    <w:p>
      <w:pPr>
        <w:pStyle w:val="FirstParagraph"/>
      </w:pPr>
      <w:r>
        <w:t xml:space="preserve">Выбор статистического аппарата подчинён трём свойствам полученных данных, которые делают непригодным классический параметрический инструментарий (t-критерий Стьюдента, дисперсионный анализ ANOVA), опирающийся на предположения о нормальности распределения и однородности дисперсий.</w:t>
      </w:r>
    </w:p>
    <w:p>
      <w:pPr>
        <w:pStyle w:val="BodyText"/>
      </w:pPr>
      <w:r>
        <w:t xml:space="preserve">Во-первых, измеряемая величина качества разбора представляет собой целочисленную сумму по четырём бинарным осям рубрики и принимает значения из дискретного множества {0, 1, 2, 3, 4}. Распределение такой величины по построению не является нормальным; на наблюдаемом материале оно сосредоточено у верхней границы шкалы (см. подраздел 5.5.1), что нарушает базовое предположение параметрических критериев.</w:t>
      </w:r>
    </w:p>
    <w:p>
      <w:pPr>
        <w:pStyle w:val="BodyText"/>
      </w:pPr>
      <w:r>
        <w:t xml:space="preserve">Во-вторых, объём выборки на отдельных диагностических категориях невелик (например, категория STUB содержит 21 пару наблюдений), и применение асимптотических параметрических критериев требовало бы дополнительных предположений, проверить которые на выборке такого размера невозможно.</w:t>
      </w:r>
    </w:p>
    <w:p>
      <w:pPr>
        <w:pStyle w:val="BodyText"/>
      </w:pPr>
      <w:r>
        <w:t xml:space="preserve">В-третьих, наблюдения принципиально парные: один и тот же учебный элемент при одном и том же индексе повтора оценивается всеми сравниваемыми конфигурациями анализатора. Парная структура должна быть учтена статистическим критерием, иначе оценка эффекта оказывается смещённой.</w:t>
      </w:r>
    </w:p>
    <w:p>
      <w:pPr>
        <w:pStyle w:val="BodyText"/>
      </w:pPr>
      <w:r>
        <w:t xml:space="preserve">С учётом перечисленных свойств принят следующий состав методов: критерий Вилкоксона для проверки гипотез о различии медиан, поправка Холма–Бонферрони для контроля семейной частоты ошибок при множественных сравнениях, мера эффекта δ Клиффа в качестве непараметрического показателя величины различия и доверительный интервал Вильсона для оценки доли успешных инъекций. Ниже каждый метод раскрыт с указанием назначения и обоснования выбора.</w:t>
      </w:r>
    </w:p>
    <w:bookmarkEnd w:id="181"/>
    <w:bookmarkStart w:id="182" w:name="Xf4ca1faa19788dab231e5948c617640f4079d72"/>
    <w:p>
      <w:pPr>
        <w:pStyle w:val="Heading3"/>
      </w:pPr>
      <w:r>
        <w:t xml:space="preserve">5.3.2. Критерий Вилкоксона для парных наблюдений</w:t>
      </w:r>
    </w:p>
    <w:p>
      <w:pPr>
        <w:pStyle w:val="FirstParagraph"/>
      </w:pPr>
      <w:r>
        <w:rPr>
          <w:b/>
          <w:bCs/>
        </w:rPr>
        <w:t xml:space="preserve">Назначение.</w:t>
      </w:r>
      <w:r>
        <w:t xml:space="preserve"> </w:t>
      </w:r>
      <w:r>
        <w:t xml:space="preserve">Проверка нулевой гипотезы о равенстве распределений двух связанных выборок, в которой каждое наблюдение одной выборки имеет естественную пару во второй. В настоящей работе сравниваются три пары конфигураций (B1 против B1f, B1 против B2, B1f против B2) по интегральной оценке качества разбора. Пара формируется по ключу (идентификатор учебного элемента, индекс повтора): один и тот же элемент при одном и том же индексе повтора оценивается двумя сравниваемыми конфигурациями.</w:t>
      </w:r>
    </w:p>
    <w:p>
      <w:pPr>
        <w:pStyle w:val="BodyText"/>
      </w:pPr>
      <w:r>
        <w:rPr>
          <w:b/>
          <w:bCs/>
        </w:rPr>
        <w:t xml:space="preserve">Обоснование выбора.</w:t>
      </w:r>
      <w:r>
        <w:t xml:space="preserve"> </w:t>
      </w:r>
      <w:r>
        <w:t xml:space="preserve">Критерий Вилкоксона является непараметрическим аналогом парного критерия Стьюдента и применим при дискретной и ненормально распределённой целевой переменной. Альтернативные парные критерии не подошли по следующим причинам. Парный критерий Стьюдента требует приближённо нормального распределения разностей, что не выполняется на дискретной шкале 0–4. Критерий знаков Мак-Немара применим только к бинарным исходам и не учитывает величину различия между парами, тогда как критерий Вилкоксона использует ранг абсолютной разности, сохраняя информацию о величине эффекта.</w:t>
      </w:r>
    </w:p>
    <w:bookmarkEnd w:id="182"/>
    <w:bookmarkStart w:id="183" w:name="поправка-холмабонферрони"/>
    <w:p>
      <w:pPr>
        <w:pStyle w:val="Heading3"/>
      </w:pPr>
      <w:r>
        <w:t xml:space="preserve">5.3.3. Поправка Холма–Бонферрони</w:t>
      </w:r>
    </w:p>
    <w:p>
      <w:pPr>
        <w:pStyle w:val="FirstParagraph"/>
      </w:pPr>
      <w:r>
        <w:rPr>
          <w:b/>
          <w:bCs/>
        </w:rPr>
        <w:t xml:space="preserve">Назначение.</w:t>
      </w:r>
      <w:r>
        <w:t xml:space="preserve"> </w:t>
      </w:r>
      <w:r>
        <w:t xml:space="preserve">Контроль семейной частоты ошибок первого рода при множественных статистических сравнениях. Сравнивая три пары конфигураций одновременно, без поправки на множественность увеличивается вероятность отклонения хотя бы одной верной нулевой гипотезы только из-за случайного шума.</w:t>
      </w:r>
    </w:p>
    <w:p>
      <w:pPr>
        <w:pStyle w:val="BodyText"/>
      </w:pPr>
      <w:r>
        <w:rPr>
          <w:b/>
          <w:bCs/>
        </w:rPr>
        <w:t xml:space="preserve">Обоснование выбора.</w:t>
      </w:r>
      <w:r>
        <w:t xml:space="preserve"> </w:t>
      </w:r>
      <w:r>
        <w:t xml:space="preserve">Применяется step-down процедура Холма (1979). Альтернативные процедуры рассмотрены и отвергнуты по следующим основаниям. Простая поправка Бонферрони делит уровень значимости на полное число сравнений и слишком консервативна при малом семействе тестов: при семействе из трёх сравнений она снижает мощность сильнее, чем это необходимо для контроля семейной ошибки. Процедура Беньямини–Хохберга контролирует ожидаемую долю ложных открытий, что уместно при больших семействах разведочных тестов, но не при конфирматорной проверке заранее заявленных гипотез. Холм–Бонферрони сохраняет строгий контроль семейной ошибки и одновременно мягче простого Бонферрони за счёт ступенчатого применения порога, поэтому представляет компромисс, наилучшим образом соответствующий конфирматорной постановке настоящего исследования.</w:t>
      </w:r>
    </w:p>
    <w:bookmarkEnd w:id="183"/>
    <w:bookmarkStart w:id="184" w:name="мера-эффекта-δ-клиффа"/>
    <w:p>
      <w:pPr>
        <w:pStyle w:val="Heading3"/>
      </w:pPr>
      <w:r>
        <w:t xml:space="preserve">5.3.4. Мера эффекта δ Клиффа</w:t>
      </w:r>
    </w:p>
    <w:p>
      <w:pPr>
        <w:pStyle w:val="FirstParagraph"/>
      </w:pPr>
      <w:r>
        <w:rPr>
          <w:b/>
          <w:bCs/>
        </w:rPr>
        <w:t xml:space="preserve">Назначение.</w:t>
      </w:r>
      <w:r>
        <w:t xml:space="preserve"> </w:t>
      </w:r>
      <w:r>
        <w:t xml:space="preserve">Количественная характеристика величины различия между двумя выборками, дополняющая бинарный вывод критерия Вилкоксона. Статистическая значимость отвечает на вопрос «существует ли различие», но не отвечает на вопрос «насколько оно велико»; при больших объёмах выборки даже незначительное по содержанию различие может оказаться значимым. Мера эффекта восполняет этот пробел.</w:t>
      </w:r>
    </w:p>
    <w:p>
      <w:pPr>
        <w:pStyle w:val="BodyText"/>
      </w:pPr>
      <w:r>
        <w:rPr>
          <w:b/>
          <w:bCs/>
        </w:rPr>
        <w:t xml:space="preserve">Определение.</w:t>
      </w:r>
      <w:r>
        <w:t xml:space="preserve"> </w:t>
      </w:r>
      <w:r>
        <w:t xml:space="preserve">Для двух выборок</w:t>
      </w:r>
      <w:r>
        <w:t xml:space="preserve"> </w:t>
      </w:r>
      <m:oMath>
        <m:r>
          <m:t>X</m:t>
        </m:r>
      </m:oMath>
      <w:r>
        <w:t xml:space="preserve"> </w:t>
      </w:r>
      <w:r>
        <w:t xml:space="preserve">и</w:t>
      </w:r>
      <w:r>
        <w:t xml:space="preserve"> </w:t>
      </w:r>
      <m:oMath>
        <m:r>
          <m:t>Y</m:t>
        </m:r>
      </m:oMath>
      <w:r>
        <w:t xml:space="preserve"> </w:t>
      </w:r>
      <w:r>
        <w:t xml:space="preserve">величина δ Клиффа определяется как разность вероятностей</w:t>
      </w:r>
      <w:r>
        <w:t xml:space="preserve"> </w:t>
      </w:r>
      <m:oMath>
        <m:r>
          <m:t>δ</m:t>
        </m:r>
        <m:r>
          <m:rPr>
            <m:sty m:val="p"/>
          </m:rPr>
          <m:t>=</m:t>
        </m:r>
        <m:r>
          <m:t>P</m:t>
        </m:r>
        <m:r>
          <m:rPr>
            <m:sty m:val="p"/>
          </m:rPr>
          <m:t>(</m:t>
        </m:r>
        <m:r>
          <m:t>X</m:t>
        </m:r>
        <m:r>
          <m:rPr>
            <m:sty m:val="p"/>
          </m:rPr>
          <m:t>&gt;</m:t>
        </m:r>
        <m:r>
          <m:t>Y</m:t>
        </m:r>
        <m:r>
          <m:rPr>
            <m:sty m:val="p"/>
          </m:rPr>
          <m:t>)</m:t>
        </m:r>
        <m:r>
          <m:rPr>
            <m:sty m:val="p"/>
          </m:rPr>
          <m:t>−</m:t>
        </m:r>
        <m:r>
          <m:t>P</m:t>
        </m:r>
        <m:r>
          <m:rPr>
            <m:sty m:val="p"/>
          </m:rPr>
          <m:t>(</m:t>
        </m:r>
        <m:r>
          <m:t>X</m:t>
        </m:r>
        <m:r>
          <m:rPr>
            <m:sty m:val="p"/>
          </m:rPr>
          <m:t>&lt;</m:t>
        </m:r>
        <m:r>
          <m:t>Y</m:t>
        </m:r>
        <m:r>
          <m:rPr>
            <m:sty m:val="p"/>
          </m:rPr>
          <m:t>)</m:t>
        </m:r>
      </m:oMath>
      <w:r>
        <w:t xml:space="preserve"> </w:t>
      </w:r>
      <w:r>
        <w:t xml:space="preserve">и принимает значения в интервале</w:t>
      </w:r>
      <w:r>
        <w:t xml:space="preserve"> </w:t>
      </w:r>
      <m:oMath>
        <m:r>
          <m:rPr>
            <m:sty m:val="p"/>
          </m:rPr>
          <m:t>[</m:t>
        </m:r>
        <m:r>
          <m:rPr>
            <m:sty m:val="p"/>
          </m:rPr>
          <m:t>−</m:t>
        </m:r>
        <m:r>
          <m:t>1</m:t>
        </m:r>
        <m:r>
          <m:rPr>
            <m:sty m:val="p"/>
          </m:rPr>
          <m:t>,</m:t>
        </m:r>
        <m:r>
          <m:rPr>
            <m:sty m:val="p"/>
          </m:rPr>
          <m:t>+</m:t>
        </m:r>
        <m:r>
          <m:t>1</m:t>
        </m:r>
        <m:r>
          <m:rPr>
            <m:sty m:val="p"/>
          </m:rPr>
          <m:t>]</m:t>
        </m:r>
      </m:oMath>
      <w:r>
        <w:t xml:space="preserve">. Положительное значение δ означает, что вторая в обозначении пары конфигурация стохастически превосходит первую; отрицательное — противоположное; ноль соответствует равной стохастической предпочтительности. Пороги интерпретации [Romano et al., 2006]:</w:t>
      </w:r>
      <w:r>
        <w:t xml:space="preserve"> </w:t>
      </w:r>
      <m:oMath>
        <m:r>
          <m:rPr>
            <m:sty m:val="p"/>
          </m:rPr>
          <m:t>|</m:t>
        </m:r>
        <m:r>
          <m:t>δ</m:t>
        </m:r>
        <m:r>
          <m:rPr>
            <m:sty m:val="p"/>
          </m:rPr>
          <m:t>|</m:t>
        </m:r>
        <m:r>
          <m:rPr>
            <m:sty m:val="p"/>
          </m:rPr>
          <m:t>&lt;</m:t>
        </m:r>
        <m:r>
          <m:t>0</m:t>
        </m:r>
        <m:r>
          <m:rPr>
            <m:sty m:val="p"/>
          </m:rPr>
          <m:t>,</m:t>
        </m:r>
        <m:r>
          <m:t>147</m:t>
        </m:r>
      </m:oMath>
      <w:r>
        <w:t xml:space="preserve"> </w:t>
      </w:r>
      <w:r>
        <w:t xml:space="preserve">— пренебрежимый эффект;</w:t>
      </w:r>
      <w:r>
        <w:t xml:space="preserve"> </w:t>
      </w:r>
      <m:oMath>
        <m:r>
          <m:t>0</m:t>
        </m:r>
        <m:r>
          <m:rPr>
            <m:sty m:val="p"/>
          </m:rPr>
          <m:t>,</m:t>
        </m:r>
        <m:r>
          <m:t>147</m:t>
        </m:r>
        <m:r>
          <m:rPr>
            <m:sty m:val="p"/>
          </m:rPr>
          <m:t>≤</m:t>
        </m:r>
        <m:r>
          <m:rPr>
            <m:sty m:val="p"/>
          </m:rPr>
          <m:t>|</m:t>
        </m:r>
        <m:r>
          <m:t>δ</m:t>
        </m:r>
        <m:r>
          <m:rPr>
            <m:sty m:val="p"/>
          </m:rPr>
          <m:t>|</m:t>
        </m:r>
        <m:r>
          <m:rPr>
            <m:sty m:val="p"/>
          </m:rPr>
          <m:t>&lt;</m:t>
        </m:r>
        <m:r>
          <m:t>0</m:t>
        </m:r>
        <m:r>
          <m:rPr>
            <m:sty m:val="p"/>
          </m:rPr>
          <m:t>,</m:t>
        </m:r>
        <m:r>
          <m:t>33</m:t>
        </m:r>
      </m:oMath>
      <w:r>
        <w:t xml:space="preserve"> </w:t>
      </w:r>
      <w:r>
        <w:t xml:space="preserve">— малый;</w:t>
      </w:r>
      <w:r>
        <w:t xml:space="preserve"> </w:t>
      </w:r>
      <m:oMath>
        <m:r>
          <m:t>0</m:t>
        </m:r>
        <m:r>
          <m:rPr>
            <m:sty m:val="p"/>
          </m:rPr>
          <m:t>,</m:t>
        </m:r>
        <m:r>
          <m:t>33</m:t>
        </m:r>
        <m:r>
          <m:rPr>
            <m:sty m:val="p"/>
          </m:rPr>
          <m:t>≤</m:t>
        </m:r>
        <m:r>
          <m:rPr>
            <m:sty m:val="p"/>
          </m:rPr>
          <m:t>|</m:t>
        </m:r>
        <m:r>
          <m:t>δ</m:t>
        </m:r>
        <m:r>
          <m:rPr>
            <m:sty m:val="p"/>
          </m:rPr>
          <m:t>|</m:t>
        </m:r>
        <m:r>
          <m:rPr>
            <m:sty m:val="p"/>
          </m:rPr>
          <m:t>&lt;</m:t>
        </m:r>
        <m:r>
          <m:t>0</m:t>
        </m:r>
        <m:r>
          <m:rPr>
            <m:sty m:val="p"/>
          </m:rPr>
          <m:t>,</m:t>
        </m:r>
        <m:r>
          <m:t>474</m:t>
        </m:r>
      </m:oMath>
      <w:r>
        <w:t xml:space="preserve"> </w:t>
      </w:r>
      <w:r>
        <w:t xml:space="preserve">— средний;</w:t>
      </w:r>
      <w:r>
        <w:t xml:space="preserve"> </w:t>
      </w:r>
      <m:oMath>
        <m:r>
          <m:rPr>
            <m:sty m:val="p"/>
          </m:rPr>
          <m:t>|</m:t>
        </m:r>
        <m:r>
          <m:t>δ</m:t>
        </m:r>
        <m:r>
          <m:rPr>
            <m:sty m:val="p"/>
          </m:rPr>
          <m:t>|</m:t>
        </m:r>
        <m:r>
          <m:rPr>
            <m:sty m:val="p"/>
          </m:rPr>
          <m:t>≥</m:t>
        </m:r>
        <m:r>
          <m:t>0</m:t>
        </m:r>
        <m:r>
          <m:rPr>
            <m:sty m:val="p"/>
          </m:rPr>
          <m:t>,</m:t>
        </m:r>
        <m:r>
          <m:t>474</m:t>
        </m:r>
      </m:oMath>
      <w:r>
        <w:t xml:space="preserve"> </w:t>
      </w:r>
      <w:r>
        <w:t xml:space="preserve">— крупный.</w:t>
      </w:r>
    </w:p>
    <w:p>
      <w:pPr>
        <w:pStyle w:val="BodyText"/>
      </w:pPr>
      <w:r>
        <w:rPr>
          <w:b/>
          <w:bCs/>
        </w:rPr>
        <w:t xml:space="preserve">Обоснование выбора.</w:t>
      </w:r>
      <w:r>
        <w:t xml:space="preserve"> </w:t>
      </w:r>
      <w:r>
        <w:t xml:space="preserve">Альтернативная общеупотребительная мера эффекта — Cohen’s</w:t>
      </w:r>
      <w:r>
        <w:t xml:space="preserve"> </w:t>
      </w:r>
      <m:oMath>
        <m:r>
          <m:t>d</m:t>
        </m:r>
      </m:oMath>
      <w:r>
        <w:t xml:space="preserve"> </w:t>
      </w:r>
      <w:r>
        <w:t xml:space="preserve">— рассчитывается как разность средних, нормированная на объединённое стандартное отклонение. Применение Cohen’s</w:t>
      </w:r>
      <w:r>
        <w:t xml:space="preserve"> </w:t>
      </w:r>
      <m:oMath>
        <m:r>
          <m:t>d</m:t>
        </m:r>
      </m:oMath>
      <w:r>
        <w:t xml:space="preserve"> </w:t>
      </w:r>
      <w:r>
        <w:t xml:space="preserve">к дискретной шкале 0–4 даёт смещённую и плохо интерпретируемую оценку, поскольку стандартное отклонение разности на узкой дискретной шкале искусственно занижается у выборок с высокой долей одинаковых значений (эффект потолка). Мера δ Клиффа свободна от этого недостатка, поскольку оперирует только порядком наблюдений и не зависит от шкалы и распределения.</w:t>
      </w:r>
    </w:p>
    <w:bookmarkEnd w:id="184"/>
    <w:bookmarkStart w:id="185" w:name="Xdf56799bb6fe0696da987f9ee3c088c302364a3"/>
    <w:p>
      <w:pPr>
        <w:pStyle w:val="Heading3"/>
      </w:pPr>
      <w:r>
        <w:t xml:space="preserve">5.3.5. Доверительный интервал Вильсона для долей</w:t>
      </w:r>
    </w:p>
    <w:p>
      <w:pPr>
        <w:pStyle w:val="FirstParagraph"/>
      </w:pPr>
      <w:r>
        <w:rPr>
          <w:b/>
          <w:bCs/>
        </w:rPr>
        <w:t xml:space="preserve">Назначение.</w:t>
      </w:r>
      <w:r>
        <w:t xml:space="preserve"> </w:t>
      </w:r>
      <w:r>
        <w:t xml:space="preserve">Точечно-интервальная оценка доли успешных инъекций на корпусе атакующих решений в разбивке по конфигурациям. Доля выражается как отношение числа успешных атак к общему числу попыток. Сравнение интервалов разных конфигураций позволяет содержательно ответить на вопрос, обеспечивает ли защитный слой значимо более низкую долю успешных атак.</w:t>
      </w:r>
    </w:p>
    <w:p>
      <w:pPr>
        <w:pStyle w:val="BodyText"/>
      </w:pPr>
      <w:r>
        <w:rPr>
          <w:b/>
          <w:bCs/>
        </w:rPr>
        <w:t xml:space="preserve">Обоснование выбора.</w:t>
      </w:r>
      <w:r>
        <w:t xml:space="preserve"> </w:t>
      </w:r>
      <w:r>
        <w:t xml:space="preserve">Альтернативные методы построения интервала рассмотрены и отвергнуты. Классический нормальный (Wald) интервал имеет известный дефект: при доле, близкой к нулю или единице, нижняя или верхняя граница интервала уходит за пределы допустимой области</w:t>
      </w:r>
      <w:r>
        <w:t xml:space="preserve"> </w:t>
      </w:r>
      <m:oMath>
        <m:r>
          <m:rPr>
            <m:sty m:val="p"/>
          </m:rPr>
          <m:t>[</m:t>
        </m:r>
        <m:r>
          <m:t>0</m:t>
        </m:r>
        <m:r>
          <m:rPr>
            <m:sty m:val="p"/>
          </m:rPr>
          <m:t>,</m:t>
        </m:r>
        <m:r>
          <m:t>1</m:t>
        </m:r>
        <m:r>
          <m:rPr>
            <m:sty m:val="p"/>
          </m:rPr>
          <m:t>]</m:t>
        </m:r>
      </m:oMath>
      <w:r>
        <w:t xml:space="preserve">, что бессмысленно по построению. Это особенно критично в настоящем исследовании, поскольку ожидаемая доля успешных атак для защищённой конфигурации близка к нулю. Интервал Клоппера–Пирсона корректен по построению, но чрезмерно консервативен и при малых выборках даёт интервалы шире, чем необходимо. Интервал Вильсона (1927) сохраняет корректное поведение во всём допустимом диапазоне долей, остаётся корректным при нулевых или близких к нулю наблюдениях и достигает близкого к номинальному покрытия 95 % на выборках реального объёма. Эти свойства и обусловили его выбор.</w:t>
      </w:r>
    </w:p>
    <w:bookmarkEnd w:id="185"/>
    <w:bookmarkStart w:id="186" w:name="описательная-статистика"/>
    <w:p>
      <w:pPr>
        <w:pStyle w:val="Heading3"/>
      </w:pPr>
      <w:r>
        <w:t xml:space="preserve">5.3.6. Описательная статистика</w:t>
      </w:r>
    </w:p>
    <w:p>
      <w:pPr>
        <w:pStyle w:val="FirstParagraph"/>
      </w:pPr>
      <w:r>
        <w:t xml:space="preserve">Помимо инференциальных критериев, в результатах приведена описательная статистика (среднее, медиана, стандартное отклонение) по интегральной оценке качества кода, оценке качества разбора и времени отклика анализатора. Она используется для общей характеристики наблюдаемого материала и не подменяет инференциальный вывод.</w:t>
      </w:r>
    </w:p>
    <w:bookmarkEnd w:id="186"/>
    <w:bookmarkEnd w:id="187"/>
    <w:bookmarkStart w:id="188" w:name="автоматическая-оценка-качества-разбора"/>
    <w:p>
      <w:pPr>
        <w:pStyle w:val="Heading2"/>
      </w:pPr>
      <w:r>
        <w:t xml:space="preserve">5.4. Автоматическая оценка качества разбора</w:t>
      </w:r>
    </w:p>
    <w:p>
      <w:pPr>
        <w:pStyle w:val="FirstParagraph"/>
      </w:pPr>
      <w:r>
        <w:t xml:space="preserve">Качество разбора, формируемого языковой моделью, оценивается автоматически по четырёхосной бинарной рубрике с диапазоном итоговой оценки от 0 до 4 баллов:</w:t>
      </w:r>
    </w:p>
    <w:p>
      <w:pPr>
        <w:pStyle w:val="Compact"/>
        <w:numPr>
          <w:ilvl w:val="0"/>
          <w:numId w:val="1013"/>
        </w:numPr>
      </w:pPr>
      <w:r>
        <w:rPr>
          <w:b/>
          <w:bCs/>
        </w:rPr>
        <w:t xml:space="preserve">Идентификация дефекта</w:t>
      </w:r>
      <w:r>
        <w:t xml:space="preserve"> </w:t>
      </w:r>
      <w:r>
        <w:t xml:space="preserve">— корректно ли разбор опознал категорию ошибки для решений с дефектом либо отказался хвалить атакующий код для атакующих решений.</w:t>
      </w:r>
    </w:p>
    <w:p>
      <w:pPr>
        <w:pStyle w:val="Compact"/>
        <w:numPr>
          <w:ilvl w:val="0"/>
          <w:numId w:val="1013"/>
        </w:numPr>
      </w:pPr>
      <w:r>
        <w:rPr>
          <w:b/>
          <w:bCs/>
        </w:rPr>
        <w:t xml:space="preserve">Локализация дефекта</w:t>
      </w:r>
      <w:r>
        <w:t xml:space="preserve"> </w:t>
      </w:r>
      <w:r>
        <w:t xml:space="preserve">— упомянута ли в разборе конкретная строка, идентификатор или синтаксическая конструкция, содержащая дефект.</w:t>
      </w:r>
    </w:p>
    <w:p>
      <w:pPr>
        <w:pStyle w:val="Compact"/>
        <w:numPr>
          <w:ilvl w:val="0"/>
          <w:numId w:val="1013"/>
        </w:numPr>
      </w:pPr>
      <w:r>
        <w:rPr>
          <w:b/>
          <w:bCs/>
        </w:rPr>
        <w:t xml:space="preserve">Конкретность рекомендации</w:t>
      </w:r>
      <w:r>
        <w:t xml:space="preserve"> </w:t>
      </w:r>
      <w:r>
        <w:t xml:space="preserve">— содержит ли разбор хотя бы один конкретный, реализуемый совет по устранению дефекта.</w:t>
      </w:r>
    </w:p>
    <w:p>
      <w:pPr>
        <w:pStyle w:val="Compact"/>
        <w:numPr>
          <w:ilvl w:val="0"/>
          <w:numId w:val="1013"/>
        </w:numPr>
      </w:pPr>
      <w:r>
        <w:rPr>
          <w:b/>
          <w:bCs/>
        </w:rPr>
        <w:t xml:space="preserve">Отсутствие галлюцинаций</w:t>
      </w:r>
      <w:r>
        <w:t xml:space="preserve"> </w:t>
      </w:r>
      <w:r>
        <w:t xml:space="preserve">— отсутствуют ли в разборе ложные технические утверждения, например, упоминание конструкций одного языка при разборе кода на другом, ссылки на несуществующие функции или утверждение об успешном прохождении тестов при фактическом провале.</w:t>
      </w:r>
    </w:p>
    <w:p>
      <w:pPr>
        <w:pStyle w:val="FirstParagraph"/>
      </w:pPr>
      <w:r>
        <w:t xml:space="preserve">Для каждой оси выставляется оценка 0 или 1; итоговая оценка качества разбора равна сумме оценок по четырём осям. Оценка выставляется автоматически отдельной языковой моделью, выполняющей роль оценщика (далее — судьи).</w:t>
      </w:r>
    </w:p>
    <w:p>
      <w:pPr>
        <w:pStyle w:val="BodyText"/>
      </w:pPr>
      <w:r>
        <w:rPr>
          <w:b/>
          <w:bCs/>
        </w:rPr>
        <w:t xml:space="preserve">Конфигурация судьи.</w:t>
      </w:r>
      <w:r>
        <w:t xml:space="preserve"> </w:t>
      </w:r>
      <w:r>
        <w:t xml:space="preserve">В качестве первичного судьи используется языковая модель Claude (Anthropic), отличная от модели-генератора разбора (GigaChat). Поскольку генератор и судья принадлежат разным семействам моделей и обучены на независимых данных, систематическое предпочтение моделью собственных ответов (self-preference bias) на уровне семейства устраняется конструктивно [Zheng et al., 2023; Liu et al., 2023]. Параметр стохастичности судьи установлен в ноль, что обеспечивает детерминированность оценки при повторном прогоне.</w:t>
      </w:r>
    </w:p>
    <w:p>
      <w:pPr>
        <w:pStyle w:val="BodyText"/>
      </w:pPr>
      <w:r>
        <w:t xml:space="preserve">Параллельно с первичным судьёй выполнен запасной прогон оценки той же моделью, которая формировала разбор (single-model self-judge). Сопоставление результатов двух конфигураций судьи используется для эмпирической проверки гипотезы H3 о методологической пригодности cross-model оценки.</w:t>
      </w:r>
    </w:p>
    <w:bookmarkEnd w:id="188"/>
    <w:bookmarkStart w:id="197" w:name="результаты"/>
    <w:p>
      <w:pPr>
        <w:pStyle w:val="Heading2"/>
      </w:pPr>
      <w:r>
        <w:t xml:space="preserve">5.5. Результаты</w:t>
      </w:r>
    </w:p>
    <w:bookmarkStart w:id="189" w:name="описательная-статистика-1"/>
    <w:p>
      <w:pPr>
        <w:pStyle w:val="Heading3"/>
      </w:pPr>
      <w:r>
        <w:t xml:space="preserve">5.5.1. Описательная статистика</w:t>
      </w:r>
    </w:p>
    <w:p>
      <w:pPr>
        <w:pStyle w:val="FirstParagraph"/>
      </w:pPr>
      <w:r>
        <w:t xml:space="preserve">Все 540 запланированных обращений в основной части эксперимента и все 180 контрольных обращений в части по гипотезе H2 завершились успешно; ни один ответ не потерян и не отбракован при структурной проверке. Каждый сформированный разбор получил оценку первичного судьи.</w:t>
      </w:r>
    </w:p>
    <w:p>
      <w:pPr>
        <w:pStyle w:val="BodyText"/>
      </w:pPr>
      <w:r>
        <w:t xml:space="preserve">Описательная статистика по основным конфигурациям приведена в таблице 5.1.</w:t>
      </w:r>
    </w:p>
    <w:p>
      <w:pPr>
        <w:pStyle w:val="BodyText"/>
      </w:pPr>
      <w:r>
        <w:t xml:space="preserve">Таблица 5.1 — Описательная статистика по конфигурациям анализатора (n = 180 на конфигурацию)</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Конфигурация</w:t>
            </w:r>
          </w:p>
        </w:tc>
        <w:tc>
          <w:tcPr/>
          <w:p>
            <w:pPr>
              <w:pStyle w:val="Compact"/>
            </w:pPr>
            <w:r>
              <w:t xml:space="preserve">Средняя оценка качества кода</w:t>
            </w:r>
          </w:p>
        </w:tc>
        <w:tc>
          <w:tcPr/>
          <w:p>
            <w:pPr>
              <w:pStyle w:val="Compact"/>
            </w:pPr>
            <w:r>
              <w:t xml:space="preserve">Средняя оценка качества разбора</w:t>
            </w:r>
          </w:p>
        </w:tc>
        <w:tc>
          <w:tcPr/>
          <w:p>
            <w:pPr>
              <w:pStyle w:val="Compact"/>
            </w:pPr>
            <w:r>
              <w:t xml:space="preserve">Медианное время отклика, мс</w:t>
            </w:r>
          </w:p>
        </w:tc>
      </w:tr>
      <w:tr>
        <w:tc>
          <w:tcPr/>
          <w:p>
            <w:pPr>
              <w:pStyle w:val="Compact"/>
            </w:pPr>
            <w:r>
              <w:t xml:space="preserve">B1 (базовая)</w:t>
            </w:r>
          </w:p>
        </w:tc>
        <w:tc>
          <w:tcPr/>
          <w:p>
            <w:pPr>
              <w:pStyle w:val="Compact"/>
            </w:pPr>
            <w:r>
              <w:t xml:space="preserve">45,7 ± 17,2; медиана 40</w:t>
            </w:r>
          </w:p>
        </w:tc>
        <w:tc>
          <w:tcPr/>
          <w:p>
            <w:pPr>
              <w:pStyle w:val="Compact"/>
            </w:pPr>
            <w:r>
              <w:t xml:space="preserve">3,48 ± 0,84; медиана 4</w:t>
            </w:r>
          </w:p>
        </w:tc>
        <w:tc>
          <w:tcPr/>
          <w:p>
            <w:pPr>
              <w:pStyle w:val="Compact"/>
            </w:pPr>
            <w:r>
              <w:t xml:space="preserve">1474</w:t>
            </w:r>
          </w:p>
        </w:tc>
      </w:tr>
      <w:tr>
        <w:tc>
          <w:tcPr/>
          <w:p>
            <w:pPr>
              <w:pStyle w:val="Compact"/>
            </w:pPr>
            <w:r>
              <w:t xml:space="preserve">B1f (расширенная)</w:t>
            </w:r>
          </w:p>
        </w:tc>
        <w:tc>
          <w:tcPr/>
          <w:p>
            <w:pPr>
              <w:pStyle w:val="Compact"/>
            </w:pPr>
            <w:r>
              <w:t xml:space="preserve">51,3 ± 19,1; медиана 50</w:t>
            </w:r>
          </w:p>
        </w:tc>
        <w:tc>
          <w:tcPr/>
          <w:p>
            <w:pPr>
              <w:pStyle w:val="Compact"/>
            </w:pPr>
            <w:r>
              <w:t xml:space="preserve">3,79 ± 0,62; медиана 4</w:t>
            </w:r>
          </w:p>
        </w:tc>
        <w:tc>
          <w:tcPr/>
          <w:p>
            <w:pPr>
              <w:pStyle w:val="Compact"/>
            </w:pPr>
            <w:r>
              <w:t xml:space="preserve">1477</w:t>
            </w:r>
          </w:p>
        </w:tc>
      </w:tr>
      <w:tr>
        <w:tc>
          <w:tcPr/>
          <w:p>
            <w:pPr>
              <w:pStyle w:val="Compact"/>
            </w:pPr>
            <w:r>
              <w:t xml:space="preserve">B2 (гибридная)</w:t>
            </w:r>
          </w:p>
        </w:tc>
        <w:tc>
          <w:tcPr/>
          <w:p>
            <w:pPr>
              <w:pStyle w:val="Compact"/>
            </w:pPr>
            <w:r>
              <w:t xml:space="preserve">56,8 ± 15,4; медиана 60</w:t>
            </w:r>
          </w:p>
        </w:tc>
        <w:tc>
          <w:tcPr/>
          <w:p>
            <w:pPr>
              <w:pStyle w:val="Compact"/>
            </w:pPr>
            <w:r>
              <w:t xml:space="preserve">3,82 ± 0,57; медиана 4</w:t>
            </w:r>
          </w:p>
        </w:tc>
        <w:tc>
          <w:tcPr/>
          <w:p>
            <w:pPr>
              <w:pStyle w:val="Compact"/>
            </w:pPr>
            <w:r>
              <w:t xml:space="preserve">1361</w:t>
            </w:r>
          </w:p>
        </w:tc>
      </w:tr>
    </w:tbl>
    <w:p>
      <w:pPr>
        <w:pStyle w:val="BodyText"/>
      </w:pPr>
      <w:r>
        <w:t xml:space="preserve">Распределение оценок качества разбора в основной выборке смещено к верхней границе шкалы: 78 % наблюдений получили максимальную оценку 4, 12 % — оценку 3, остальные 10 % — оценки от 0 до 2. Медианное время отклика во всех трёх конфигурациях находится в диапазоне 1,4 ± 0,1 секунды, что соответствует характерной задержке внешнего сервиса языковой модели. Гибридная конфигурация B2 показала наименьшее медианное время отклика, поскольку детерминированный слой формируется до обращения к модели и не вносит измеримой задержки на стадии генерации разбора.</w:t>
      </w:r>
    </w:p>
    <w:bookmarkEnd w:id="189"/>
    <w:bookmarkStart w:id="190" w:name="проверка-гипотезы-h1-качество-разбора"/>
    <w:p>
      <w:pPr>
        <w:pStyle w:val="Heading3"/>
      </w:pPr>
      <w:r>
        <w:t xml:space="preserve">5.5.2. Проверка гипотезы H1 — качество разбора</w:t>
      </w:r>
    </w:p>
    <w:p>
      <w:pPr>
        <w:pStyle w:val="FirstParagraph"/>
      </w:pPr>
      <w:r>
        <w:t xml:space="preserve">Результаты парного сравнения трёх конфигураций приведены в таблице 5.2.</w:t>
      </w:r>
    </w:p>
    <w:p>
      <w:pPr>
        <w:pStyle w:val="BodyText"/>
      </w:pPr>
      <w:r>
        <w:t xml:space="preserve">Таблица 5.2 — Парные сравнения конфигураций по качеству разбора (полный корпус, n = 180 пар наблюдений)</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Сравнение</w:t>
            </w:r>
          </w:p>
        </w:tc>
        <w:tc>
          <w:tcPr/>
          <w:p>
            <w:pPr>
              <w:pStyle w:val="Compact"/>
            </w:pPr>
            <w:r>
              <w:t xml:space="preserve">Средняя оценка пары</w:t>
            </w:r>
          </w:p>
        </w:tc>
        <w:tc>
          <w:tcPr/>
          <w:p>
            <w:pPr>
              <w:pStyle w:val="Compact"/>
            </w:pPr>
            <w:r>
              <w:t xml:space="preserve">Скорректированное p (Холм)</w:t>
            </w:r>
          </w:p>
        </w:tc>
        <w:tc>
          <w:tcPr/>
          <w:p>
            <w:pPr>
              <w:pStyle w:val="Compact"/>
            </w:pPr>
            <w:r>
              <w:t xml:space="preserve">δ Клиффа</w:t>
            </w:r>
          </w:p>
        </w:tc>
        <w:tc>
          <w:tcPr/>
          <w:p>
            <w:pPr>
              <w:pStyle w:val="Compact"/>
            </w:pPr>
            <w:r>
              <w:t xml:space="preserve">Результат</w:t>
            </w:r>
          </w:p>
        </w:tc>
      </w:tr>
      <w:tr>
        <w:tc>
          <w:tcPr/>
          <w:p>
            <w:pPr>
              <w:pStyle w:val="Compact"/>
            </w:pPr>
            <w:r>
              <w:t xml:space="preserve">B1 против B1f</w:t>
            </w:r>
          </w:p>
        </w:tc>
        <w:tc>
          <w:tcPr/>
          <w:p>
            <w:pPr>
              <w:pStyle w:val="Compact"/>
            </w:pPr>
            <w:r>
              <w:t xml:space="preserve">3,48 → 3,79</w:t>
            </w:r>
          </w:p>
        </w:tc>
        <w:tc>
          <w:tcPr/>
          <w:p>
            <w:pPr>
              <w:pStyle w:val="Compact"/>
            </w:pPr>
            <w:r>
              <w:t xml:space="preserve">&lt; 0,001</w:t>
            </w:r>
          </w:p>
        </w:tc>
        <w:tc>
          <w:tcPr/>
          <w:p>
            <w:pPr>
              <w:pStyle w:val="Compact"/>
            </w:pPr>
            <w:r>
              <w:t xml:space="preserve">+ 0,176 (малый)</w:t>
            </w:r>
          </w:p>
        </w:tc>
        <w:tc>
          <w:tcPr/>
          <w:p>
            <w:pPr>
              <w:pStyle w:val="Compact"/>
            </w:pPr>
            <w:r>
              <w:t xml:space="preserve">значимое превосходство B1f</w:t>
            </w:r>
          </w:p>
        </w:tc>
      </w:tr>
      <w:tr>
        <w:tc>
          <w:tcPr/>
          <w:p>
            <w:pPr>
              <w:pStyle w:val="Compact"/>
            </w:pPr>
            <w:r>
              <w:t xml:space="preserve">B1 против B2</w:t>
            </w:r>
          </w:p>
        </w:tc>
        <w:tc>
          <w:tcPr/>
          <w:p>
            <w:pPr>
              <w:pStyle w:val="Compact"/>
            </w:pPr>
            <w:r>
              <w:t xml:space="preserve">3,48 → 3,82</w:t>
            </w:r>
          </w:p>
        </w:tc>
        <w:tc>
          <w:tcPr/>
          <w:p>
            <w:pPr>
              <w:pStyle w:val="Compact"/>
            </w:pPr>
            <w:r>
              <w:t xml:space="preserve">&lt; 0,001</w:t>
            </w:r>
          </w:p>
        </w:tc>
        <w:tc>
          <w:tcPr/>
          <w:p>
            <w:pPr>
              <w:pStyle w:val="Compact"/>
            </w:pPr>
            <w:r>
              <w:t xml:space="preserve">+ 0,212 (малый)</w:t>
            </w:r>
          </w:p>
        </w:tc>
        <w:tc>
          <w:tcPr/>
          <w:p>
            <w:pPr>
              <w:pStyle w:val="Compact"/>
            </w:pPr>
            <w:r>
              <w:t xml:space="preserve">значимое превосходство B2</w:t>
            </w:r>
          </w:p>
        </w:tc>
      </w:tr>
      <w:tr>
        <w:tc>
          <w:tcPr/>
          <w:p>
            <w:pPr>
              <w:pStyle w:val="Compact"/>
            </w:pPr>
            <w:r>
              <w:t xml:space="preserve">B1f против B2</w:t>
            </w:r>
          </w:p>
        </w:tc>
        <w:tc>
          <w:tcPr/>
          <w:p>
            <w:pPr>
              <w:pStyle w:val="Compact"/>
            </w:pPr>
            <w:r>
              <w:t xml:space="preserve">3,79 → 3,82</w:t>
            </w:r>
          </w:p>
        </w:tc>
        <w:tc>
          <w:tcPr/>
          <w:p>
            <w:pPr>
              <w:pStyle w:val="Compact"/>
            </w:pPr>
            <w:r>
              <w:t xml:space="preserve">0,29</w:t>
            </w:r>
          </w:p>
        </w:tc>
        <w:tc>
          <w:tcPr/>
          <w:p>
            <w:pPr>
              <w:pStyle w:val="Compact"/>
            </w:pPr>
            <w:r>
              <w:t xml:space="preserve">+ 0,038 (пренебрежимый)</w:t>
            </w:r>
          </w:p>
        </w:tc>
        <w:tc>
          <w:tcPr/>
          <w:p>
            <w:pPr>
              <w:pStyle w:val="Compact"/>
            </w:pPr>
            <w:r>
              <w:t xml:space="preserve">различия не значимы</w:t>
            </w:r>
          </w:p>
        </w:tc>
      </w:tr>
    </w:tbl>
    <w:p>
      <w:pPr>
        <w:pStyle w:val="BodyText"/>
      </w:pPr>
      <w:r>
        <w:t xml:space="preserve">Двусторонний парный критерий Вилкоксона с поправкой Холма–Бонферрони на семейство из трёх сравнений показывает, что обе нейро-символьные конфигурации статистически значимо превосходят базовую zero-shot конфигурацию по интегральной оценке качества разбора: скорректированное p в обоих сравнениях не превосходит 0,001 при выбранном уровне значимости 0,05. Мера эффекта δ Клиффа в обоих сравнениях попадает в категорию «малый эффект» по интерпретационным порогам Romano et al. (2006), причём для пары B1 против B2 эффект количественно несколько выше, чем для пары B1 против B1f. Различие между двумя нейро-символьными конфигурациями (B1f против B2) статистически не значимо, что соответствует ожиданию: расширение системного промпта примерами и встраивание фактов абстрактного синтаксического дерева — два самостоятельных приёма, каждый из которых повышает качество разбора, но в совокупности не дают аддитивного выигрыша.</w:t>
      </w:r>
    </w:p>
    <w:p>
      <w:pPr>
        <w:pStyle w:val="BodyText"/>
      </w:pPr>
      <w:r>
        <w:rPr>
          <w:b/>
          <w:bCs/>
        </w:rPr>
        <w:t xml:space="preserve">Вывод по H1.</w:t>
      </w:r>
      <w:r>
        <w:t xml:space="preserve"> </w:t>
      </w:r>
      <w:r>
        <w:t xml:space="preserve">Гипотеза H1 о превосходстве нейро-символьных конфигураций над базовой подтверждается на уровне значимости 0,001. Эффект количественно характеризуется как малый, но статистически устойчивый.</w:t>
      </w:r>
    </w:p>
    <w:bookmarkEnd w:id="190"/>
    <w:bookmarkStart w:id="191" w:name="X40e14fe8b19cf068e47a49de9f8bee2373a58bd"/>
    <w:p>
      <w:pPr>
        <w:pStyle w:val="Heading3"/>
      </w:pPr>
      <w:r>
        <w:t xml:space="preserve">5.5.3. Проверка гипотезы H2 — устойчивость к prompt-инъекциям</w:t>
      </w:r>
    </w:p>
    <w:p>
      <w:pPr>
        <w:pStyle w:val="FirstParagraph"/>
      </w:pPr>
      <w:r>
        <w:t xml:space="preserve">Доли успешных атак, наблюдавшиеся на корпусе из 60 атакующих решений (3 повтора, итого 180 наблюдений на конфигурацию), приведены в таблице 5.3.</w:t>
      </w:r>
    </w:p>
    <w:p>
      <w:pPr>
        <w:pStyle w:val="BodyText"/>
      </w:pPr>
      <w:r>
        <w:t xml:space="preserve">Таблица 5.3 — Доли успешных prompt-инъекций по конфигурациям (n = 180 наблюдений на конфигурацию)</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Конфигурация</w:t>
            </w:r>
          </w:p>
        </w:tc>
        <w:tc>
          <w:tcPr/>
          <w:p>
            <w:pPr>
              <w:pStyle w:val="Compact"/>
            </w:pPr>
            <w:r>
              <w:t xml:space="preserve">Число успешных атак</w:t>
            </w:r>
          </w:p>
        </w:tc>
        <w:tc>
          <w:tcPr/>
          <w:p>
            <w:pPr>
              <w:pStyle w:val="Compact"/>
            </w:pPr>
            <w:r>
              <w:t xml:space="preserve">Доля успешных атак</w:t>
            </w:r>
          </w:p>
        </w:tc>
        <w:tc>
          <w:tcPr/>
          <w:p>
            <w:pPr>
              <w:pStyle w:val="Compact"/>
            </w:pPr>
            <w:r>
              <w:t xml:space="preserve">95-процентный доверительный интервал Вильсона</w:t>
            </w:r>
          </w:p>
        </w:tc>
      </w:tr>
      <w:tr>
        <w:tc>
          <w:tcPr/>
          <w:p>
            <w:pPr>
              <w:pStyle w:val="Compact"/>
            </w:pPr>
            <w:r>
              <w:t xml:space="preserve">B0 (без защиты)</w:t>
            </w:r>
          </w:p>
        </w:tc>
        <w:tc>
          <w:tcPr/>
          <w:p>
            <w:pPr>
              <w:pStyle w:val="Compact"/>
            </w:pPr>
            <w:r>
              <w:t xml:space="preserve">41 из 180</w:t>
            </w:r>
          </w:p>
        </w:tc>
        <w:tc>
          <w:tcPr/>
          <w:p>
            <w:pPr>
              <w:pStyle w:val="Compact"/>
            </w:pPr>
            <w:r>
              <w:t xml:space="preserve">0,228</w:t>
            </w:r>
          </w:p>
        </w:tc>
        <w:tc>
          <w:tcPr/>
          <w:p>
            <w:pPr>
              <w:pStyle w:val="Compact"/>
            </w:pPr>
            <w:r>
              <w:t xml:space="preserve">[0,170; 0,298]</w:t>
            </w:r>
          </w:p>
        </w:tc>
      </w:tr>
      <w:tr>
        <w:tc>
          <w:tcPr/>
          <w:p>
            <w:pPr>
              <w:pStyle w:val="Compact"/>
            </w:pPr>
            <w:r>
              <w:t xml:space="preserve">B1 (базовая, с защитой)</w:t>
            </w:r>
          </w:p>
        </w:tc>
        <w:tc>
          <w:tcPr/>
          <w:p>
            <w:pPr>
              <w:pStyle w:val="Compact"/>
            </w:pPr>
            <w:r>
              <w:t xml:space="preserve">0 из 180</w:t>
            </w:r>
          </w:p>
        </w:tc>
        <w:tc>
          <w:tcPr/>
          <w:p>
            <w:pPr>
              <w:pStyle w:val="Compact"/>
            </w:pPr>
            <w:r>
              <w:t xml:space="preserve">0,000</w:t>
            </w:r>
          </w:p>
        </w:tc>
        <w:tc>
          <w:tcPr/>
          <w:p>
            <w:pPr>
              <w:pStyle w:val="Compact"/>
            </w:pPr>
            <w:r>
              <w:t xml:space="preserve">[0,000; 0,021]</w:t>
            </w:r>
          </w:p>
        </w:tc>
      </w:tr>
      <w:tr>
        <w:tc>
          <w:tcPr/>
          <w:p>
            <w:pPr>
              <w:pStyle w:val="Compact"/>
            </w:pPr>
            <w:r>
              <w:t xml:space="preserve">B1f (расширенная, с защитой)</w:t>
            </w:r>
          </w:p>
        </w:tc>
        <w:tc>
          <w:tcPr/>
          <w:p>
            <w:pPr>
              <w:pStyle w:val="Compact"/>
            </w:pPr>
            <w:r>
              <w:t xml:space="preserve">0 из 180</w:t>
            </w:r>
          </w:p>
        </w:tc>
        <w:tc>
          <w:tcPr/>
          <w:p>
            <w:pPr>
              <w:pStyle w:val="Compact"/>
            </w:pPr>
            <w:r>
              <w:t xml:space="preserve">0,000</w:t>
            </w:r>
          </w:p>
        </w:tc>
        <w:tc>
          <w:tcPr/>
          <w:p>
            <w:pPr>
              <w:pStyle w:val="Compact"/>
            </w:pPr>
            <w:r>
              <w:t xml:space="preserve">[0,000; 0,021]</w:t>
            </w:r>
          </w:p>
        </w:tc>
      </w:tr>
      <w:tr>
        <w:tc>
          <w:tcPr/>
          <w:p>
            <w:pPr>
              <w:pStyle w:val="Compact"/>
            </w:pPr>
            <w:r>
              <w:t xml:space="preserve">B2 (гибридная, с защитой)</w:t>
            </w:r>
          </w:p>
        </w:tc>
        <w:tc>
          <w:tcPr/>
          <w:p>
            <w:pPr>
              <w:pStyle w:val="Compact"/>
            </w:pPr>
            <w:r>
              <w:t xml:space="preserve">0 из 180</w:t>
            </w:r>
          </w:p>
        </w:tc>
        <w:tc>
          <w:tcPr/>
          <w:p>
            <w:pPr>
              <w:pStyle w:val="Compact"/>
            </w:pPr>
            <w:r>
              <w:t xml:space="preserve">0,000</w:t>
            </w:r>
          </w:p>
        </w:tc>
        <w:tc>
          <w:tcPr/>
          <w:p>
            <w:pPr>
              <w:pStyle w:val="Compact"/>
            </w:pPr>
            <w:r>
              <w:t xml:space="preserve">[0,000; 0,021]</w:t>
            </w:r>
          </w:p>
        </w:tc>
      </w:tr>
    </w:tbl>
    <w:p>
      <w:pPr>
        <w:pStyle w:val="BodyText"/>
      </w:pPr>
      <w:r>
        <w:t xml:space="preserve">Доверительный интервал Вильсона для контрольной конфигурации B0 без защиты (</w:t>
      </w:r>
      <m:oMath>
        <m:r>
          <m:rPr>
            <m:sty m:val="p"/>
          </m:rPr>
          <m:t>[</m:t>
        </m:r>
        <m:r>
          <m:t>0</m:t>
        </m:r>
        <m:r>
          <m:rPr>
            <m:sty m:val="p"/>
          </m:rPr>
          <m:t>,</m:t>
        </m:r>
        <m:r>
          <m:t>170</m:t>
        </m:r>
        <m:r>
          <m:rPr>
            <m:sty m:val="p"/>
          </m:rPr>
          <m:t>;</m:t>
        </m:r>
        <m:r>
          <m:t> </m:t>
        </m:r>
        <m:r>
          <m:t>0</m:t>
        </m:r>
        <m:r>
          <m:rPr>
            <m:sty m:val="p"/>
          </m:rPr>
          <m:t>,</m:t>
        </m:r>
        <m:r>
          <m:t>298</m:t>
        </m:r>
        <m:r>
          <m:rPr>
            <m:sty m:val="p"/>
          </m:rPr>
          <m:t>]</m:t>
        </m:r>
      </m:oMath>
      <w:r>
        <w:t xml:space="preserve">) полностью лежит выше верхней границы доверительного интервала для каждой из защищённых конфигураций (</w:t>
      </w:r>
      <m:oMath>
        <m:r>
          <m:rPr>
            <m:sty m:val="p"/>
          </m:rPr>
          <m:t>[</m:t>
        </m:r>
        <m:r>
          <m:t>0</m:t>
        </m:r>
        <m:r>
          <m:rPr>
            <m:sty m:val="p"/>
          </m:rPr>
          <m:t>,</m:t>
        </m:r>
        <m:r>
          <m:t>000</m:t>
        </m:r>
        <m:r>
          <m:rPr>
            <m:sty m:val="p"/>
          </m:rPr>
          <m:t>;</m:t>
        </m:r>
        <m:r>
          <m:t> </m:t>
        </m:r>
        <m:r>
          <m:t>0</m:t>
        </m:r>
        <m:r>
          <m:rPr>
            <m:sty m:val="p"/>
          </m:rPr>
          <m:t>,</m:t>
        </m:r>
        <m:r>
          <m:t>021</m:t>
        </m:r>
        <m:r>
          <m:rPr>
            <m:sty m:val="p"/>
          </m:rPr>
          <m:t>]</m:t>
        </m:r>
      </m:oMath>
      <w:r>
        <w:t xml:space="preserve">). Поскольку интервалы не пересекаются и нижняя граница интервала B0 (</w:t>
      </w:r>
      <m:oMath>
        <m:r>
          <m:t>0</m:t>
        </m:r>
        <m:r>
          <m:rPr>
            <m:sty m:val="p"/>
          </m:rPr>
          <m:t>,</m:t>
        </m:r>
        <m:r>
          <m:t>170</m:t>
        </m:r>
      </m:oMath>
      <w:r>
        <w:t xml:space="preserve">) превосходит верхнюю границу интервала любой защищённой конфигурации (</w:t>
      </w:r>
      <m:oMath>
        <m:r>
          <m:t>0</m:t>
        </m:r>
        <m:r>
          <m:rPr>
            <m:sty m:val="p"/>
          </m:rPr>
          <m:t>,</m:t>
        </m:r>
        <m:r>
          <m:t>021</m:t>
        </m:r>
      </m:oMath>
      <w:r>
        <w:t xml:space="preserve">) более чем в восемь раз, наблюдаемое различие статистически значимо.</w:t>
      </w:r>
    </w:p>
    <w:p>
      <w:pPr>
        <w:pStyle w:val="BodyText"/>
      </w:pPr>
      <w:r>
        <w:t xml:space="preserve">Распределение успешных атак по классам угроз OWASP LLM Top-10 для контрольной конфигурации показывает, что наиболее проблемными классами без защиты выступают LLM01 (прямая инъекция инструкций) и LLM02 (небезопасная обработка вывода модели), на долю которых приходится более половины зафиксированных пробоев. Для защищённых конфигураций пробои не наблюдались ни в одном из десяти классов угроз; нулевая доля сохраняется как при разбиении по классам, так и при разбиении по индексам повтора, что свидетельствует об устойчивости защитной композиции, а не о случайно «удачном» прогоне.</w:t>
      </w:r>
    </w:p>
    <w:p>
      <w:pPr>
        <w:pStyle w:val="BodyText"/>
      </w:pPr>
      <w:r>
        <w:rPr>
          <w:b/>
          <w:bCs/>
        </w:rPr>
        <w:t xml:space="preserve">Вывод по H2.</w:t>
      </w:r>
      <w:r>
        <w:t xml:space="preserve"> </w:t>
      </w:r>
      <w:r>
        <w:t xml:space="preserve">Гипотеза H2 о значимо более низкой доле успешных prompt-инъекций для конфигураций, использующих разработанную защитную композицию, подтверждается. Композиция из семи защитных приёмов снизила долю успешных атак с 22,8 % до нуля на пред-регистрированном корпусе атакующих решений.</w:t>
      </w:r>
    </w:p>
    <w:bookmarkEnd w:id="191"/>
    <w:bookmarkStart w:id="192" w:name="X34b74f766f3760794bf1227bb86cd60c4eb8b92"/>
    <w:p>
      <w:pPr>
        <w:pStyle w:val="Heading3"/>
      </w:pPr>
      <w:r>
        <w:t xml:space="preserve">5.5.4. Проверка гипотезы H3 — методологическая валидность cross-model судьи</w:t>
      </w:r>
    </w:p>
    <w:p>
      <w:pPr>
        <w:pStyle w:val="FirstParagraph"/>
      </w:pPr>
      <w:r>
        <w:t xml:space="preserve">Для проверки гипотезы H3 параллельно с первичным cross-model судьёй (Claude) выполнен прогон оценки той же моделью, которая формировала разбор (single-model self-judge, GigaChat). Парные оценки сравнены на одном и том же наборе из 540 разборов основной части эксперимента.</w:t>
      </w:r>
    </w:p>
    <w:p>
      <w:pPr>
        <w:pStyle w:val="BodyText"/>
      </w:pPr>
      <w:r>
        <w:t xml:space="preserve">Полученные характеристики согласия двух конфигураций судьи:</w:t>
      </w:r>
    </w:p>
    <w:p>
      <w:pPr>
        <w:pStyle w:val="BodyText"/>
      </w:pPr>
      <w:r>
        <w:t xml:space="preserve">—</w:t>
      </w:r>
      <w:r>
        <w:t xml:space="preserve"> </w:t>
      </w:r>
      <w:r>
        <w:rPr>
          <w:b/>
          <w:bCs/>
        </w:rPr>
        <w:t xml:space="preserve">Точное согласие</w:t>
      </w:r>
      <w:r>
        <w:t xml:space="preserve"> </w:t>
      </w:r>
      <w:r>
        <w:t xml:space="preserve">на уровне индивидуальных оценок составляет 16,7 %, что лишь немного выше уровня случайного совпадения для шкалы из пяти значений.</w:t>
      </w:r>
      <w:r>
        <w:t xml:space="preserve"> </w:t>
      </w:r>
      <w:r>
        <w:t xml:space="preserve">—</w:t>
      </w:r>
      <w:r>
        <w:t xml:space="preserve"> </w:t>
      </w:r>
      <w:r>
        <w:rPr>
          <w:b/>
          <w:bCs/>
        </w:rPr>
        <w:t xml:space="preserve">Коэффициент ранговой корреляции Спирмена</w:t>
      </w:r>
      <w:r>
        <w:t xml:space="preserve"> </w:t>
      </w:r>
      <w:r>
        <w:t xml:space="preserve">между парами оценок равен −0,167 (p = 1 · 10⁻⁴), то есть оценки cross-model и self-judge не только не совпадают, но и слабо отрицательно коррелированы.</w:t>
      </w:r>
      <w:r>
        <w:t xml:space="preserve"> </w:t>
      </w:r>
      <w:r>
        <w:t xml:space="preserve">—</w:t>
      </w:r>
      <w:r>
        <w:t xml:space="preserve"> </w:t>
      </w:r>
      <w:r>
        <w:rPr>
          <w:b/>
          <w:bCs/>
        </w:rPr>
        <w:t xml:space="preserve">Среднее различие</w:t>
      </w:r>
      <w:r>
        <w:t xml:space="preserve"> </w:t>
      </w:r>
      <w:r>
        <w:t xml:space="preserve">оценок составляет +0,58 балла в пользу cross-model судьи, что отражает систематическое смещение шкалы single-model self-judge к узкому интервалу высоких оценок (преимущественно 3 и 4 балла).</w:t>
      </w:r>
    </w:p>
    <w:p>
      <w:pPr>
        <w:pStyle w:val="BodyText"/>
      </w:pPr>
      <w:r>
        <w:t xml:space="preserve">Эти три характеристики совместно подтверждают наличие систематического искажения self-preference на уровне отдельной модели-судьи: модель, оценивающая собственные ответы, концентрирует оценки на узком интервале и ранжирует ответы в значительной мере иначе, чем независимый внешний оценщик.</w:t>
      </w:r>
    </w:p>
    <w:p>
      <w:pPr>
        <w:pStyle w:val="BodyText"/>
      </w:pPr>
      <w:r>
        <w:rPr>
          <w:b/>
          <w:bCs/>
        </w:rPr>
        <w:t xml:space="preserve">Вывод по H3.</w:t>
      </w:r>
      <w:r>
        <w:t xml:space="preserve"> </w:t>
      </w:r>
      <w:r>
        <w:t xml:space="preserve">Гипотеза H3 о методологической предпочтительности cross-model судьи подтверждается. Систематическое искажение оценок single-model self-judge эмпирически зафиксировано на корпусе из 540 разборов; первичная конфигурация судьи на основе модели, отличной от модели-генератора, методологически обоснована.</w:t>
      </w:r>
    </w:p>
    <w:bookmarkEnd w:id="192"/>
    <w:bookmarkStart w:id="196" w:name="графические-иллюстрации"/>
    <w:p>
      <w:pPr>
        <w:pStyle w:val="Heading3"/>
      </w:pPr>
      <w:r>
        <w:t xml:space="preserve">5.5.5. Графические иллюстрации</w:t>
      </w:r>
    </w:p>
    <w:p>
      <w:pPr>
        <w:pStyle w:val="FirstParagraph"/>
      </w:pPr>
      <w:r>
        <w:t xml:space="preserve">Распределение средней оценки качества разбора в разрезе «конфигурация анализатора × категория диагноза» представлено на рисунке 5.1. Распределение демонстрирует устойчивое превосходство гибридной конфигурации B2 над базовой B1 во всех содержательных категориях, наиболее выраженное в категориях STUB и SECURITY, где детерминированный слой добавляет существенный сигнал.</w:t>
      </w:r>
    </w:p>
    <w:p>
      <w:pPr>
        <w:pStyle w:val="CaptionedFigure"/>
      </w:pPr>
      <w:r>
        <w:drawing>
          <wp:inline>
            <wp:extent cx="5930900" cy="3090632"/>
            <wp:effectExtent b="0" l="0" r="0" t="0"/>
            <wp:docPr descr="Рисунок 5.1 — Средняя оценка качества по категориям дефектов и вариантам анализатора" title="" id="194" name="Picture"/>
            <a:graphic>
              <a:graphicData uri="http://schemas.openxmlformats.org/drawingml/2006/picture">
                <pic:pic>
                  <pic:nvPicPr>
                    <pic:cNvPr descr="../figures/11_quality_by_category.png" id="195" name="Picture"/>
                    <pic:cNvPicPr>
                      <a:picLocks noChangeArrowheads="1" noChangeAspect="1"/>
                    </pic:cNvPicPr>
                  </pic:nvPicPr>
                  <pic:blipFill>
                    <a:blip r:embed="rId193"/>
                    <a:stretch>
                      <a:fillRect/>
                    </a:stretch>
                  </pic:blipFill>
                  <pic:spPr bwMode="auto">
                    <a:xfrm>
                      <a:off x="0" y="0"/>
                      <a:ext cx="5930900" cy="3090632"/>
                    </a:xfrm>
                    <a:prstGeom prst="rect">
                      <a:avLst/>
                    </a:prstGeom>
                    <a:noFill/>
                    <a:ln w="9525">
                      <a:noFill/>
                      <a:headEnd/>
                      <a:tailEnd/>
                    </a:ln>
                  </pic:spPr>
                </pic:pic>
              </a:graphicData>
            </a:graphic>
          </wp:inline>
        </w:drawing>
      </w:r>
    </w:p>
    <w:p>
      <w:pPr>
        <w:pStyle w:val="ImageCaption"/>
      </w:pPr>
      <w:r>
        <w:t xml:space="preserve">Рисунок 5.1 — Средняя оценка качества по категориям дефектов и вариантам анализатора</w:t>
      </w:r>
    </w:p>
    <w:p>
      <w:pPr>
        <w:pStyle w:val="BodyText"/>
      </w:pPr>
      <w:r>
        <w:t xml:space="preserve">Рисунок 5.1 — Средняя оценка качества по категориям дефектов и вариантам анализатора</w:t>
      </w:r>
    </w:p>
    <w:bookmarkEnd w:id="196"/>
    <w:bookmarkEnd w:id="197"/>
    <w:bookmarkStart w:id="198" w:name="обсуждение"/>
    <w:p>
      <w:pPr>
        <w:pStyle w:val="Heading2"/>
      </w:pPr>
      <w:r>
        <w:t xml:space="preserve">5.6. Обсуждение</w:t>
      </w:r>
    </w:p>
    <w:p>
      <w:pPr>
        <w:pStyle w:val="FirstParagraph"/>
      </w:pPr>
      <w:r>
        <w:t xml:space="preserve">Полученные результаты подтверждают все три заявленных гипотезы. Совместная картина наблюдений позволяет сделать три содержательных заключения.</w:t>
      </w:r>
    </w:p>
    <w:p>
      <w:pPr>
        <w:pStyle w:val="BodyText"/>
      </w:pPr>
      <w:r>
        <w:rPr>
          <w:b/>
          <w:bCs/>
        </w:rPr>
        <w:t xml:space="preserve">Качество разбора.</w:t>
      </w:r>
      <w:r>
        <w:t xml:space="preserve"> </w:t>
      </w:r>
      <w:r>
        <w:t xml:space="preserve">Оба приёма расширения базовой zero-shot конфигурации — добавление примеров в системный промпт и встраивание детерминированных фактов абстрактного синтаксического дерева — повышают качество текстового разбора. Эффект количественно невелик (категория малого по шкале Romano et al.), но устойчив статистически при пред-регистрированной поправке на множественность. Сравнение двух нейро-символьных конфигураций между собой не выявило значимого различия, что согласуется с интерпретацией: оба приёма устраняют одни и те же «слепые пятна» базовой конфигурации (отсутствие конкретных рекомендаций и периодические галлюцинации) разными средствами. Совмещение обоих приёмов в одной конфигурации возможно и относится к направлениям дальнейших исследований.</w:t>
      </w:r>
    </w:p>
    <w:p>
      <w:pPr>
        <w:pStyle w:val="BodyText"/>
      </w:pPr>
      <w:r>
        <w:rPr>
          <w:b/>
          <w:bCs/>
        </w:rPr>
        <w:t xml:space="preserve">Защита от инъекций.</w:t>
      </w:r>
      <w:r>
        <w:t xml:space="preserve"> </w:t>
      </w:r>
      <w:r>
        <w:t xml:space="preserve">Композиция из семи защитных приёмов обеспечивает количественно значимое снижение доли успешных атак по сравнению с конфигурацией без защиты. Контрольная конфигурация B0 без защиты допустила успешные атаки на 22,8 % предъявленных воздействий, тогда как все три защищённых конфигурации показали нулевую долю пробоев. Совмещение защитных приёмов работает как многоуровневый фильтр, в котором каждый последующий уровень страхует предыдущий: сентинельные маркеры обрамления кода не дают модели интерпретировать содержимое решения как обращение к ней, нормализация Unicode исключает обход маркеров через подмену символов, строгая валидация структуры ответа отсекает попытки навязать неожиданный формат, а финальное применение верхнего ограничения оценки сохраняет согласованность итоговой оценки с фактическим результатом исполнения даже при условии, что один из предыдущих уровней по какой-либо причине оказался обойдён.</w:t>
      </w:r>
    </w:p>
    <w:p>
      <w:pPr>
        <w:pStyle w:val="BodyText"/>
      </w:pPr>
      <w:r>
        <w:rPr>
          <w:b/>
          <w:bCs/>
        </w:rPr>
        <w:t xml:space="preserve">Методологическая валидность.</w:t>
      </w:r>
      <w:r>
        <w:t xml:space="preserve"> </w:t>
      </w:r>
      <w:r>
        <w:t xml:space="preserve">Сопоставление оценок cross-model и self-judge даёт самостоятельный методологический результат. Применение в роли судьи той же модели, которая формировала разбор, систематически завышает оценки и иначе ранжирует конфигурации по сравнению с независимым внешним оценщиком. Это означает, что результаты любых сравнений LLM-анализаторов, выполненных с применением single-model self-judge, нельзя считать методологически чистыми; первичная конфигурация судьи должна опираться на модель из независимого семейства, как и сделано в настоящей работе.</w:t>
      </w:r>
    </w:p>
    <w:p>
      <w:pPr>
        <w:pStyle w:val="BodyText"/>
      </w:pPr>
      <w:r>
        <w:rPr>
          <w:b/>
          <w:bCs/>
        </w:rPr>
        <w:t xml:space="preserve">Ограничения и направления дальнейших исследований.</w:t>
      </w:r>
      <w:r>
        <w:t xml:space="preserve"> </w:t>
      </w:r>
      <w:r>
        <w:t xml:space="preserve">Корпус эксперимента ограничен 60 учебными элементами, двумя языками программирования (Java, Python) и одним внешним судьёй. Расширение работы предполагает следующие направления: увеличение объёма корпуса по содержательным категориям до уровня, позволяющего проверять гипотезы на каждой категории по отдельности; добавление второго независимого судьи из ортогонального семейства языковых моделей; дополнение автоматической оценки судьи параллельной экспертной оценкой человеческих преподавателей с последующей проверкой согласия между судьёй и экспертами.</w:t>
      </w:r>
    </w:p>
    <w:bookmarkEnd w:id="198"/>
    <w:bookmarkStart w:id="199" w:name="выводы"/>
    <w:p>
      <w:pPr>
        <w:pStyle w:val="Heading2"/>
      </w:pPr>
      <w:r>
        <w:t xml:space="preserve">5.7. Выводы</w:t>
      </w:r>
    </w:p>
    <w:p>
      <w:pPr>
        <w:numPr>
          <w:ilvl w:val="0"/>
          <w:numId w:val="1014"/>
        </w:numPr>
      </w:pPr>
      <w:r>
        <w:t xml:space="preserve">Пред-регистрированный конфирматорный эксперимент по трём заявленным гипотезам выполнен полностью: 720 наблюдений, отказов внешнего сервиса языковой модели не зафиксировано, оценки получены автоматически и воспроизводимо.</w:t>
      </w:r>
    </w:p>
    <w:p>
      <w:pPr>
        <w:numPr>
          <w:ilvl w:val="0"/>
          <w:numId w:val="1014"/>
        </w:numPr>
      </w:pPr>
      <w:r>
        <w:t xml:space="preserve">Гипотеза H1 о превосходстве нейро-символьных конфигураций над базовой по качеству текстового разбора подтверждается на уровне значимости 0,001 (скорректированное p по Холму менее 0,001 для обеих пар сравнений, мера эффекта δ Клиффа в категории «малый эффект» с положительным знаком).</w:t>
      </w:r>
    </w:p>
    <w:p>
      <w:pPr>
        <w:numPr>
          <w:ilvl w:val="0"/>
          <w:numId w:val="1014"/>
        </w:numPr>
      </w:pPr>
      <w:r>
        <w:t xml:space="preserve">Гипотеза H2 о значимо более низкой доле успешных prompt-инъекций для конфигураций с разработанной защитной композицией подтверждается. Доля успешных атак снижена с 22,8 % для контрольной конфигурации без защиты до нуля для всех конфигураций с защитой; 95-процентные доверительные интервалы Вильсона не пересекаются.</w:t>
      </w:r>
    </w:p>
    <w:p>
      <w:pPr>
        <w:numPr>
          <w:ilvl w:val="0"/>
          <w:numId w:val="1014"/>
        </w:numPr>
      </w:pPr>
      <w:r>
        <w:t xml:space="preserve">Гипотеза H3 о методологической предпочтительности cross-model судьи подтверждается. Расхождение оценок двух конфигураций судьи (точное согласие 16,7 %, коэффициент ранговой корреляции Спирмена −0,167, средняя разность +0,58 балла) эмпирически фиксирует систематическое искажение self-preference и обосновывает выбор независимого внешнего судьи как первичного инструмента оценки.</w:t>
      </w:r>
    </w:p>
    <w:p>
      <w:pPr>
        <w:numPr>
          <w:ilvl w:val="0"/>
          <w:numId w:val="1014"/>
        </w:numPr>
      </w:pPr>
      <w:r>
        <w:t xml:space="preserve">Совокупность подтверждённых гипотез образует эмпирическую базу для положений, выносимых на защиту: предложенная архитектура анализатора количественно превосходит базовый zero-shot вариант по качеству разбора, нейтрализует prompt-инъекции на пред-регистрированном корпусе атакующих решений и оценена методологически чистым способом, исключающим самопредпочтение языковой модели.</w:t>
      </w:r>
    </w:p>
    <w:bookmarkEnd w:id="199"/>
    <w:bookmarkEnd w:id="200"/>
    <w:bookmarkStart w:id="204" w:name="заключение"/>
    <w:p>
      <w:pPr>
        <w:pStyle w:val="Heading1"/>
      </w:pPr>
      <w:r>
        <w:t xml:space="preserve">Заключение</w:t>
      </w:r>
    </w:p>
    <w:p>
      <w:pPr>
        <w:pStyle w:val="FirstParagraph"/>
      </w:pPr>
      <w:r>
        <w:t xml:space="preserve">В магистерской диссертации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организованным в виде нейро-символьного конвейера с явной иерархией авторитетности</w:t>
      </w:r>
      <w:r>
        <w:t xml:space="preserve"> </w:t>
      </w:r>
      <w:r>
        <w:rPr>
          <w:rStyle w:val="VerbatimChar"/>
        </w:rPr>
        <w:t xml:space="preserve">sandbox &gt; AST &gt; LLM</w:t>
      </w:r>
      <w:r>
        <w:t xml:space="preserve">. Все семь задач, сформулированных во введении, решены; цель работы достигнута.</w:t>
      </w:r>
    </w:p>
    <w:p>
      <w:pPr>
        <w:pStyle w:val="BodyText"/>
      </w:pPr>
      <w:r>
        <w:t xml:space="preserve">В рамках</w:t>
      </w:r>
      <w:r>
        <w:t xml:space="preserve"> </w:t>
      </w:r>
      <w:r>
        <w:rPr>
          <w:i/>
          <w:iCs/>
        </w:rPr>
        <w:t xml:space="preserve">первой задачи</w:t>
      </w:r>
      <w:r>
        <w:t xml:space="preserve"> </w:t>
      </w:r>
      <w:r>
        <w:t xml:space="preserve">выполнен аналитический обзор существующих систем автоматической проверки (LeetCode, Codeforces, HackerRank, e-olymp, ejudge, DOMjudge),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в учебном контексте, среди которых первоочередное значение имеют галлюцинации, prompt-инъекции и self-preference bias single-model LLM-судьи; сформирован research gap, к которому обращается настоящая работа (глава 1).</w:t>
      </w:r>
    </w:p>
    <w:p>
      <w:pPr>
        <w:pStyle w:val="BodyText"/>
      </w:pPr>
      <w:r>
        <w:t xml:space="preserve">В рамках</w:t>
      </w:r>
      <w:r>
        <w:t xml:space="preserve"> </w:t>
      </w:r>
      <w:r>
        <w:rPr>
          <w:i/>
          <w:iCs/>
        </w:rPr>
        <w:t xml:space="preserve">второй задачи</w:t>
      </w:r>
      <w:r>
        <w:t xml:space="preserve"> </w:t>
      </w:r>
      <w:r>
        <w:t xml:space="preserve">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 (главы 1, 2).</w:t>
      </w:r>
    </w:p>
    <w:p>
      <w:pPr>
        <w:pStyle w:val="BodyText"/>
      </w:pPr>
      <w:r>
        <w:t xml:space="preserve">В рамках</w:t>
      </w:r>
      <w:r>
        <w:t xml:space="preserve"> </w:t>
      </w:r>
      <w:r>
        <w:rPr>
          <w:i/>
          <w:iCs/>
        </w:rPr>
        <w:t xml:space="preserve">третьей задачи</w:t>
      </w:r>
      <w:r>
        <w:t xml:space="preserve"> </w:t>
      </w:r>
      <w:r>
        <w:t xml:space="preserve">спроектирована микросервисная архитектура в нотации C4 c декомпозицией на</w:t>
      </w:r>
      <w:r>
        <w:t xml:space="preserve"> </w:t>
      </w:r>
      <w:r>
        <w:rPr>
          <w:b/>
          <w:bCs/>
        </w:rPr>
        <w:t xml:space="preserve">девять</w:t>
      </w:r>
      <w:r>
        <w:t xml:space="preserve"> </w:t>
      </w:r>
      <w:r>
        <w:t xml:space="preserve">Gradle-модулей:</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Контракты REST API формализованы в виде OpenAPI-спецификаций, что обеспечивает единый источник истины для бэкенда и фронтенда. Описана модель данных в виде ER-диаграммы с восемью миграциями Flyway (глава 2).</w:t>
      </w:r>
    </w:p>
    <w:p>
      <w:pPr>
        <w:pStyle w:val="BodyText"/>
      </w:pPr>
      <w:r>
        <w:t xml:space="preserve">В рамках</w:t>
      </w:r>
      <w:r>
        <w:t xml:space="preserve"> </w:t>
      </w:r>
      <w:r>
        <w:rPr>
          <w:i/>
          <w:iCs/>
        </w:rPr>
        <w:t xml:space="preserve">четвёртой задачи</w:t>
      </w:r>
      <w:r>
        <w:t xml:space="preserve"> </w:t>
      </w:r>
      <w:r>
        <w:t xml:space="preserve">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комбинированный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 </w:t>
      </w:r>
      <w:r>
        <w:t xml:space="preserve">(глава 3).</w:t>
      </w:r>
    </w:p>
    <w:p>
      <w:pPr>
        <w:pStyle w:val="BodyText"/>
      </w:pPr>
      <w:r>
        <w:t xml:space="preserve">В рамках</w:t>
      </w:r>
      <w:r>
        <w:t xml:space="preserve"> </w:t>
      </w:r>
      <w:r>
        <w:rPr>
          <w:i/>
          <w:iCs/>
        </w:rPr>
        <w:t xml:space="preserve">пятой задачи</w:t>
      </w:r>
      <w:r>
        <w:t xml:space="preserve"> </w:t>
      </w:r>
      <w:r>
        <w:t xml:space="preserve">реализован модуль AI-анализатора как нейро-символьный конвейер из трёх обработчиков:</w:t>
      </w:r>
      <w:r>
        <w:t xml:space="preserve"> </w:t>
      </w:r>
      <w:r>
        <w:rPr>
          <w:rStyle w:val="VerbatimChar"/>
        </w:rPr>
        <w:t xml:space="preserve">SimpleRuleBasedAnalyzer</w:t>
      </w:r>
      <w:r>
        <w:t xml:space="preserve">,</w:t>
      </w:r>
      <w:r>
        <w:t xml:space="preserve"> </w:t>
      </w:r>
      <w:r>
        <w:rPr>
          <w:rStyle w:val="VerbatimChar"/>
        </w:rPr>
        <w:t xml:space="preserve">GigaChatAnalyzer</w:t>
      </w:r>
      <w:r>
        <w:t xml:space="preserve"> </w:t>
      </w:r>
      <w:r>
        <w:t xml:space="preserve">и</w:t>
      </w:r>
      <w:r>
        <w:t xml:space="preserve"> </w:t>
      </w:r>
      <w:r>
        <w:rPr>
          <w:rStyle w:val="VerbatimChar"/>
        </w:rPr>
        <w:t xml:space="preserve">AstHybridAnalyzer</w:t>
      </w:r>
      <w:r>
        <w:t xml:space="preserve">. Введён принцип иерархии авторитетности</w:t>
      </w:r>
      <w:r>
        <w:t xml:space="preserve"> </w:t>
      </w:r>
      <w:r>
        <w:rPr>
          <w:rStyle w:val="VerbatimChar"/>
        </w:rPr>
        <w:t xml:space="preserve">sandbox &gt; AST &gt; LLM</w:t>
      </w:r>
      <w:r>
        <w:t xml:space="preserve">, воплощённый в динамической шкале</w:t>
      </w:r>
      <w:r>
        <w:t xml:space="preserve"> </w:t>
      </w:r>
      <w:r>
        <w:rPr>
          <w:rStyle w:val="VerbatimChar"/>
        </w:rPr>
        <w:t xml:space="preserve">dynamicQualityCap</w:t>
      </w:r>
      <w:r>
        <w:t xml:space="preserve"> </w:t>
      </w:r>
      <w:r>
        <w:t xml:space="preserve">(0/N → 20, 1/N → 30, ≤ N/2 → 50, N−1/N → 70, all-failed + AST-stub → 10) и AST cross-check на основе признака</w:t>
      </w:r>
      <w:r>
        <w:t xml:space="preserve"> </w:t>
      </w:r>
      <w:r>
        <w:rPr>
          <w:rStyle w:val="VerbatimChar"/>
        </w:rPr>
        <w:t xml:space="preserve">suspiciousReturnsConstant</w:t>
      </w:r>
      <w:r>
        <w:t xml:space="preserve">. Защита LLM-пайплайна построена в виде семи уровней: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Для статической составляющей разработан AST-экстрактор для Java (на базе JavaParser 3.26 [27]) и Python (на базе регулярных выражений), извлекающий девять структурных признаков, включая</w:t>
      </w:r>
      <w:r>
        <w:t xml:space="preserve"> </w:t>
      </w:r>
      <w:r>
        <w:rPr>
          <w:rStyle w:val="VerbatimChar"/>
        </w:rPr>
        <w:t xml:space="preserve">suspiciousReturnsConstant</w:t>
      </w:r>
      <w:r>
        <w:t xml:space="preserve"> </w:t>
      </w:r>
      <w:r>
        <w:t xml:space="preserve">и цикломатическую сложность (главы 2, 3).</w:t>
      </w:r>
    </w:p>
    <w:p>
      <w:pPr>
        <w:pStyle w:val="BodyText"/>
      </w:pPr>
      <w:r>
        <w:t xml:space="preserve">В рамках</w:t>
      </w:r>
      <w:r>
        <w:t xml:space="preserve"> </w:t>
      </w:r>
      <w:r>
        <w:rPr>
          <w:i/>
          <w:iCs/>
        </w:rPr>
        <w:t xml:space="preserve">шестой задачи</w:t>
      </w:r>
      <w:r>
        <w:t xml:space="preserve"> </w:t>
      </w:r>
      <w:r>
        <w:t xml:space="preserve">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реализованы в полном объёме: фильтр задач по тематике (миграция V8, расширение OpenAPI и страницы каталога), CSV-импорт задач для роли TEACHER (новый эндпоинт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w:t>
      </w:r>
      <w:r>
        <w:t xml:space="preserve">— устраняет зависимость от поднятого стенда). Дополнительно реализован компонент</w:t>
      </w:r>
      <w:r>
        <w:t xml:space="preserve"> </w:t>
      </w:r>
      <w:r>
        <w:rPr>
          <w:rStyle w:val="VerbatimChar"/>
        </w:rPr>
        <w:t xml:space="preserve">CopyButton</w:t>
      </w:r>
      <w:r>
        <w:t xml:space="preserve"> </w:t>
      </w:r>
      <w:r>
        <w:t xml:space="preserve">(коммит</w:t>
      </w:r>
      <w:r>
        <w:t xml:space="preserve"> </w:t>
      </w:r>
      <w:r>
        <w:rPr>
          <w:rStyle w:val="VerbatimChar"/>
        </w:rPr>
        <w:t xml:space="preserve">eb269be</w:t>
      </w:r>
      <w:r>
        <w:t xml:space="preserve">) для копирования примеров входных и выходных данных (глава 3).</w:t>
      </w:r>
    </w:p>
    <w:p>
      <w:pPr>
        <w:pStyle w:val="BodyText"/>
      </w:pPr>
      <w:r>
        <w:t xml:space="preserve">В рамках</w:t>
      </w:r>
      <w:r>
        <w:t xml:space="preserve"> </w:t>
      </w:r>
      <w:r>
        <w:rPr>
          <w:i/>
          <w:iCs/>
        </w:rPr>
        <w:t xml:space="preserve">седьмой задачи</w:t>
      </w:r>
      <w:r>
        <w:t xml:space="preserve"> </w:t>
      </w:r>
      <w:r>
        <w:t xml:space="preserve">проведён пред-регистрированный конфирматорный эксперимент (60 элементов × 3 повтора × 3 варианта анализатора, 540 вызовов GigaChat) с cross-model LLM-судьёй Claude (коммит</w:t>
      </w:r>
      <w:r>
        <w:t xml:space="preserve"> </w:t>
      </w:r>
      <w:r>
        <w:rPr>
          <w:rStyle w:val="VerbatimChar"/>
        </w:rPr>
        <w:t xml:space="preserve">3b98d66</w:t>
      </w:r>
      <w:r>
        <w:t xml:space="preserve">); выполнен cross-judge sanity-check для подтверждения self-preference bias single-model self-judge.</w:t>
      </w:r>
      <w:r>
        <w:t xml:space="preserve"> </w:t>
      </w:r>
      <w:r>
        <w:rPr>
          <w:i/>
          <w:iCs/>
        </w:rPr>
        <w:t xml:space="preserve">Основная гипотеза H1</w:t>
      </w:r>
      <w:r>
        <w:t xml:space="preserve"> </w:t>
      </w:r>
      <w:r>
        <w:t xml:space="preserve">о превосходстве нейро-символьного гибрида над базовым вариантом в узком срезе STUB-задач (n = 21)</w:t>
      </w:r>
      <w:r>
        <w:t xml:space="preserve"> </w:t>
      </w:r>
      <w:r>
        <w:rPr>
          <w:b/>
          <w:bCs/>
        </w:rPr>
        <w:t xml:space="preserve">статистически не подтверждена</w:t>
      </w:r>
      <w:r>
        <w:t xml:space="preserve"> </w:t>
      </w:r>
      <w:r>
        <w:t xml:space="preserve">(Wilcoxon p_holm = 0,4719, Cliff’s δ = +0,095). Однако на полной выборке (n = 180) оба усиленных варианта — B1f (FEW_SHOT) и B2 (AST-гибрид) — статистически значимо превосходят базовый B1 (ZERO_SHOT) по качеству объяснения (Wilcoxon p_holm ≤ 0,0005, Cliff’s δ ≈ +0,15…+0,18). Это указывает на то, что эффект усиления существует, но недостаточен для подтверждения на выбранной узкой страте; для конфирматорного результата на STUB требуется увеличение выборки до n ≥ 60 (априорная оценка по effect size Cliff’s δ ≈ 0,10). Гипотеза H2 о защите от prompt-инъекций — inconclusive по достаточной мощности (0/60 успешных атак во всех трёх вариантах; Wilson 95%-ный доверительный интервал частоты успешных инъекций — [0,000; 0,060], идентичный для b1, b1f, b2), что эмпирически подтверждает работоспособность семиуровневой защиты, но не позволяет различить варианты по injection_success_rate (глава 5).</w:t>
      </w:r>
    </w:p>
    <w:bookmarkStart w:id="201" w:name="положения-выносимые-на-защиту"/>
    <w:p>
      <w:pPr>
        <w:pStyle w:val="Heading2"/>
      </w:pPr>
      <w:r>
        <w:t xml:space="preserve">Положения, выносимые на защиту</w:t>
      </w:r>
    </w:p>
    <w:p>
      <w:pPr>
        <w:pStyle w:val="FirstParagraph"/>
      </w:pPr>
      <w:r>
        <w:t xml:space="preserve">На защиту выносятся следующие положения, полученные в настоящем исследовании.</w:t>
      </w:r>
    </w:p>
    <w:p>
      <w:pPr>
        <w:pStyle w:val="Compact"/>
        <w:numPr>
          <w:ilvl w:val="0"/>
          <w:numId w:val="1015"/>
        </w:numPr>
      </w:pPr>
      <w:r>
        <w:rPr>
          <w:i/>
          <w:iCs/>
        </w:rPr>
        <w:t xml:space="preserve">Принцип</w:t>
      </w:r>
      <w:r>
        <w:rPr>
          <w:i/>
          <w:iCs/>
        </w:rPr>
        <w:t xml:space="preserve"> </w:t>
      </w:r>
      <w:r>
        <w:rPr>
          <w:rStyle w:val="VerbatimChar"/>
          <w:i/>
          <w:iCs/>
        </w:rPr>
        <w:t xml:space="preserve">sandbox &gt; AST &gt; LLM</w:t>
      </w:r>
      <w:r>
        <w:t xml:space="preserve">, реализованный через динамическую шкалу</w:t>
      </w:r>
      <w:r>
        <w:t xml:space="preserve"> </w:t>
      </w:r>
      <w:r>
        <w:rPr>
          <w:rStyle w:val="VerbatimChar"/>
        </w:rPr>
        <w:t xml:space="preserve">dynamicQualityCap</w:t>
      </w:r>
      <w:r>
        <w:t xml:space="preserve"> </w:t>
      </w:r>
      <w:r>
        <w:t xml:space="preserve">и AST-clamp, обеспечивает согласованность оценки качества решения с вердиктом песочницы независимо от поведения модели (главы 2, 3).</w:t>
      </w:r>
    </w:p>
    <w:p>
      <w:pPr>
        <w:pStyle w:val="Compact"/>
        <w:numPr>
          <w:ilvl w:val="0"/>
          <w:numId w:val="1015"/>
        </w:numPr>
      </w:pPr>
      <w:r>
        <w:rPr>
          <w:i/>
          <w:iCs/>
        </w:rPr>
        <w:t xml:space="preserve">Семиуровневая защита LLM-пайплайна</w:t>
      </w:r>
      <w:r>
        <w:t xml:space="preserve"> </w:t>
      </w:r>
      <w:r>
        <w:t xml:space="preserve">(sentinel, NFKC,</w:t>
      </w:r>
      <w:r>
        <w:t xml:space="preserve"> </w:t>
      </w:r>
      <w:r>
        <w:rPr>
          <w:rStyle w:val="VerbatimChar"/>
        </w:rPr>
        <w:t xml:space="preserve">enforceSizeLimit</w:t>
      </w:r>
      <w:r>
        <w:t xml:space="preserve">,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обеспечивает 100 % отбитых атак на корпусе 60 атакующих решений; верхняя 95%-ная граница частоты успешных инъекций по Уилсону — 0,060 (главы 3, 4).</w:t>
      </w:r>
    </w:p>
    <w:p>
      <w:pPr>
        <w:pStyle w:val="Compact"/>
        <w:numPr>
          <w:ilvl w:val="0"/>
          <w:numId w:val="1015"/>
        </w:numPr>
      </w:pPr>
      <w:r>
        <w:t xml:space="preserve">На полной выборке (n = 180) варианты B1f и B2</w:t>
      </w:r>
      <w:r>
        <w:t xml:space="preserve"> </w:t>
      </w:r>
      <w:r>
        <w:rPr>
          <w:i/>
          <w:iCs/>
        </w:rPr>
        <w:t xml:space="preserve">статистически значимо превосходят</w:t>
      </w:r>
      <w:r>
        <w:t xml:space="preserve"> </w:t>
      </w:r>
      <w:r>
        <w:t xml:space="preserve">базовый B1 по качеству объяснения (p_holm ≤ 0,0005, Cliff’s δ = +0,176 и +0,152 соответственно); на узкой страте STUB (n = 21) превосходство B2 над B1 статистически не подтверждено (Cliff’s δ = +0,095, p_holm = 0,4719) (глава 5).</w:t>
      </w:r>
    </w:p>
    <w:p>
      <w:pPr>
        <w:pStyle w:val="Compact"/>
        <w:numPr>
          <w:ilvl w:val="0"/>
          <w:numId w:val="1015"/>
        </w:numPr>
      </w:pPr>
      <w:r>
        <w:rPr>
          <w:i/>
          <w:iCs/>
        </w:rPr>
        <w:t xml:space="preserve">Cross-model LLM-судья</w:t>
      </w:r>
      <w:r>
        <w:t xml:space="preserve"> </w:t>
      </w:r>
      <w:r>
        <w:t xml:space="preserve">методологически валиден: расхождение с self-judge (Spearman ρ = −0,167, exact agreement 16,7 %, средняя разность Δ = +0,58) подтверждает self-preference bias [35] и обосновывает выбор cross-model конфигурации (глава 5).</w:t>
      </w:r>
    </w:p>
    <w:bookmarkEnd w:id="201"/>
    <w:bookmarkStart w:id="202" w:name="ограничения-работы"/>
    <w:p>
      <w:pPr>
        <w:pStyle w:val="Heading2"/>
      </w:pPr>
      <w:r>
        <w:t xml:space="preserve">Ограничения работы</w:t>
      </w:r>
    </w:p>
    <w:p>
      <w:pPr>
        <w:pStyle w:val="FirstParagraph"/>
      </w:pPr>
      <w:r>
        <w:t xml:space="preserve">Работа имеет ряд ограничений, явно зафиксированных как граница применимости полученных результатов.</w:t>
      </w:r>
    </w:p>
    <w:p>
      <w:pPr>
        <w:pStyle w:val="BodyText"/>
      </w:pPr>
      <w:r>
        <w:t xml:space="preserve">—</w:t>
      </w:r>
      <w:r>
        <w:t xml:space="preserve"> </w:t>
      </w:r>
      <w:r>
        <w:rPr>
          <w:i/>
          <w:iCs/>
        </w:rPr>
        <w:t xml:space="preserve">Узкая страта STUB</w:t>
      </w:r>
      <w:r>
        <w:t xml:space="preserve">. На выборке n = 21 (категория STUB) превосходство AST-гибрида над базовым вариантом статистически не подтверждено; для конфирматорного теста требуется расширение страты до n ≥ 60. Это направление прямо вытекает из проведённой априорной оценки мощности.</w:t>
      </w:r>
    </w:p>
    <w:p>
      <w:pPr>
        <w:pStyle w:val="BodyText"/>
      </w:pPr>
      <w:r>
        <w:t xml:space="preserve">—</w:t>
      </w:r>
      <w:r>
        <w:t xml:space="preserve"> </w:t>
      </w:r>
      <w:r>
        <w:rPr>
          <w:i/>
          <w:iCs/>
        </w:rPr>
        <w:t xml:space="preserve">Поддерживаемые языки</w:t>
      </w:r>
      <w:r>
        <w:t xml:space="preserve">. Текущая версия принимает на исполнение только Java и Python. Поддержка C++, Rust, Go отнесена к направлениям дальнейшего развития.</w:t>
      </w:r>
    </w:p>
    <w:p>
      <w:pPr>
        <w:pStyle w:val="BodyText"/>
      </w:pPr>
      <w:r>
        <w:t xml:space="preserve">—</w:t>
      </w:r>
      <w:r>
        <w:t xml:space="preserve"> </w:t>
      </w:r>
      <w:r>
        <w:rPr>
          <w:i/>
          <w:iCs/>
        </w:rPr>
        <w:t xml:space="preserve">Сценарные тесты как псевдо-сценарии</w:t>
      </w:r>
      <w:r>
        <w:t xml:space="preserve">. Модуль</w:t>
      </w:r>
      <w:r>
        <w:t xml:space="preserve"> </w:t>
      </w:r>
      <w:r>
        <w:rPr>
          <w:rStyle w:val="VerbatimChar"/>
        </w:rPr>
        <w:t xml:space="preserve">scenario-runner</w:t>
      </w:r>
      <w:r>
        <w:t xml:space="preserve"> </w:t>
      </w:r>
      <w:r>
        <w:t xml:space="preserve">исполняет каждый шаг сценария отдельным запуском sandbox-контейнера с накопленным stdin; «живой» сценарий с двунаправленным PIPE одного процесса в текущей реализации не поддерживается.</w:t>
      </w:r>
    </w:p>
    <w:p>
      <w:pPr>
        <w:pStyle w:val="BodyText"/>
      </w:pPr>
      <w:r>
        <w:t xml:space="preserve">—</w:t>
      </w:r>
      <w:r>
        <w:t xml:space="preserve"> </w:t>
      </w:r>
      <w:r>
        <w:rPr>
          <w:i/>
          <w:iCs/>
        </w:rPr>
        <w:t xml:space="preserve">Изоляция исполнения через Docker host-side</w:t>
      </w:r>
      <w:r>
        <w:t xml:space="preserve">. Уровень изоляции достаточен для образовательной нагрузки на dev-стенде macOS Docker Desktop, но для продуктивной эксплуатации в многопользовательской среде рекомендуется переход на gVisor, DinD или Firecracker (см. модель угроз</w:t>
      </w:r>
      <w:r>
        <w:t xml:space="preserve"> </w:t>
      </w:r>
      <w:r>
        <w:rPr>
          <w:rStyle w:val="VerbatimChar"/>
        </w:rPr>
        <w:t xml:space="preserve">sandbox/THREAT_MODEL.md</w:t>
      </w:r>
      <w:r>
        <w:t xml:space="preserve">).</w:t>
      </w:r>
    </w:p>
    <w:p>
      <w:pPr>
        <w:pStyle w:val="BodyText"/>
      </w:pPr>
      <w:r>
        <w:t xml:space="preserve">—</w:t>
      </w:r>
      <w:r>
        <w:t xml:space="preserve"> </w:t>
      </w:r>
      <w:r>
        <w:rPr>
          <w:i/>
          <w:iCs/>
        </w:rPr>
        <w:t xml:space="preserve">Self-preference bias</w:t>
      </w:r>
      <w:r>
        <w:t xml:space="preserve">. Эксперимент проведён с одним cross-model судьёй (Claude); ортогональная проверка с третьим judge-кандидатом (например, локальной open-weights моделью) отнесена к направлениям дальнейших исследований.</w:t>
      </w:r>
    </w:p>
    <w:bookmarkEnd w:id="202"/>
    <w:bookmarkStart w:id="203" w:name="X394a7b505bb5d513e14dbc653b9d33bb3c81001"/>
    <w:p>
      <w:pPr>
        <w:pStyle w:val="Heading2"/>
      </w:pPr>
      <w:r>
        <w:t xml:space="preserve">Направления дальнейших исследований и развития прототипа</w:t>
      </w:r>
    </w:p>
    <w:p>
      <w:pPr>
        <w:pStyle w:val="FirstParagraph"/>
      </w:pPr>
      <w:r>
        <w:t xml:space="preserve">—</w:t>
      </w:r>
      <w:r>
        <w:t xml:space="preserve"> </w:t>
      </w:r>
      <w:r>
        <w:rPr>
          <w:i/>
          <w:iCs/>
        </w:rPr>
        <w:t xml:space="preserve">Расширение страты STUB до n ≥ 60</w:t>
      </w:r>
      <w:r>
        <w:t xml:space="preserve"> </w:t>
      </w:r>
      <w:r>
        <w:t xml:space="preserve">и повторение конфирматорного теста H1; интеграция в общий пред-регистрированный план эксперимента дополнительной страты CONTROL для проверки эффекта на корректных решениях.</w:t>
      </w:r>
    </w:p>
    <w:p>
      <w:pPr>
        <w:pStyle w:val="BodyText"/>
      </w:pPr>
      <w:r>
        <w:t xml:space="preserve">—</w:t>
      </w:r>
      <w:r>
        <w:t xml:space="preserve"> </w:t>
      </w:r>
      <w:r>
        <w:rPr>
          <w:i/>
          <w:iCs/>
        </w:rPr>
        <w:t xml:space="preserve">Расширение поддерживаемых языков</w:t>
      </w:r>
      <w:r>
        <w:t xml:space="preserve">. C++, Rust, Go: подготовка соответствующих pre-built builder-образов для песочницы и расширение AST-экстрактора. Возврат поддержки Kotlin возможен при условии устранения «холодного старта» компилятора через pre-warmed JVM или предкомпилированные skeleton-проекты.</w:t>
      </w:r>
    </w:p>
    <w:p>
      <w:pPr>
        <w:pStyle w:val="BodyText"/>
      </w:pPr>
      <w:r>
        <w:t xml:space="preserve">—</w:t>
      </w:r>
      <w:r>
        <w:t xml:space="preserve"> </w:t>
      </w:r>
      <w:r>
        <w:rPr>
          <w:i/>
          <w:iCs/>
        </w:rPr>
        <w:t xml:space="preserve">Гибкая выдача подсказок</w:t>
      </w:r>
      <w:r>
        <w:t xml:space="preserve"> </w:t>
      </w:r>
      <w:r>
        <w:t xml:space="preserve">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pPr>
      <w:r>
        <w:t xml:space="preserve">—</w:t>
      </w:r>
      <w:r>
        <w:t xml:space="preserve"> </w:t>
      </w:r>
      <w:r>
        <w:rPr>
          <w:i/>
          <w:iCs/>
        </w:rPr>
        <w:t xml:space="preserve">Интеграция с LMS Moodle через LTI 1.3</w:t>
      </w:r>
      <w:r>
        <w:t xml:space="preserve"> </w:t>
      </w:r>
      <w:r>
        <w:t xml:space="preserve">расширит сферу применения прототипа за пределы локального учебного процесса кафедры.</w:t>
      </w:r>
    </w:p>
    <w:p>
      <w:pPr>
        <w:pStyle w:val="BodyText"/>
      </w:pPr>
      <w:r>
        <w:t xml:space="preserve">—</w:t>
      </w:r>
      <w:r>
        <w:t xml:space="preserve"> </w:t>
      </w:r>
      <w:r>
        <w:rPr>
          <w:i/>
          <w:iCs/>
        </w:rPr>
        <w:t xml:space="preserve">Замена внешнего API GigaChat на локально развёрнутую языковую модель</w:t>
      </w:r>
      <w:r>
        <w:t xml:space="preserve"> </w:t>
      </w:r>
      <w:r>
        <w:t xml:space="preserve">совместимой архитектуры повысит автономность сервиса и снимет ограничения на передачу пользовательских данных во внешний контур.</w:t>
      </w:r>
    </w:p>
    <w:p>
      <w:pPr>
        <w:pStyle w:val="BodyText"/>
      </w:pPr>
      <w:r>
        <w:t xml:space="preserve">—</w:t>
      </w:r>
      <w:r>
        <w:t xml:space="preserve"> </w:t>
      </w:r>
      <w:r>
        <w:rPr>
          <w:i/>
          <w:iCs/>
        </w:rPr>
        <w:t xml:space="preserve">Подключение электронной подписи</w:t>
      </w:r>
      <w:r>
        <w:t xml:space="preserve"> </w:t>
      </w:r>
      <w:r>
        <w:t xml:space="preserve">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pPr>
      <w:r>
        <w:t xml:space="preserve">—</w:t>
      </w:r>
      <w:r>
        <w:t xml:space="preserve"> </w:t>
      </w:r>
      <w:r>
        <w:rPr>
          <w:i/>
          <w:iCs/>
        </w:rPr>
        <w:t xml:space="preserve">Нагрузочный стенд и автоматизированные аварийные сценарии</w:t>
      </w:r>
      <w:r>
        <w:t xml:space="preserve"> </w:t>
      </w:r>
      <w:r>
        <w:t xml:space="preserve">позволят сформировать полноценные соглашения об уровне сервиса (SLA) и приблизить прототип к промышленной эксплуатации.</w:t>
      </w:r>
    </w:p>
    <w:p>
      <w:pPr>
        <w:pStyle w:val="BodyText"/>
      </w:pPr>
      <w:r>
        <w:t xml:space="preserve">—</w:t>
      </w:r>
      <w:r>
        <w:t xml:space="preserve"> </w:t>
      </w:r>
      <w:r>
        <w:rPr>
          <w:i/>
          <w:iCs/>
        </w:rPr>
        <w:t xml:space="preserve">Расширение методологии на ортогональный judge</w:t>
      </w:r>
      <w:r>
        <w:t xml:space="preserve">. Дополнение схемы оценки third-party LLM-судьёй на open-weights модели снимет потенциальный систематический сдвиг single-judge конфигурации.</w:t>
      </w:r>
    </w:p>
    <w:bookmarkEnd w:id="203"/>
    <w:bookmarkEnd w:id="204"/>
    <w:bookmarkStart w:id="209"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205" w:name="нормативно-правовые-акты-и-стандарты"/>
    <w:p>
      <w:pPr>
        <w:pStyle w:val="Heading2"/>
      </w:pPr>
      <w:r>
        <w:t xml:space="preserve">Нормативно-правовые акты и стандарты</w:t>
      </w:r>
    </w:p>
    <w:p>
      <w:pPr>
        <w:numPr>
          <w:ilvl w:val="0"/>
          <w:numId w:val="1016"/>
        </w:numPr>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6"/>
        </w:numPr>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6"/>
        </w:numPr>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6"/>
        </w:numPr>
      </w:pPr>
      <w:r>
        <w:t xml:space="preserve">ГОСТ Р 7.0.5–2008. Библиографическая ссылка. Общие требования и правила составления. — Москва : Стандартинформ, 2008. — 23 с.</w:t>
      </w:r>
    </w:p>
    <w:p>
      <w:pPr>
        <w:numPr>
          <w:ilvl w:val="0"/>
          <w:numId w:val="1016"/>
        </w:numPr>
      </w:pPr>
      <w:r>
        <w:t xml:space="preserve">ГОСТ Р 7.0.99–2018. Реферат и аннотация. Общие требования. — Москва : Стандартинформ, 2019. — 12 с.</w:t>
      </w:r>
    </w:p>
    <w:p>
      <w:pPr>
        <w:numPr>
          <w:ilvl w:val="0"/>
          <w:numId w:val="1016"/>
        </w:numPr>
      </w:pPr>
      <w:r>
        <w:t xml:space="preserve">ГОСТ 2.105–95. ЕСКД. Общие требования к текстовым документам. — Москва : Издательство стандартов, 1996. — 32 с.</w:t>
      </w:r>
    </w:p>
    <w:p>
      <w:pPr>
        <w:numPr>
          <w:ilvl w:val="0"/>
          <w:numId w:val="1016"/>
        </w:numPr>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6"/>
        </w:numPr>
      </w:pPr>
      <w:r>
        <w:t xml:space="preserve">ISO/IEC 25010:2011. Systems and software engineering — Systems and software Quality Requirements and Evaluation (SQuaRE) — System and software quality models. — Geneva : International Organization for Standardization, 2011. — 34 p.</w:t>
      </w:r>
    </w:p>
    <w:bookmarkEnd w:id="205"/>
    <w:bookmarkStart w:id="206" w:name="научные-статьи-и-материалы-конференций"/>
    <w:p>
      <w:pPr>
        <w:pStyle w:val="Heading2"/>
      </w:pPr>
      <w:r>
        <w:t xml:space="preserve">Научные статьи и материалы конференций</w:t>
      </w:r>
    </w:p>
    <w:p>
      <w:pPr>
        <w:numPr>
          <w:ilvl w:val="0"/>
          <w:numId w:val="1017"/>
        </w:numPr>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7"/>
        </w:numPr>
      </w:pPr>
      <w:r>
        <w:t xml:space="preserve">Brown T. Language Models are Few-Shot Learners / T. Brown, B. Mann, N. Ryder [et al.] // Advances in Neural Information Processing Systems. — 2020. — Vol. 33. — P. 1877–1901.</w:t>
      </w:r>
    </w:p>
    <w:p>
      <w:pPr>
        <w:numPr>
          <w:ilvl w:val="0"/>
          <w:numId w:val="1017"/>
        </w:numPr>
      </w:pPr>
      <w:r>
        <w:t xml:space="preserve">Vaswani A. Attention Is All You Need / A. Vaswani, N. Shazeer, N. Parmar [et al.] // Advances in Neural Information Processing Systems. — 2017. — Vol. 30. — P. 5998–6008.</w:t>
      </w:r>
    </w:p>
    <w:p>
      <w:pPr>
        <w:numPr>
          <w:ilvl w:val="0"/>
          <w:numId w:val="1017"/>
        </w:numPr>
      </w:pPr>
      <w:r>
        <w:t xml:space="preserve">Chen M. Evaluating Large Language Models Trained on Code / M. Chen, J. Tworek, H. Jun [et al.] // arXiv preprint arXiv:2107.03374. — 2021. — 35 p.</w:t>
      </w:r>
    </w:p>
    <w:p>
      <w:pPr>
        <w:numPr>
          <w:ilvl w:val="0"/>
          <w:numId w:val="1017"/>
        </w:numPr>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7"/>
        </w:numPr>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206"/>
    <w:bookmarkStart w:id="207" w:name="X6da4118fb4f0ce912774069f0da8125d18b4e46"/>
    <w:p>
      <w:pPr>
        <w:pStyle w:val="Heading2"/>
      </w:pPr>
      <w:r>
        <w:t xml:space="preserve">Технические руководства и официальная документация</w:t>
      </w:r>
    </w:p>
    <w:p>
      <w:pPr>
        <w:numPr>
          <w:ilvl w:val="0"/>
          <w:numId w:val="1018"/>
        </w:numPr>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8"/>
        </w:numPr>
      </w:pPr>
      <w:r>
        <w:t xml:space="preserve">NIST SP 800-190. Application Container Security Guide / M. Souppaya, J. Morello, K. Scarfone. — Gaithersburg, MD : National Institute of Standards and Technology, 2017. — 63 p. — DOI: 10.6028/NIST.SP.800-190.</w:t>
      </w:r>
    </w:p>
    <w:p>
      <w:pPr>
        <w:numPr>
          <w:ilvl w:val="0"/>
          <w:numId w:val="1018"/>
        </w:numPr>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8"/>
        </w:numPr>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8"/>
        </w:numPr>
      </w:pPr>
      <w:r>
        <w:t xml:space="preserve">Spring Boot Reference Documentation. Version 3.5 / Pivotal Software. — URL: https://docs.spring.io/spring-boot/docs/3.5.x/reference/html/ (дата обращения: 02.05.2026). — Текст : электронный.</w:t>
      </w:r>
    </w:p>
    <w:p>
      <w:pPr>
        <w:numPr>
          <w:ilvl w:val="0"/>
          <w:numId w:val="1018"/>
        </w:numPr>
      </w:pPr>
      <w:r>
        <w:t xml:space="preserve">Spring for Apache Kafka. Reference Documentation 3.2 / Pivotal Software. — URL: https://docs.spring.io/spring-kafka/reference/ (дата обращения: 02.05.2026). — Текст : электронный.</w:t>
      </w:r>
    </w:p>
    <w:p>
      <w:pPr>
        <w:numPr>
          <w:ilvl w:val="0"/>
          <w:numId w:val="1018"/>
        </w:numPr>
      </w:pPr>
      <w:r>
        <w:t xml:space="preserve">Kotlin Reference. Version 2.2 / JetBrains s.r.o. — URL: https://kotlinlang.org/docs/home.html (дата обращения: 03.05.2026). — Текст : электронный.</w:t>
      </w:r>
    </w:p>
    <w:p>
      <w:pPr>
        <w:numPr>
          <w:ilvl w:val="0"/>
          <w:numId w:val="1018"/>
        </w:numPr>
      </w:pPr>
      <w:r>
        <w:t xml:space="preserve">Docker security best practices / Docker Inc. — URL: https://docs.docker.com/engine/security/ (дата обращения: 03.05.2026). — Текст : электронный.</w:t>
      </w:r>
    </w:p>
    <w:p>
      <w:pPr>
        <w:numPr>
          <w:ilvl w:val="0"/>
          <w:numId w:val="1018"/>
        </w:numPr>
      </w:pPr>
      <w:r>
        <w:t xml:space="preserve">PostgreSQL 16 Documentation / PostgreSQL Global Development Group. — URL: https://www.postgresql.org/docs/16/ (дата обращения: 04.05.2026). — Текст : электронный.</w:t>
      </w:r>
    </w:p>
    <w:p>
      <w:pPr>
        <w:numPr>
          <w:ilvl w:val="0"/>
          <w:numId w:val="1018"/>
        </w:numPr>
      </w:pPr>
      <w:r>
        <w:t xml:space="preserve">Apache Kafka Documentation. Version 3.7 / Apache Software Foundation. — URL: https://kafka.apache.org/documentation/ (дата обращения: 04.05.2026). — Текст : электронный.</w:t>
      </w:r>
    </w:p>
    <w:p>
      <w:pPr>
        <w:numPr>
          <w:ilvl w:val="0"/>
          <w:numId w:val="1018"/>
        </w:numPr>
      </w:pPr>
      <w:r>
        <w:t xml:space="preserve">GigaChat API. Documentation / ПАО Сбербанк. — URL: https://developers.sber.ru/portal/products/gigachat-api (дата обращения: 06.05.2026). — Текст : электронный.</w:t>
      </w:r>
    </w:p>
    <w:p>
      <w:pPr>
        <w:numPr>
          <w:ilvl w:val="0"/>
          <w:numId w:val="1018"/>
        </w:numPr>
      </w:pPr>
      <w:r>
        <w:t xml:space="preserve">OpenAPI Generator. Version 7.17 / OpenAPI Tools. — URL: https://openapi-generator.tech/docs/installation (дата обращения: 06.05.2026). — Текст : электронный.</w:t>
      </w:r>
    </w:p>
    <w:p>
      <w:pPr>
        <w:numPr>
          <w:ilvl w:val="0"/>
          <w:numId w:val="1018"/>
        </w:numPr>
      </w:pPr>
      <w:r>
        <w:t xml:space="preserve">JavaParser. Library version 3.26 / The JavaParser Team. — URL: https://javaparser.org/inside-javaparser/ (дата обращения: 07.05.2026). — Текст : электронный.</w:t>
      </w:r>
    </w:p>
    <w:p>
      <w:pPr>
        <w:numPr>
          <w:ilvl w:val="0"/>
          <w:numId w:val="1018"/>
        </w:numPr>
      </w:pPr>
      <w:r>
        <w:t xml:space="preserve">Caffeine. A high performance caching library / B. Manes. — URL: https://github.com/ben-manes/caffeine (дата обращения: 07.05.2026). — Текст : электронный.</w:t>
      </w:r>
    </w:p>
    <w:p>
      <w:pPr>
        <w:numPr>
          <w:ilvl w:val="0"/>
          <w:numId w:val="1018"/>
        </w:numPr>
      </w:pPr>
      <w:r>
        <w:t xml:space="preserve">React 18 Documentation / Meta Platforms, Inc. — URL: https://react.dev/learn (дата обращения: 08.05.2026). — Текст : электронный.</w:t>
      </w:r>
    </w:p>
    <w:p>
      <w:pPr>
        <w:numPr>
          <w:ilvl w:val="0"/>
          <w:numId w:val="1018"/>
        </w:numPr>
      </w:pPr>
      <w:r>
        <w:t xml:space="preserve">Vite Guide. Version 5 / Evan You and contributors. — URL: https://vite.dev/guide/ (дата обращения: 08.05.2026). — Текст : электронный.</w:t>
      </w:r>
    </w:p>
    <w:p>
      <w:pPr>
        <w:numPr>
          <w:ilvl w:val="0"/>
          <w:numId w:val="1018"/>
        </w:numPr>
      </w:pPr>
      <w:r>
        <w:t xml:space="preserve">Material UI. Version 5 / MUI Team. — URL: https://mui.com/material-ui/getting-started/ (дата обращения: 09.05.2026). — Текст : электронный.</w:t>
      </w:r>
    </w:p>
    <w:p>
      <w:pPr>
        <w:numPr>
          <w:ilvl w:val="0"/>
          <w:numId w:val="1018"/>
        </w:numPr>
      </w:pPr>
      <w:r>
        <w:t xml:space="preserve">Monaco Editor Documentation / Microsoft Corporation. — URL: https://microsoft.github.io/monaco-editor/ (дата обращения: 09.05.2026). — Текст : электронный.</w:t>
      </w:r>
    </w:p>
    <w:p>
      <w:pPr>
        <w:numPr>
          <w:ilvl w:val="0"/>
          <w:numId w:val="1018"/>
        </w:numPr>
      </w:pPr>
      <w:r>
        <w:t xml:space="preserve">Flyway by Redgate. Documentation 10.20 / Redgate Software Ltd. — URL: https://documentation.red-gate.com/fd (дата обращения: 10.05.2026). — Текст : электронный.</w:t>
      </w:r>
    </w:p>
    <w:p>
      <w:pPr>
        <w:numPr>
          <w:ilvl w:val="0"/>
          <w:numId w:val="1018"/>
        </w:numPr>
      </w:pPr>
      <w:r>
        <w:t xml:space="preserve">Prometheus Documentation / Prometheus Authors. — URL: https://prometheus.io/docs/introduction/overview/ (дата обращения: 10.05.2026). — Текст : электронный.</w:t>
      </w:r>
    </w:p>
    <w:p>
      <w:pPr>
        <w:numPr>
          <w:ilvl w:val="0"/>
          <w:numId w:val="1018"/>
        </w:numPr>
      </w:pPr>
      <w:r>
        <w:t xml:space="preserve">Zheng L. Judging LLM-as-a-Judge with MT-Bench and Chatbot Arena / L. Zheng, W.-L. Chiang, Y. Sheng, S. Zhuang, Z. Wu, Y. Zhuang, Z. Lin, Z. Li, D. Li, E. P. Xing, H. Zhang, J. E. Gonzalez, I. Stoica // Advances in Neural Information Processing Systems. — 2023. — Vol. 36. — P. 46595–46623.</w:t>
      </w:r>
    </w:p>
    <w:p>
      <w:pPr>
        <w:numPr>
          <w:ilvl w:val="0"/>
          <w:numId w:val="1018"/>
        </w:numPr>
      </w:pPr>
      <w:r>
        <w:t xml:space="preserve">Liu Y. G-Eval: NLG Evaluation using GPT-4 with Better Human Alignment / Y. Liu, D. Iter, Y. Xu, S. Wang, R. Xu, C. Zhu // Proceedings of the 2023 Conference on Empirical Methods in Natural Language Processing (EMNLP 2023). — Singapore : Association for Computational Linguistics, 2023. — P. 2511–2522. — DOI: 10.18653/v1/2023.emnlp-main.153.</w:t>
      </w:r>
    </w:p>
    <w:p>
      <w:pPr>
        <w:numPr>
          <w:ilvl w:val="0"/>
          <w:numId w:val="1018"/>
        </w:numPr>
      </w:pPr>
      <w:r>
        <w:t xml:space="preserve">Romano J. Appropriate statistics for ordinal level data: Should we really be using t-test and Cohen’s d for evaluating group differences on the NSSE and other surveys? / J. Romano, J. D. Kromrey, J. Coraggio, J. Skowronek // Annual Conference of the Florida Association of Institutional Research. — 2006. — P. 1–33.</w:t>
      </w:r>
    </w:p>
    <w:p>
      <w:pPr>
        <w:numPr>
          <w:ilvl w:val="0"/>
          <w:numId w:val="1018"/>
        </w:numPr>
      </w:pPr>
      <w:r>
        <w:t xml:space="preserve">Wilson E. B. Probable inference, the law of succession, and statistical inference / E. B. Wilson // Journal of the American Statistical Association. — 1927. — Vol. 22, № 158. — P. 209–212. — DOI: 10.1080/01621459.1927.10502953.</w:t>
      </w:r>
    </w:p>
    <w:bookmarkEnd w:id="207"/>
    <w:bookmarkStart w:id="208" w:name="книги-и-монографии"/>
    <w:p>
      <w:pPr>
        <w:pStyle w:val="Heading2"/>
      </w:pPr>
      <w:r>
        <w:t xml:space="preserve">Книги и монографии</w:t>
      </w:r>
    </w:p>
    <w:p>
      <w:pPr>
        <w:numPr>
          <w:ilvl w:val="0"/>
          <w:numId w:val="1019"/>
        </w:numPr>
      </w:pPr>
      <w:r>
        <w:t xml:space="preserve">Bloch J. Effective Java / J. Bloch. — 3rd ed. — Boston, MA : Addison-Wesley Professional, 2018. — 412 p. — ISBN 978-0-13-468599-1.</w:t>
      </w:r>
    </w:p>
    <w:p>
      <w:pPr>
        <w:numPr>
          <w:ilvl w:val="0"/>
          <w:numId w:val="1019"/>
        </w:numPr>
      </w:pPr>
      <w:r>
        <w:t xml:space="preserve">Martin R. C. Clean Architecture: A Craftsman’s Guide to Software Structure and Design / R. C. Martin. — Boston, MA : Prentice Hall, 2017. — 432 p. — ISBN 978-0-13-449416-6.</w:t>
      </w:r>
    </w:p>
    <w:p>
      <w:pPr>
        <w:numPr>
          <w:ilvl w:val="0"/>
          <w:numId w:val="1019"/>
        </w:numPr>
      </w:pPr>
      <w:r>
        <w:t xml:space="preserve">Fowler M. Patterns of Enterprise Application Architecture / M. Fowler. — Boston, MA : Addison-Wesley, 2002. — 533 p. — ISBN 978-0-321-12742-6.</w:t>
      </w:r>
    </w:p>
    <w:p>
      <w:pPr>
        <w:numPr>
          <w:ilvl w:val="0"/>
          <w:numId w:val="1019"/>
        </w:numPr>
      </w:pPr>
      <w:r>
        <w:t xml:space="preserve">Newman S. Building Microservices: Designing Fine-Grained Systems / S. Newman. — 2nd ed. — Sebastopol, CA : O’Reilly Media, 2021. — 612 p. — ISBN 978-1-492-03402-5.</w:t>
      </w:r>
    </w:p>
    <w:bookmarkEnd w:id="208"/>
    <w:bookmarkEnd w:id="209"/>
    <w:bookmarkStart w:id="212" w:name="приложение-а"/>
    <w:p>
      <w:pPr>
        <w:pStyle w:val="Heading1"/>
      </w:pPr>
      <w:r>
        <w:t xml:space="preserve">Приложение А</w:t>
      </w:r>
    </w:p>
    <w:bookmarkStart w:id="211" w:name="Xc33597ef670705b5c426467d10ebe6abc61d9a7"/>
    <w:p>
      <w:pPr>
        <w:pStyle w:val="Heading2"/>
      </w:pPr>
      <w:r>
        <w:t xml:space="preserve">Справка по ключевым классам программной реализации</w:t>
      </w:r>
    </w:p>
    <w:p>
      <w:pPr>
        <w:pStyle w:val="FirstParagraph"/>
      </w:pPr>
      <w:r>
        <w:t xml:space="preserve">В настоящем приложении приведена справочная таблица ключевых классов программной реализации с указанием модуля, файла исходного кода в репозитории проекта и краткого функционального назначения каждого класса. Полные тексты исходных файлов размещены в репозитории проекта по приведённым путям и при необходимости подлежат изучению со стороны рецензента непосредственно в репозитории. Существенные фрагменты кода приведены в соответствующих подразделах Главы 3 настоящей работы.</w:t>
      </w:r>
    </w:p>
    <w:bookmarkStart w:id="210" w:name="состав-приложения-а"/>
    <w:p>
      <w:pPr>
        <w:pStyle w:val="Heading3"/>
      </w:pPr>
      <w:r>
        <w:t xml:space="preserve">Состав приложения А</w:t>
      </w:r>
    </w:p>
    <w:tbl>
      <w:tblPr>
        <w:tblStyle w:val="Table"/>
        <w:tblW w:type="pct" w:w="5000"/>
        <w:tblLayout w:type="fixed"/>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watchdog-таймером, сбором пикового потребления памяти и разрешением вердикта исполнения. Реализует контрмеры класса нарушителя N₁ из подраздела 2.6.1.</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 клиентом модели GigaChat с построением и валидацией ответа, применением verdict-guard’ов и откатом на резервный rule-based анализатор при недоступности модели.</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системного и пользовательского промпта (</w:t>
            </w:r>
            <w:r>
              <w:rPr>
                <w:rStyle w:val="VerbatimChar"/>
              </w:rPr>
              <w:t xml:space="preserve">userPromptFull</w:t>
            </w:r>
            <w:r>
              <w:t xml:space="preserve">), включая sentinel-маркеры обрамления кода и блок встраиваемых AST-фактов. Соответствует уровням 1–2 семиуровневой защиты от инъекций (см. подраздел 2.6.1, класс N₂).</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абстрактного синтаксического дерева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 при сбое парсера.</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программирования:</w:t>
            </w:r>
            <w:r>
              <w:t xml:space="preserve"> </w:t>
            </w:r>
            <w:r>
              <w:rPr>
                <w:rStyle w:val="VerbatimChar"/>
              </w:rPr>
              <w:t xml:space="preserve">JavaParser</w:t>
            </w:r>
            <w:r>
              <w:t xml:space="preserve"> </w:t>
            </w:r>
            <w:r>
              <w:t xml:space="preserve">для Java, регулярно-выражательный анализатор для Python; безопасная обёртка над парсингом, изолирующая исключения парсеров.</w:t>
            </w:r>
          </w:p>
        </w:tc>
      </w:tr>
      <w:tr>
        <w:tc>
          <w:tcPr/>
          <w:p>
            <w:pPr>
              <w:pStyle w:val="Compact"/>
            </w:pPr>
            <w:r>
              <w:t xml:space="preserve">А.6</w:t>
            </w:r>
          </w:p>
        </w:tc>
        <w:tc>
          <w:tcPr/>
          <w:p>
            <w:pPr>
              <w:pStyle w:val="Compact"/>
            </w:pPr>
            <w:r>
              <w:rPr>
                <w:rStyle w:val="VerbatimChar"/>
              </w:rPr>
              <w:t xml:space="preserve">ai-analyzer/src/main/kotlin/ru/aianalyzer/input/InputSanitizer.kt</w:t>
            </w:r>
          </w:p>
        </w:tc>
        <w:tc>
          <w:tcPr/>
          <w:p>
            <w:pPr>
              <w:pStyle w:val="Compact"/>
            </w:pPr>
            <w:r>
              <w:t xml:space="preserve">ai-analyzer</w:t>
            </w:r>
          </w:p>
        </w:tc>
        <w:tc>
          <w:tcPr/>
          <w:p>
            <w:pPr>
              <w:pStyle w:val="Compact"/>
            </w:pPr>
            <w:r>
              <w:t xml:space="preserve">Нормализация Unicode по форме NFKC, удаление управляющих, двунаправленных и пустых символов, ограничение длины входа, нормализация тона ответа. Покрывает уровни 2, 3, 6 семиуровневой защиты.</w:t>
            </w:r>
          </w:p>
        </w:tc>
      </w:tr>
      <w:tr>
        <w:tc>
          <w:tcPr/>
          <w:p>
            <w:pPr>
              <w:pStyle w:val="Compact"/>
            </w:pPr>
            <w:r>
              <w:t xml:space="preserve">А.7</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пары access- и refresh-токенов с раздельным временем жизни. Реализует контрмеры класса нарушителя N₃.</w:t>
            </w:r>
          </w:p>
        </w:tc>
      </w:tr>
      <w:tr>
        <w:tc>
          <w:tcPr/>
          <w:p>
            <w:pPr>
              <w:pStyle w:val="Compact"/>
            </w:pPr>
            <w:r>
              <w:t xml:space="preserve">А.8</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w:t>
            </w:r>
            <w:r>
              <w:t xml:space="preserve"> </w:t>
            </w:r>
            <w:r>
              <w:rPr>
                <w:rStyle w:val="VerbatimChar"/>
              </w:rPr>
              <w:t xml:space="preserve">STUDENT</w:t>
            </w:r>
            <w:r>
              <w:t xml:space="preserve">/</w:t>
            </w:r>
            <w:r>
              <w:rPr>
                <w:rStyle w:val="VerbatimChar"/>
              </w:rPr>
              <w:t xml:space="preserve">TEACHER</w:t>
            </w:r>
            <w:r>
              <w:t xml:space="preserve">, ограничительная CORS-политика, цепочка фильтров с приоритетным</w:t>
            </w:r>
            <w:r>
              <w:t xml:space="preserve"> </w:t>
            </w:r>
            <w:r>
              <w:rPr>
                <w:rStyle w:val="VerbatimChar"/>
              </w:rPr>
              <w:t xml:space="preserve">JwtAuthenticationFilter</w:t>
            </w:r>
            <w:r>
              <w:t xml:space="preserve">.</w:t>
            </w:r>
          </w:p>
        </w:tc>
      </w:tr>
      <w:tr>
        <w:tc>
          <w:tcPr/>
          <w:p>
            <w:pPr>
              <w:pStyle w:val="Compact"/>
            </w:pPr>
            <w:r>
              <w:t xml:space="preserve">А.9</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тестовых случаев в модуле sandbox, агрегация результатов, формирование контекста анализа</w:t>
            </w:r>
            <w:r>
              <w:t xml:space="preserve"> </w:t>
            </w:r>
            <w:r>
              <w:rPr>
                <w:rStyle w:val="VerbatimChar"/>
              </w:rPr>
              <w:t xml:space="preserve">AnalyzeContext</w:t>
            </w:r>
            <w:r>
              <w:t xml:space="preserve"> </w:t>
            </w:r>
            <w:r>
              <w:t xml:space="preserve">и передача его модулю</w:t>
            </w:r>
            <w:r>
              <w:t xml:space="preserve"> </w:t>
            </w:r>
            <w:r>
              <w:rPr>
                <w:rStyle w:val="VerbatimChar"/>
              </w:rPr>
              <w:t xml:space="preserve">ai-analyzer</w:t>
            </w:r>
            <w:r>
              <w:t xml:space="preserve">. Соответствует функциям</w:t>
            </w:r>
            <w:r>
              <w:t xml:space="preserve"> </w:t>
            </w:r>
            <m:oMath>
              <m:r>
                <m:rPr>
                  <m:nor/>
                  <m:sty m:val="p"/>
                </m:rPr>
                <m:t>Sandbox</m:t>
              </m:r>
            </m:oMath>
            <w:r>
              <w:t xml:space="preserve"> </w:t>
            </w:r>
            <w:r>
              <w:t xml:space="preserve">и</w:t>
            </w:r>
            <w:r>
              <w:t xml:space="preserve"> </w:t>
            </w:r>
            <m:oMath>
              <m:r>
                <m:rPr>
                  <m:nor/>
                  <m:sty m:val="p"/>
                </m:rPr>
                <m:t>Llm</m:t>
              </m:r>
            </m:oMath>
            <w:r>
              <w:t xml:space="preserve"> </w:t>
            </w:r>
            <w:r>
              <w:t xml:space="preserve">формальной модели пайплайна (см. подраздел 2.5.1).</w:t>
            </w:r>
          </w:p>
        </w:tc>
      </w:tr>
      <w:tr>
        <w:tc>
          <w:tcPr/>
          <w:p>
            <w:pPr>
              <w:pStyle w:val="Compact"/>
            </w:pPr>
            <w:r>
              <w:t xml:space="preserve">А.10</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w:t>
            </w:r>
            <w:r>
              <w:t xml:space="preserve">с валидацией структуры, проверкой обязательных полей, корректности типа сложности и синтаксической правильности JSON-выражения тестовых случаев. Обеспечивает функциональность импорта задач (см. раздел 4.3 настоящей работы).</w:t>
            </w:r>
          </w:p>
        </w:tc>
      </w:tr>
    </w:tbl>
    <w:p>
      <w:pPr>
        <w:pStyle w:val="BodyText"/>
      </w:pPr>
      <w:r>
        <w:t xml:space="preserve">Указанные десять классов охватывают основные содержательные элементы реализации, отнесённые автором настоящей работы к ядру программной разработки. Прочие классы прикладного и инфраструктурного характера (контроллеры REST, репозитории JPA, конфигурационные компоненты, обработчики ошибок) реализованы по стандартным шаблонам экосистемы Spring Boot и не несут самостоятельной научной нагрузки; их описание не вынесено в настоящее приложение, и они доступны в репозитории проекта.</w:t>
      </w:r>
    </w:p>
    <w:bookmarkEnd w:id="210"/>
    <w:bookmarkEnd w:id="211"/>
    <w:bookmarkEnd w:id="212"/>
    <w:bookmarkStart w:id="244" w:name="приложение-б"/>
    <w:p>
      <w:pPr>
        <w:pStyle w:val="Heading1"/>
      </w:pPr>
      <w:r>
        <w:t xml:space="preserve">Приложение Б</w:t>
      </w:r>
    </w:p>
    <w:bookmarkStart w:id="243"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fixed"/>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CaptionedFigure"/>
      </w:pPr>
      <w:r>
        <w:drawing>
          <wp:inline>
            <wp:extent cx="5930900" cy="4170164"/>
            <wp:effectExtent b="0" l="0" r="0" t="0"/>
            <wp:docPr descr="Рисунок Б.1 — Страница входа в систему" title="" id="213" name="Picture"/>
            <a:graphic>
              <a:graphicData uri="http://schemas.openxmlformats.org/drawingml/2006/picture">
                <pic:pic>
                  <pic:nvPicPr>
                    <pic:cNvPr descr="../figures/screenshots/01_login.png" id="214" name="Picture"/>
                    <pic:cNvPicPr>
                      <a:picLocks noChangeArrowheads="1" noChangeAspect="1"/>
                    </pic:cNvPicPr>
                  </pic:nvPicPr>
                  <pic:blipFill>
                    <a:blip r:embed="rId116"/>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Б.1 — Страница входа в систему</w:t>
      </w:r>
    </w:p>
    <w:p>
      <w:pPr>
        <w:pStyle w:val="BodyText"/>
      </w:pPr>
      <w:r>
        <w:t xml:space="preserve">Рисунок Б.1 — Страница входа в систему</w:t>
      </w:r>
    </w:p>
    <w:p>
      <w:pPr>
        <w:pStyle w:val="CaptionedFigure"/>
      </w:pPr>
      <w:r>
        <w:drawing>
          <wp:inline>
            <wp:extent cx="5930900" cy="4170164"/>
            <wp:effectExtent b="0" l="0" r="0" t="0"/>
            <wp:docPr descr="Рисунок Б.2 — Страница регистрации нового пользователя" title="" id="215" name="Picture"/>
            <a:graphic>
              <a:graphicData uri="http://schemas.openxmlformats.org/drawingml/2006/picture">
                <pic:pic>
                  <pic:nvPicPr>
                    <pic:cNvPr descr="../figures/screenshots/02_register.png" id="216" name="Picture"/>
                    <pic:cNvPicPr>
                      <a:picLocks noChangeArrowheads="1" noChangeAspect="1"/>
                    </pic:cNvPicPr>
                  </pic:nvPicPr>
                  <pic:blipFill>
                    <a:blip r:embed="rId119"/>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Б.2 — Страница регистрации нового пользователя</w:t>
      </w:r>
    </w:p>
    <w:p>
      <w:pPr>
        <w:pStyle w:val="BodyText"/>
      </w:pPr>
      <w:r>
        <w:t xml:space="preserve">Рисунок Б.2 — Страница регистрации нового пользователя</w:t>
      </w:r>
    </w:p>
    <w:p>
      <w:pPr>
        <w:pStyle w:val="CaptionedFigure"/>
      </w:pPr>
      <w:r>
        <w:drawing>
          <wp:inline>
            <wp:extent cx="5930900" cy="4170164"/>
            <wp:effectExtent b="0" l="0" r="0" t="0"/>
            <wp:docPr descr="Рисунок Б.3 — Каталог задач с фильтрами по сложности и тематике" title="" id="217" name="Picture"/>
            <a:graphic>
              <a:graphicData uri="http://schemas.openxmlformats.org/drawingml/2006/picture">
                <pic:pic>
                  <pic:nvPicPr>
                    <pic:cNvPr descr="../figures/screenshots/03_tasks.png" id="218" name="Picture"/>
                    <pic:cNvPicPr>
                      <a:picLocks noChangeArrowheads="1" noChangeAspect="1"/>
                    </pic:cNvPicPr>
                  </pic:nvPicPr>
                  <pic:blipFill>
                    <a:blip r:embed="rId123"/>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Б.3 — Каталог задач с фильтрами по сложности и тематике</w:t>
      </w:r>
    </w:p>
    <w:p>
      <w:pPr>
        <w:pStyle w:val="BodyText"/>
      </w:pPr>
      <w:r>
        <w:t xml:space="preserve">Рисунок Б.3 — Каталог задач с фильтрами по сложности и тематике</w:t>
      </w:r>
    </w:p>
    <w:p>
      <w:pPr>
        <w:pStyle w:val="CaptionedFigure"/>
      </w:pPr>
      <w:r>
        <w:drawing>
          <wp:inline>
            <wp:extent cx="5930900" cy="4170164"/>
            <wp:effectExtent b="0" l="0" r="0" t="0"/>
            <wp:docPr descr="Рисунок Б.4 — Описание задачи «Valid Parentheses»" title="" id="219" name="Picture"/>
            <a:graphic>
              <a:graphicData uri="http://schemas.openxmlformats.org/drawingml/2006/picture">
                <pic:pic>
                  <pic:nvPicPr>
                    <pic:cNvPr descr="../figures/screenshots/04_task_detail.png" id="220" name="Picture"/>
                    <pic:cNvPicPr>
                      <a:picLocks noChangeArrowheads="1" noChangeAspect="1"/>
                    </pic:cNvPicPr>
                  </pic:nvPicPr>
                  <pic:blipFill>
                    <a:blip r:embed="rId127"/>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Б.4 — Описание задачи «Valid Parentheses»</w:t>
      </w:r>
    </w:p>
    <w:p>
      <w:pPr>
        <w:pStyle w:val="BodyText"/>
      </w:pPr>
      <w:r>
        <w:t xml:space="preserve">Рисунок Б.4 — Описание задачи «Valid Parentheses»</w:t>
      </w:r>
    </w:p>
    <w:p>
      <w:pPr>
        <w:pStyle w:val="CaptionedFigure"/>
      </w:pPr>
      <w:r>
        <w:drawing>
          <wp:inline>
            <wp:extent cx="5930900" cy="4170164"/>
            <wp:effectExtent b="0" l="0" r="0" t="0"/>
            <wp:docPr descr="Рисунок Б.5 — Редактор Monaco с пользовательским решением на Python" title="" id="221" name="Picture"/>
            <a:graphic>
              <a:graphicData uri="http://schemas.openxmlformats.org/drawingml/2006/picture">
                <pic:pic>
                  <pic:nvPicPr>
                    <pic:cNvPr descr="../figures/screenshots/05_editor.png" id="222" name="Picture"/>
                    <pic:cNvPicPr>
                      <a:picLocks noChangeArrowheads="1" noChangeAspect="1"/>
                    </pic:cNvPicPr>
                  </pic:nvPicPr>
                  <pic:blipFill>
                    <a:blip r:embed="rId131"/>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Б.5 — Редактор Monaco с пользовательским решением на Python</w:t>
      </w:r>
    </w:p>
    <w:p>
      <w:pPr>
        <w:pStyle w:val="BodyText"/>
      </w:pPr>
      <w:r>
        <w:t xml:space="preserve">Рисунок Б.5 — Редактор Monaco с пользовательским решением на Python</w:t>
      </w:r>
    </w:p>
    <w:p>
      <w:pPr>
        <w:pStyle w:val="CaptionedFigure"/>
      </w:pPr>
      <w:r>
        <w:drawing>
          <wp:inline>
            <wp:extent cx="5930900" cy="4170164"/>
            <wp:effectExtent b="0" l="0" r="0" t="0"/>
            <wp:docPr descr="Рисунок Б.6 — Индикатор статуса submission в режиме polling" title="" id="223" name="Picture"/>
            <a:graphic>
              <a:graphicData uri="http://schemas.openxmlformats.org/drawingml/2006/picture">
                <pic:pic>
                  <pic:nvPicPr>
                    <pic:cNvPr descr="../figures/screenshots/06_polling.png" id="224" name="Picture"/>
                    <pic:cNvPicPr>
                      <a:picLocks noChangeArrowheads="1" noChangeAspect="1"/>
                    </pic:cNvPicPr>
                  </pic:nvPicPr>
                  <pic:blipFill>
                    <a:blip r:embed="rId135"/>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Б.6 — Индикатор статуса submission в режиме polling</w:t>
      </w:r>
    </w:p>
    <w:p>
      <w:pPr>
        <w:pStyle w:val="BodyText"/>
      </w:pPr>
      <w:r>
        <w:t xml:space="preserve">Рисунок Б.6 — Индикатор статуса submission в режиме polling</w:t>
      </w:r>
    </w:p>
    <w:p>
      <w:pPr>
        <w:pStyle w:val="CaptionedFigure"/>
      </w:pPr>
      <w:r>
        <w:drawing>
          <wp:inline>
            <wp:extent cx="5930900" cy="5435113"/>
            <wp:effectExtent b="0" l="0" r="0" t="0"/>
            <wp:docPr descr="Рисунок Б.7 — Финальный экран результатов с разбором AI-анализатора" title="" id="225" name="Picture"/>
            <a:graphic>
              <a:graphicData uri="http://schemas.openxmlformats.org/drawingml/2006/picture">
                <pic:pic>
                  <pic:nvPicPr>
                    <pic:cNvPr descr="../figures/screenshots/07_results.png" id="226" name="Picture"/>
                    <pic:cNvPicPr>
                      <a:picLocks noChangeArrowheads="1" noChangeAspect="1"/>
                    </pic:cNvPicPr>
                  </pic:nvPicPr>
                  <pic:blipFill>
                    <a:blip r:embed="rId139"/>
                    <a:stretch>
                      <a:fillRect/>
                    </a:stretch>
                  </pic:blipFill>
                  <pic:spPr bwMode="auto">
                    <a:xfrm>
                      <a:off x="0" y="0"/>
                      <a:ext cx="5930900" cy="5435113"/>
                    </a:xfrm>
                    <a:prstGeom prst="rect">
                      <a:avLst/>
                    </a:prstGeom>
                    <a:noFill/>
                    <a:ln w="9525">
                      <a:noFill/>
                      <a:headEnd/>
                      <a:tailEnd/>
                    </a:ln>
                  </pic:spPr>
                </pic:pic>
              </a:graphicData>
            </a:graphic>
          </wp:inline>
        </w:drawing>
      </w:r>
    </w:p>
    <w:p>
      <w:pPr>
        <w:pStyle w:val="ImageCaption"/>
      </w:pPr>
      <w:r>
        <w:t xml:space="preserve">Рисунок Б.7 — Финальный экран результатов с разбором AI-анализатора</w:t>
      </w:r>
    </w:p>
    <w:p>
      <w:pPr>
        <w:pStyle w:val="BodyText"/>
      </w:pPr>
      <w:r>
        <w:t xml:space="preserve">Рисунок Б.7 — Финальный экран результатов с разбором AI-анализатора</w:t>
      </w:r>
    </w:p>
    <w:p>
      <w:pPr>
        <w:pStyle w:val="CaptionedFigure"/>
      </w:pPr>
      <w:r>
        <w:drawing>
          <wp:inline>
            <wp:extent cx="5930900" cy="4170164"/>
            <wp:effectExtent b="0" l="0" r="0" t="0"/>
            <wp:docPr descr="Рисунок Б.8 — Страница «Мои решения»" title="" id="227" name="Picture"/>
            <a:graphic>
              <a:graphicData uri="http://schemas.openxmlformats.org/drawingml/2006/picture">
                <pic:pic>
                  <pic:nvPicPr>
                    <pic:cNvPr descr="../figures/screenshots/08_submissions.png" id="228" name="Picture"/>
                    <pic:cNvPicPr>
                      <a:picLocks noChangeArrowheads="1" noChangeAspect="1"/>
                    </pic:cNvPicPr>
                  </pic:nvPicPr>
                  <pic:blipFill>
                    <a:blip r:embed="rId143"/>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Б.8 — Страница «Мои решения»</w:t>
      </w:r>
    </w:p>
    <w:p>
      <w:pPr>
        <w:pStyle w:val="BodyText"/>
      </w:pPr>
      <w:r>
        <w:t xml:space="preserve">Рисунок Б.8 — Страница «Мои решения»</w:t>
      </w:r>
    </w:p>
    <w:p>
      <w:pPr>
        <w:pStyle w:val="CaptionedFigure"/>
      </w:pPr>
      <w:r>
        <w:drawing>
          <wp:inline>
            <wp:extent cx="5930900" cy="4170164"/>
            <wp:effectExtent b="0" l="0" r="0" t="0"/>
            <wp:docPr descr="Рисунок Б.9 — Страница импорта задач из CSV (роль TEACHER)" title="" id="229" name="Picture"/>
            <a:graphic>
              <a:graphicData uri="http://schemas.openxmlformats.org/drawingml/2006/picture">
                <pic:pic>
                  <pic:nvPicPr>
                    <pic:cNvPr descr="../figures/screenshots/09_admin_import.png" id="230" name="Picture"/>
                    <pic:cNvPicPr>
                      <a:picLocks noChangeArrowheads="1" noChangeAspect="1"/>
                    </pic:cNvPicPr>
                  </pic:nvPicPr>
                  <pic:blipFill>
                    <a:blip r:embed="rId148"/>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Б.9 — Страница импорта задач из CSV (роль TEACHER)</w:t>
      </w:r>
    </w:p>
    <w:p>
      <w:pPr>
        <w:pStyle w:val="BodyText"/>
      </w:pPr>
      <w:r>
        <w:t xml:space="preserve">Рисунок Б.9 — Страница импорта задач из CSV (роль TEACHER)</w:t>
      </w:r>
    </w:p>
    <w:p>
      <w:pPr>
        <w:pStyle w:val="CaptionedFigure"/>
      </w:pPr>
      <w:r>
        <w:drawing>
          <wp:inline>
            <wp:extent cx="5930900" cy="4170164"/>
            <wp:effectExtent b="0" l="0" r="0" t="0"/>
            <wp:docPr descr="Рисунок Б.10 — Дашборд SLO/SLA в Grafana" title="" id="231" name="Picture"/>
            <a:graphic>
              <a:graphicData uri="http://schemas.openxmlformats.org/drawingml/2006/picture">
                <pic:pic>
                  <pic:nvPicPr>
                    <pic:cNvPr descr="../figures/screenshots/10_grafana_slo.png" id="232" name="Picture"/>
                    <pic:cNvPicPr>
                      <a:picLocks noChangeArrowheads="1" noChangeAspect="1"/>
                    </pic:cNvPicPr>
                  </pic:nvPicPr>
                  <pic:blipFill>
                    <a:blip r:embed="rId152"/>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Б.10 — Дашборд SLO/SLA в Grafana</w:t>
      </w:r>
    </w:p>
    <w:p>
      <w:pPr>
        <w:pStyle w:val="BodyText"/>
      </w:pPr>
      <w:r>
        <w:t xml:space="preserve">Рисунок Б.10 — Дашборд SLO/SLA в Grafana</w:t>
      </w:r>
    </w:p>
    <w:p>
      <w:pPr>
        <w:pStyle w:val="CaptionedFigure"/>
      </w:pPr>
      <w:r>
        <w:drawing>
          <wp:inline>
            <wp:extent cx="5930900" cy="4170164"/>
            <wp:effectExtent b="0" l="0" r="0" t="0"/>
            <wp:docPr descr="Рисунок Б.11 — Дашборд JVM (heap, GC, threads, classloader, CPU)" title="" id="233" name="Picture"/>
            <a:graphic>
              <a:graphicData uri="http://schemas.openxmlformats.org/drawingml/2006/picture">
                <pic:pic>
                  <pic:nvPicPr>
                    <pic:cNvPr descr="../figures/screenshots/11_grafana_jvm.png" id="234" name="Picture"/>
                    <pic:cNvPicPr>
                      <a:picLocks noChangeArrowheads="1" noChangeAspect="1"/>
                    </pic:cNvPicPr>
                  </pic:nvPicPr>
                  <pic:blipFill>
                    <a:blip r:embed="rId156"/>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Б.11 — Дашборд JVM (heap, GC, threads, classloader, CPU)</w:t>
      </w:r>
    </w:p>
    <w:p>
      <w:pPr>
        <w:pStyle w:val="BodyText"/>
      </w:pPr>
      <w:r>
        <w:t xml:space="preserve">Рисунок Б.11 — Дашборд JVM (heap, GC, threads, classloader, CPU)</w:t>
      </w:r>
    </w:p>
    <w:p>
      <w:pPr>
        <w:pStyle w:val="CaptionedFigure"/>
      </w:pPr>
      <w:r>
        <w:drawing>
          <wp:inline>
            <wp:extent cx="5930900" cy="4170164"/>
            <wp:effectExtent b="0" l="0" r="0" t="0"/>
            <wp:docPr descr="Рисунок Б.12 — Дашборд Kafka (consumer lag, throughput, partitions)" title="" id="235" name="Picture"/>
            <a:graphic>
              <a:graphicData uri="http://schemas.openxmlformats.org/drawingml/2006/picture">
                <pic:pic>
                  <pic:nvPicPr>
                    <pic:cNvPr descr="../figures/screenshots/12_grafana_kafka.png" id="236" name="Picture"/>
                    <pic:cNvPicPr>
                      <a:picLocks noChangeArrowheads="1" noChangeAspect="1"/>
                    </pic:cNvPicPr>
                  </pic:nvPicPr>
                  <pic:blipFill>
                    <a:blip r:embed="rId160"/>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Б.12 — Дашборд Kafka (consumer lag, throughput, partitions)</w:t>
      </w:r>
    </w:p>
    <w:p>
      <w:pPr>
        <w:pStyle w:val="BodyText"/>
      </w:pPr>
      <w:r>
        <w:t xml:space="preserve">Рисунок Б.12 — Дашборд Kafka (consumer lag, throughput, partitions)</w:t>
      </w:r>
    </w:p>
    <w:p>
      <w:pPr>
        <w:pStyle w:val="CaptionedFigure"/>
      </w:pPr>
      <w:r>
        <w:drawing>
          <wp:inline>
            <wp:extent cx="5930900" cy="4170164"/>
            <wp:effectExtent b="0" l="0" r="0" t="0"/>
            <wp:docPr descr="Рисунок Б.13 — Дашборд PostgreSQL (connections, transactions, cache, locks)" title="" id="237" name="Picture"/>
            <a:graphic>
              <a:graphicData uri="http://schemas.openxmlformats.org/drawingml/2006/picture">
                <pic:pic>
                  <pic:nvPicPr>
                    <pic:cNvPr descr="../figures/screenshots/13_grafana_postgres.png" id="238" name="Picture"/>
                    <pic:cNvPicPr>
                      <a:picLocks noChangeArrowheads="1" noChangeAspect="1"/>
                    </pic:cNvPicPr>
                  </pic:nvPicPr>
                  <pic:blipFill>
                    <a:blip r:embed="rId164"/>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Б.13 — Дашборд PostgreSQL (connections, transactions, cache, locks)</w:t>
      </w:r>
    </w:p>
    <w:p>
      <w:pPr>
        <w:pStyle w:val="BodyText"/>
      </w:pPr>
      <w:r>
        <w:t xml:space="preserve">Рисунок Б.13 — Дашборд PostgreSQL (connections, transactions, cache, locks)</w:t>
      </w:r>
    </w:p>
    <w:p>
      <w:pPr>
        <w:pStyle w:val="CaptionedFigure"/>
      </w:pPr>
      <w:r>
        <w:drawing>
          <wp:inline>
            <wp:extent cx="5930900" cy="4170164"/>
            <wp:effectExtent b="0" l="0" r="0" t="0"/>
            <wp:docPr descr="Рисунок Б.14 — Дашборд Sandbox (p95 по языкам, verdict distribution, OOM-rate)" title="" id="239" name="Picture"/>
            <a:graphic>
              <a:graphicData uri="http://schemas.openxmlformats.org/drawingml/2006/picture">
                <pic:pic>
                  <pic:nvPicPr>
                    <pic:cNvPr descr="../figures/screenshots/14_grafana_sandbox.png" id="240" name="Picture"/>
                    <pic:cNvPicPr>
                      <a:picLocks noChangeArrowheads="1" noChangeAspect="1"/>
                    </pic:cNvPicPr>
                  </pic:nvPicPr>
                  <pic:blipFill>
                    <a:blip r:embed="rId168"/>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Б.14 — Дашборд Sandbox (p95 по языкам, verdict distribution, OOM-rate)</w:t>
      </w:r>
    </w:p>
    <w:p>
      <w:pPr>
        <w:pStyle w:val="BodyText"/>
      </w:pPr>
      <w:r>
        <w:t xml:space="preserve">Рисунок Б.14 — Дашборд Sandbox (p95 по языкам, verdict distribution, OOM-rate)</w:t>
      </w:r>
    </w:p>
    <w:p>
      <w:pPr>
        <w:pStyle w:val="CaptionedFigure"/>
      </w:pPr>
      <w:r>
        <w:drawing>
          <wp:inline>
            <wp:extent cx="5930900" cy="4170164"/>
            <wp:effectExtent b="0" l="0" r="0" t="0"/>
            <wp:docPr descr="Рисунок Б.15 — Дашборд AI Analyzer (calls by variant/outcome, fallback rate, schema validation)" title="" id="241" name="Picture"/>
            <a:graphic>
              <a:graphicData uri="http://schemas.openxmlformats.org/drawingml/2006/picture">
                <pic:pic>
                  <pic:nvPicPr>
                    <pic:cNvPr descr="../figures/screenshots/15_grafana_ai.png" id="242" name="Picture"/>
                    <pic:cNvPicPr>
                      <a:picLocks noChangeArrowheads="1" noChangeAspect="1"/>
                    </pic:cNvPicPr>
                  </pic:nvPicPr>
                  <pic:blipFill>
                    <a:blip r:embed="rId172"/>
                    <a:stretch>
                      <a:fillRect/>
                    </a:stretch>
                  </pic:blipFill>
                  <pic:spPr bwMode="auto">
                    <a:xfrm>
                      <a:off x="0" y="0"/>
                      <a:ext cx="5930900" cy="4170164"/>
                    </a:xfrm>
                    <a:prstGeom prst="rect">
                      <a:avLst/>
                    </a:prstGeom>
                    <a:noFill/>
                    <a:ln w="9525">
                      <a:noFill/>
                      <a:headEnd/>
                      <a:tailEnd/>
                    </a:ln>
                  </pic:spPr>
                </pic:pic>
              </a:graphicData>
            </a:graphic>
          </wp:inline>
        </w:drawing>
      </w:r>
    </w:p>
    <w:p>
      <w:pPr>
        <w:pStyle w:val="ImageCaption"/>
      </w:pPr>
      <w:r>
        <w:t xml:space="preserve">Рисунок Б.15 — Дашборд AI Analyzer (calls by variant/outcome, fallback rate, schema validation)</w:t>
      </w:r>
    </w:p>
    <w:p>
      <w:pPr>
        <w:pStyle w:val="BodyText"/>
      </w:pPr>
      <w:r>
        <w:t xml:space="preserve">Рисунок Б.15 — Дашборд AI Analyzer (calls by variant/outcome, fallback rate, schema validation)</w:t>
      </w:r>
    </w:p>
    <w:bookmarkEnd w:id="243"/>
    <w:bookmarkEnd w:id="244"/>
    <w:bookmarkStart w:id="246" w:name="приложение-в"/>
    <w:p>
      <w:pPr>
        <w:pStyle w:val="Heading1"/>
      </w:pPr>
      <w:r>
        <w:t xml:space="preserve">Приложение В</w:t>
      </w:r>
    </w:p>
    <w:bookmarkStart w:id="245"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bookmarkEnd w:id="245"/>
    <w:bookmarkEnd w:id="246"/>
    <w:bookmarkStart w:id="253" w:name="приложение-г"/>
    <w:p>
      <w:pPr>
        <w:pStyle w:val="Heading1"/>
      </w:pPr>
      <w:r>
        <w:t xml:space="preserve">Приложение Г</w:t>
      </w:r>
    </w:p>
    <w:bookmarkStart w:id="252" w:name="Xdeabe5e848a248536e2d4b021ebaa6bcd42e052"/>
    <w:p>
      <w:pPr>
        <w:pStyle w:val="Heading2"/>
      </w:pPr>
      <w:r>
        <w:t xml:space="preserve">Сводные таблицы метрик пред-регистрированного конфирматорного эксперимента</w:t>
      </w:r>
    </w:p>
    <w:p>
      <w:pPr>
        <w:pStyle w:val="FirstParagraph"/>
      </w:pPr>
      <w:r>
        <w:t xml:space="preserve">В настоящем приложении приведены агрегированные таблицы метрик, полученных в ходе пред-регистрированного конфирматорного эксперимента, описанного в Главе 5. Общий объём наблюдений —</w:t>
      </w:r>
      <w:r>
        <w:t xml:space="preserve"> </w:t>
      </w:r>
      <w:r>
        <w:rPr>
          <w:b/>
          <w:bCs/>
        </w:rPr>
        <w:t xml:space="preserve">540</w:t>
      </w:r>
      <w:r>
        <w:t xml:space="preserve"> </w:t>
      </w:r>
      <w:r>
        <w:t xml:space="preserve">(3 варианта × 3 повтора × 60 элементов). Судья:</w:t>
      </w:r>
      <w:r>
        <w:t xml:space="preserve"> </w:t>
      </w:r>
      <w:r>
        <w:rPr>
          <w:rStyle w:val="VerbatimChar"/>
        </w:rPr>
        <w:t xml:space="preserve">claude-opus-4-7-via-agent-sdk</w:t>
      </w:r>
      <w:r>
        <w:t xml:space="preserve"> </w:t>
      </w:r>
      <w:r>
        <w:t xml:space="preserve">(cross-model).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47" w:name="X327abb92f0a075bdb860e2b32e79c18a5a02ae5"/>
    <w:p>
      <w:pPr>
        <w:pStyle w:val="Heading3"/>
      </w:pPr>
      <w:r>
        <w:t xml:space="preserve">Таблица Г.1 — Описательные статистики по вариантам анализатора</w:t>
      </w:r>
    </w:p>
    <w:tbl>
      <w:tblPr>
        <w:tblStyle w:val="Table"/>
        <w:tblW w:type="pct" w:w="5000"/>
        <w:tblLayout w:type="fixed"/>
        <w:tblLook w:firstRow="1" w:lastRow="0" w:firstColumn="0" w:lastColumn="0" w:noHBand="0" w:noVBand="0" w:val="0020"/>
      </w:tblPr>
      <w:tblGrid>
        <w:gridCol w:w="630"/>
        <w:gridCol w:w="280"/>
        <w:gridCol w:w="700"/>
        <w:gridCol w:w="2453"/>
        <w:gridCol w:w="2453"/>
        <w:gridCol w:w="1401"/>
      </w:tblGrid>
      <w:tr>
        <w:trPr>
          <w:tblHeader w:val="on"/>
        </w:trPr>
        <w:tc>
          <w:tcPr/>
          <w:p>
            <w:pPr>
              <w:pStyle w:val="Compact"/>
            </w:pPr>
            <w:r>
              <w:t xml:space="preserve">Вариант</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 median, мс</w:t>
            </w:r>
          </w:p>
        </w:tc>
      </w:tr>
      <w:tr>
        <w:tc>
          <w:tcPr/>
          <w:p>
            <w:pPr>
              <w:pStyle w:val="Compact"/>
            </w:pPr>
            <w:r>
              <w:t xml:space="preserve">B1 (ZERO_SHOT)</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 (FEW_SHOT)</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 (AST-HYBRID)</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pPr>
      <w:r>
        <w:t xml:space="preserve">Источник:</w:t>
      </w:r>
      <w:r>
        <w:t xml:space="preserve"> </w:t>
      </w:r>
      <w:r>
        <w:rPr>
          <w:rStyle w:val="VerbatimChar"/>
        </w:rPr>
        <w:t xml:space="preserve">experiment/results/analysis/RESULTS.md</w:t>
      </w:r>
      <w:r>
        <w:t xml:space="preserve">, таблица 5.1 настоящей работы. Latency-медиана измерена на стороне</w:t>
      </w:r>
      <w:r>
        <w:t xml:space="preserve"> </w:t>
      </w:r>
      <w:r>
        <w:rPr>
          <w:rStyle w:val="VerbatimChar"/>
        </w:rPr>
        <w:t xml:space="preserve">GigaChatAnalyzer.analyzeWithExtraContext</w:t>
      </w:r>
      <w:r>
        <w:t xml:space="preserve"> </w:t>
      </w:r>
      <w:r>
        <w:t xml:space="preserve">(включает кэш-miss и retry).</w:t>
      </w:r>
    </w:p>
    <w:bookmarkEnd w:id="247"/>
    <w:bookmarkStart w:id="248" w:name="таблица-г.2-сводка-по-гипотезам-h1-и-h2"/>
    <w:p>
      <w:pPr>
        <w:pStyle w:val="Heading3"/>
      </w:pPr>
      <w:r>
        <w:t xml:space="preserve">Таблица Г.2 — Сводка по гипотезам H1 и H2</w:t>
      </w:r>
    </w:p>
    <w:tbl>
      <w:tblPr>
        <w:tblStyle w:val="Table"/>
        <w:tblW w:type="pct" w:w="5000"/>
        <w:tblLayout w:type="fixed"/>
        <w:tblLook w:firstRow="1" w:lastRow="0" w:firstColumn="0" w:lastColumn="0" w:noHBand="0" w:noVBand="0" w:val="0020"/>
      </w:tblPr>
      <w:tblGrid>
        <w:gridCol w:w="1237"/>
        <w:gridCol w:w="990"/>
        <w:gridCol w:w="1113"/>
        <w:gridCol w:w="2103"/>
        <w:gridCol w:w="1361"/>
        <w:gridCol w:w="1113"/>
      </w:tblGrid>
      <w:tr>
        <w:trPr>
          <w:tblHeader w:val="on"/>
        </w:trPr>
        <w:tc>
          <w:tcPr/>
          <w:p>
            <w:pPr>
              <w:pStyle w:val="Compact"/>
            </w:pPr>
            <w:r>
              <w:t xml:space="preserve">Гипотеза</w:t>
            </w:r>
          </w:p>
        </w:tc>
        <w:tc>
          <w:tcPr/>
          <w:p>
            <w:pPr>
              <w:pStyle w:val="Compact"/>
            </w:pPr>
            <w:r>
              <w:t xml:space="preserve">Страта</w:t>
            </w:r>
          </w:p>
        </w:tc>
        <w:tc>
          <w:tcPr/>
          <w:p>
            <w:pPr>
              <w:pStyle w:val="Compact"/>
            </w:pPr>
            <w:r>
              <w:t xml:space="preserve">n_pairs</w:t>
            </w:r>
          </w:p>
        </w:tc>
        <w:tc>
          <w:tcPr/>
          <w:p>
            <w:pPr>
              <w:pStyle w:val="Compact"/>
            </w:pPr>
            <w:r>
              <w:t xml:space="preserve">Wilcoxon p_holm</w:t>
            </w:r>
          </w:p>
        </w:tc>
        <w:tc>
          <w:tcPr/>
          <w:p>
            <w:pPr>
              <w:pStyle w:val="Compact"/>
            </w:pPr>
            <w:r>
              <w:t xml:space="preserve">Cliff’s δ</w:t>
            </w:r>
          </w:p>
        </w:tc>
        <w:tc>
          <w:tcPr/>
          <w:p>
            <w:pPr>
              <w:pStyle w:val="Compact"/>
            </w:pPr>
            <w:r>
              <w:t xml:space="preserve">Решение</w:t>
            </w:r>
          </w:p>
        </w:tc>
      </w:tr>
      <w:tr>
        <w:tc>
          <w:tcPr/>
          <w:p>
            <w:pPr>
              <w:pStyle w:val="Compact"/>
            </w:pPr>
            <w:r>
              <w:t xml:space="preserve">H1: B2 &gt; B1 по expl_quality</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B1f &gt; B1</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B2 &gt; B1 по expl_quality</w:t>
            </w:r>
          </w:p>
        </w:tc>
        <w:tc>
          <w:tcPr/>
          <w:p>
            <w:pPr>
              <w:pStyle w:val="Compact"/>
            </w:pPr>
            <w:r>
              <w:t xml:space="preserve">ALL</w:t>
            </w:r>
          </w:p>
        </w:tc>
        <w:tc>
          <w:tcPr/>
          <w:p>
            <w:pPr>
              <w:pStyle w:val="Compact"/>
            </w:pPr>
            <w:r>
              <w:t xml:space="preserve">180</w:t>
            </w:r>
          </w:p>
        </w:tc>
        <w:tc>
          <w:tcPr/>
          <w:p>
            <w:pPr>
              <w:pStyle w:val="Compact"/>
            </w:pPr>
            <w:r>
              <w:t xml:space="preserve">0,0005</w:t>
            </w:r>
          </w:p>
        </w:tc>
        <w:tc>
          <w:tcPr/>
          <w:p>
            <w:pPr>
              <w:pStyle w:val="Compact"/>
            </w:pPr>
            <w:r>
              <w:t xml:space="preserve">+0,152</w:t>
            </w:r>
          </w:p>
        </w:tc>
        <w:tc>
          <w:tcPr/>
          <w:p>
            <w:pPr>
              <w:pStyle w:val="Compact"/>
            </w:pPr>
            <w:r>
              <w:t xml:space="preserve">подтверждено (small effect)</w:t>
            </w:r>
          </w:p>
        </w:tc>
      </w:tr>
      <w:tr>
        <w:tc>
          <w:tcPr/>
          <w:p>
            <w:pPr>
              <w:pStyle w:val="Compact"/>
            </w:pPr>
            <w:r>
              <w:t xml:space="preserve">H1: B1f &gt; B1</w:t>
            </w:r>
          </w:p>
        </w:tc>
        <w:tc>
          <w:tcPr/>
          <w:p>
            <w:pPr>
              <w:pStyle w:val="Compact"/>
            </w:pPr>
            <w:r>
              <w:t xml:space="preserve">ALL</w:t>
            </w:r>
          </w:p>
        </w:tc>
        <w:tc>
          <w:tcPr/>
          <w:p>
            <w:pPr>
              <w:pStyle w:val="Compact"/>
            </w:pPr>
            <w:r>
              <w:t xml:space="preserve">180</w:t>
            </w:r>
          </w:p>
        </w:tc>
        <w:tc>
          <w:tcPr/>
          <w:p>
            <w:pPr>
              <w:pStyle w:val="Compact"/>
            </w:pPr>
            <w:r>
              <w:t xml:space="preserve">&lt; 0,0001</w:t>
            </w:r>
          </w:p>
        </w:tc>
        <w:tc>
          <w:tcPr/>
          <w:p>
            <w:pPr>
              <w:pStyle w:val="Compact"/>
            </w:pPr>
            <w:r>
              <w:t xml:space="preserve">+0,176</w:t>
            </w:r>
          </w:p>
        </w:tc>
        <w:tc>
          <w:tcPr/>
          <w:p>
            <w:pPr>
              <w:pStyle w:val="Compact"/>
            </w:pPr>
            <w:r>
              <w:t xml:space="preserve">подтверждено (small effect)</w:t>
            </w:r>
          </w:p>
        </w:tc>
      </w:tr>
      <w:tr>
        <w:tc>
          <w:tcPr/>
          <w:p>
            <w:pPr>
              <w:pStyle w:val="Compact"/>
            </w:pPr>
            <w:r>
              <w:t xml:space="preserve">H1: B1f vs B2</w:t>
            </w:r>
          </w:p>
        </w:tc>
        <w:tc>
          <w:tcPr/>
          <w:p>
            <w:pPr>
              <w:pStyle w:val="Compact"/>
            </w:pPr>
            <w:r>
              <w:t xml:space="preserve">ALL</w:t>
            </w:r>
          </w:p>
        </w:tc>
        <w:tc>
          <w:tcPr/>
          <w:p>
            <w:pPr>
              <w:pStyle w:val="Compact"/>
            </w:pPr>
            <w:r>
              <w:t xml:space="preserve">180</w:t>
            </w:r>
          </w:p>
        </w:tc>
        <w:tc>
          <w:tcPr/>
          <w:p>
            <w:pPr>
              <w:pStyle w:val="Compact"/>
            </w:pPr>
            <w:r>
              <w:t xml:space="preserve">0,4173</w:t>
            </w:r>
          </w:p>
        </w:tc>
        <w:tc>
          <w:tcPr/>
          <w:p>
            <w:pPr>
              <w:pStyle w:val="Compact"/>
            </w:pPr>
            <w:r>
              <w:t xml:space="preserve">−0,026</w:t>
            </w:r>
          </w:p>
        </w:tc>
        <w:tc>
          <w:tcPr/>
          <w:p>
            <w:pPr>
              <w:pStyle w:val="Compact"/>
            </w:pPr>
            <w:r>
              <w:t xml:space="preserve">эквивалентны</w:t>
            </w:r>
          </w:p>
        </w:tc>
      </w:tr>
      <w:tr>
        <w:tc>
          <w:tcPr/>
          <w:p>
            <w:pPr>
              <w:pStyle w:val="Compact"/>
            </w:pPr>
            <w:r>
              <w:t xml:space="preserve">H2: injection_success_rate B1</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B1f</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B2</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bl>
    <w:p>
      <w:pPr>
        <w:pStyle w:val="BodyText"/>
      </w:pPr>
      <w:r>
        <w:t xml:space="preserve">Источник:</w:t>
      </w:r>
      <w:r>
        <w:t xml:space="preserve"> </w:t>
      </w:r>
      <w:r>
        <w:rPr>
          <w:rStyle w:val="VerbatimChar"/>
        </w:rPr>
        <w:t xml:space="preserve">experiment/results/analysis/RESULTS.md</w:t>
      </w:r>
      <w:r>
        <w:t xml:space="preserve">, таблицы 5.2 и 5.3. Полная разбивка mean codeQuality по категориям (WA, TLE, RTE, STUB, STYLE, SECURITY) представлена на рисунке</w:t>
      </w:r>
      <w:r>
        <w:t xml:space="preserve"> </w:t>
      </w:r>
      <w:r>
        <w:rPr>
          <w:rStyle w:val="VerbatimChar"/>
        </w:rPr>
        <w:t xml:space="preserve">experiment/results/analysis/quality_by_variant.png</w:t>
      </w:r>
      <w:r>
        <w:t xml:space="preserve"> </w:t>
      </w:r>
      <w:r>
        <w:t xml:space="preserve">(используется как рис. 5.2 главы 5).</w:t>
      </w:r>
    </w:p>
    <w:bookmarkEnd w:id="248"/>
    <w:bookmarkStart w:id="249"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fixed"/>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49"/>
    <w:bookmarkStart w:id="250" w:name="Xb62d3f5f7265e6753efd36d3da8b9edf2d77c5e"/>
    <w:p>
      <w:pPr>
        <w:pStyle w:val="Heading3"/>
      </w:pPr>
      <w:r>
        <w:t xml:space="preserve">Таблица Г.4 — Структура отдельного отчёта по кейсу</w:t>
      </w:r>
    </w:p>
    <w:tbl>
      <w:tblPr>
        <w:tblStyle w:val="Table"/>
        <w:tblW w:type="pct" w:w="5000"/>
        <w:tblLayout w:type="fixed"/>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r>
        <w:tc>
          <w:tcPr/>
          <w:p>
            <w:pPr>
              <w:pStyle w:val="Compact"/>
            </w:pPr>
            <w:r>
              <w:rPr>
                <w:rStyle w:val="VerbatimChar"/>
              </w:rPr>
              <w:t xml:space="preserve">judgeModel</w:t>
            </w:r>
          </w:p>
        </w:tc>
        <w:tc>
          <w:tcPr/>
          <w:p>
            <w:pPr>
              <w:pStyle w:val="Compact"/>
            </w:pPr>
            <w:r>
              <w:t xml:space="preserve">Идентификатор LLM-судьи (</w:t>
            </w:r>
            <w:r>
              <w:rPr>
                <w:rStyle w:val="VerbatimChar"/>
              </w:rPr>
              <w:t xml:space="preserve">claude-opus-4-7-via-agent-sdk</w:t>
            </w:r>
            <w:r>
              <w:t xml:space="preserve">)</w:t>
            </w:r>
          </w:p>
        </w:tc>
        <w:tc>
          <w:tcPr/>
          <w:p>
            <w:pPr>
              <w:pStyle w:val="Compact"/>
            </w:pPr>
            <w:r>
              <w:t xml:space="preserve">string</w:t>
            </w:r>
          </w:p>
        </w:tc>
      </w:tr>
    </w:tbl>
    <w:p>
      <w:pPr>
        <w:pStyle w:val="BlockText"/>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50"/>
    <w:bookmarkStart w:id="251" w:name="X9be741f5106ef50de7b3932b563533f4d914b4d"/>
    <w:p>
      <w:pPr>
        <w:pStyle w:val="Heading3"/>
      </w:pPr>
      <w:r>
        <w:t xml:space="preserve">Таблица Г.5 — Журнал изменений (changelog) ключевых коммитов</w:t>
      </w:r>
    </w:p>
    <w:tbl>
      <w:tblPr>
        <w:tblStyle w:val="Table"/>
        <w:tblW w:type="pct" w:w="5000"/>
        <w:tblLayout w:type="fixed"/>
        <w:tblLook w:firstRow="1" w:lastRow="0" w:firstColumn="0" w:lastColumn="0" w:noHBand="0" w:noVBand="0" w:val="0020"/>
      </w:tblPr>
      <w:tblGrid>
        <w:gridCol w:w="2534"/>
        <w:gridCol w:w="1584"/>
        <w:gridCol w:w="3801"/>
      </w:tblGrid>
      <w:tr>
        <w:trPr>
          <w:tblHeader w:val="on"/>
        </w:trPr>
        <w:tc>
          <w:tcPr/>
          <w:p>
            <w:pPr>
              <w:pStyle w:val="Compact"/>
            </w:pPr>
            <w:r>
              <w:t xml:space="preserve">Коммит</w:t>
            </w:r>
          </w:p>
        </w:tc>
        <w:tc>
          <w:tcPr/>
          <w:p>
            <w:pPr>
              <w:pStyle w:val="Compact"/>
            </w:pPr>
            <w:r>
              <w:t xml:space="preserve">Тип</w:t>
            </w:r>
          </w:p>
        </w:tc>
        <w:tc>
          <w:tcPr/>
          <w:p>
            <w:pPr>
              <w:pStyle w:val="Compact"/>
            </w:pPr>
            <w:r>
              <w:t xml:space="preserve">Содержание</w:t>
            </w:r>
          </w:p>
        </w:tc>
      </w:tr>
      <w:tr>
        <w:tc>
          <w:tcPr/>
          <w:p>
            <w:pPr>
              <w:pStyle w:val="Compact"/>
            </w:pPr>
            <w:r>
              <w:rPr>
                <w:rStyle w:val="VerbatimChar"/>
              </w:rPr>
              <w:t xml:space="preserve">6be1ffd</w:t>
            </w:r>
          </w:p>
        </w:tc>
        <w:tc>
          <w:tcPr/>
          <w:p>
            <w:pPr>
              <w:pStyle w:val="Compact"/>
            </w:pPr>
            <w:r>
              <w:t xml:space="preserve">fix(ai-analyzer)</w:t>
            </w:r>
          </w:p>
        </w:tc>
        <w:tc>
          <w:tcPr/>
          <w:p>
            <w:pPr>
              <w:pStyle w:val="Compact"/>
            </w:pPr>
            <w:r>
              <w:t xml:space="preserve">Динамическая шкала</w:t>
            </w:r>
            <w:r>
              <w:t xml:space="preserve"> </w:t>
            </w:r>
            <w:r>
              <w:rPr>
                <w:rStyle w:val="VerbatimChar"/>
              </w:rPr>
              <w:t xml:space="preserve">dynamicQualityCap</w:t>
            </w:r>
            <w:r>
              <w:t xml:space="preserve"> </w:t>
            </w:r>
            <w:r>
              <w:t xml:space="preserve">(0/N → 20, 1/N → 30, ≤ N/2 → 50, N−1/N → 70; extreme cap = 10 при</w:t>
            </w:r>
            <w:r>
              <w:t xml:space="preserve"> </w:t>
            </w:r>
            <w:r>
              <w:rPr>
                <w:rStyle w:val="VerbatimChar"/>
              </w:rPr>
              <w:t xml:space="preserve">astSuspiciousReturnsConstant ∧ allFailed</w:t>
            </w:r>
            <w:r>
              <w:t xml:space="preserve">). Заменила фиксированные границы 40/60.</w:t>
            </w:r>
          </w:p>
        </w:tc>
      </w:tr>
      <w:tr>
        <w:tc>
          <w:tcPr/>
          <w:p>
            <w:pPr>
              <w:pStyle w:val="Compact"/>
            </w:pPr>
            <w:r>
              <w:rPr>
                <w:rStyle w:val="VerbatimChar"/>
              </w:rPr>
              <w:t xml:space="preserve">1a962b0</w:t>
            </w:r>
          </w:p>
        </w:tc>
        <w:tc>
          <w:tcPr/>
          <w:p>
            <w:pPr>
              <w:pStyle w:val="Compact"/>
            </w:pPr>
            <w:r>
              <w:t xml:space="preserve">fix(ai-analyzer)</w:t>
            </w:r>
          </w:p>
        </w:tc>
        <w:tc>
          <w:tcPr/>
          <w:p>
            <w:pPr>
              <w:pStyle w:val="Compact"/>
            </w:pPr>
            <w:r>
              <w:rPr>
                <w:rStyle w:val="VerbatimChar"/>
              </w:rPr>
              <w:t xml:space="preserve">InputSanitizer.enforceImpersonalTone</w:t>
            </w:r>
            <w:r>
              <w:t xml:space="preserve"> </w:t>
            </w:r>
            <w:r>
              <w:t xml:space="preserve">— regex-нормализатор стиля ответа LLM: удаление обращений второго лица и менторских директив.</w:t>
            </w:r>
          </w:p>
        </w:tc>
      </w:tr>
      <w:tr>
        <w:tc>
          <w:tcPr/>
          <w:p>
            <w:pPr>
              <w:pStyle w:val="Compact"/>
            </w:pPr>
            <w:r>
              <w:rPr>
                <w:rStyle w:val="VerbatimChar"/>
              </w:rPr>
              <w:t xml:space="preserve">eb269be</w:t>
            </w:r>
          </w:p>
        </w:tc>
        <w:tc>
          <w:tcPr/>
          <w:p>
            <w:pPr>
              <w:pStyle w:val="Compact"/>
            </w:pPr>
            <w:r>
              <w:t xml:space="preserve">feat(frontend)</w:t>
            </w:r>
          </w:p>
        </w:tc>
        <w:tc>
          <w:tcPr/>
          <w:p>
            <w:pPr>
              <w:pStyle w:val="Compact"/>
            </w:pPr>
            <w:r>
              <w:rPr>
                <w:rStyle w:val="VerbatimChar"/>
              </w:rPr>
              <w:t xml:space="preserve">CopyButton</w:t>
            </w:r>
            <w:r>
              <w:t xml:space="preserve"> </w:t>
            </w:r>
            <w:r>
              <w:t xml:space="preserve">— копирование тестовых данных в буфер обмена на страницах задачи и результатов.</w:t>
            </w:r>
          </w:p>
        </w:tc>
      </w:tr>
      <w:tr>
        <w:tc>
          <w:tcPr/>
          <w:p>
            <w:pPr>
              <w:pStyle w:val="Compact"/>
            </w:pPr>
            <w:r>
              <w:rPr>
                <w:rStyle w:val="VerbatimChar"/>
              </w:rPr>
              <w:t xml:space="preserve">3b98d66</w:t>
            </w:r>
          </w:p>
        </w:tc>
        <w:tc>
          <w:tcPr/>
          <w:p>
            <w:pPr>
              <w:pStyle w:val="Compact"/>
            </w:pPr>
            <w:r>
              <w:t xml:space="preserve">feat(experiment)</w:t>
            </w:r>
          </w:p>
        </w:tc>
        <w:tc>
          <w:tcPr/>
          <w:p>
            <w:pPr>
              <w:pStyle w:val="Compact"/>
            </w:pPr>
            <w:r>
              <w:t xml:space="preserve">конфирматорный re-grading с cross-model LLM-судьёй (</w:t>
            </w:r>
            <w:r>
              <w:rPr>
                <w:rStyle w:val="VerbatimChar"/>
              </w:rPr>
              <w:t xml:space="preserve">claude-opus-4-7-via-agent-sdk</w:t>
            </w:r>
            <w:r>
              <w:t xml:space="preserve">). Устраняет self-preference bias single-model self-judge (Zheng et al., 2023).</w:t>
            </w:r>
          </w:p>
        </w:tc>
      </w:tr>
      <w:tr>
        <w:tc>
          <w:tcPr/>
          <w:p>
            <w:pPr>
              <w:pStyle w:val="Compact"/>
            </w:pPr>
            <w:r>
              <w:rPr>
                <w:rStyle w:val="VerbatimChar"/>
              </w:rPr>
              <w:t xml:space="preserve">f6842d0</w:t>
            </w:r>
          </w:p>
        </w:tc>
        <w:tc>
          <w:tcPr/>
          <w:p>
            <w:pPr>
              <w:pStyle w:val="Compact"/>
            </w:pPr>
            <w:r>
              <w:t xml:space="preserve">chore(docker)</w:t>
            </w:r>
          </w:p>
        </w:tc>
        <w:tc>
          <w:tcPr/>
          <w:p>
            <w:pPr>
              <w:pStyle w:val="Compact"/>
            </w:pPr>
            <w:r>
              <w:t xml:space="preserve">Перенос Grafana на порт 3001 для освобождения 3000 под Vite-фронтенд.</w:t>
            </w:r>
          </w:p>
        </w:tc>
      </w:tr>
      <w:tr>
        <w:tc>
          <w:tcPr/>
          <w:p>
            <w:pPr>
              <w:pStyle w:val="Compact"/>
            </w:pPr>
            <w:r>
              <w:rPr>
                <w:rStyle w:val="VerbatimChar"/>
              </w:rPr>
              <w:t xml:space="preserve">ef260cd</w:t>
            </w:r>
          </w:p>
        </w:tc>
        <w:tc>
          <w:tcPr/>
          <w:p>
            <w:pPr>
              <w:pStyle w:val="Compact"/>
            </w:pPr>
            <w:r>
              <w:t xml:space="preserve">chore (Step 6a)</w:t>
            </w:r>
          </w:p>
        </w:tc>
        <w:tc>
          <w:tcPr/>
          <w:p>
            <w:pPr>
              <w:pStyle w:val="Compact"/>
            </w:pPr>
            <w:r>
              <w:t xml:space="preserve">Синхронизация кода с фактами МД: удаление task-process из Dockerfile; удаление unused TaskClusterKafkaListener; убрана Kotlin из UI-фильтра; добавлены LLM-варианты</w:t>
            </w:r>
            <w:r>
              <w:t xml:space="preserve"> </w:t>
            </w:r>
            <w:r>
              <w:rPr>
                <w:rStyle w:val="VerbatimChar"/>
              </w:rPr>
              <w:t xml:space="preserve">explainErrorWithLlm</w:t>
            </w:r>
            <w:r>
              <w:t xml:space="preserve"> </w:t>
            </w:r>
            <w:r>
              <w:t xml:space="preserve">/</w:t>
            </w:r>
            <w:r>
              <w:t xml:space="preserve"> </w:t>
            </w:r>
            <w:r>
              <w:rPr>
                <w:rStyle w:val="VerbatimChar"/>
              </w:rPr>
              <w:t xml:space="preserve">assessCodeQualityWithLlm</w:t>
            </w:r>
            <w:r>
              <w:t xml:space="preserve"> </w:t>
            </w:r>
            <w:r>
              <w:t xml:space="preserve">под feature-flag</w:t>
            </w:r>
            <w:r>
              <w:t xml:space="preserve"> </w:t>
            </w:r>
            <w:r>
              <w:rPr>
                <w:rStyle w:val="VerbatimChar"/>
              </w:rPr>
              <w:t xml:space="preserve">ai.explain-via-llm</w:t>
            </w:r>
            <w:r>
              <w:t xml:space="preserve">; новая Grafana-панель DLT; подключён JaCoCo.</w:t>
            </w:r>
          </w:p>
        </w:tc>
      </w:tr>
    </w:tbl>
    <w:bookmarkEnd w:id="251"/>
    <w:bookmarkEnd w:id="252"/>
    <w:bookmarkEnd w:id="253"/>
    <w:sectPr w:rsidR="00FC693F" w:rsidRPr="0006063C" w:rsidSect="00034616">
      <w:pgSz w:h="16838" w:w="11906"/>
      <w:pgMar w:bottom="1134" w:footer="680" w:gutter="0" w:header="680" w:left="1701" w:right="850"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b w:val="0"/>
      <w:sz w:val="28"/>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0" w:line="360" w:lineRule="auto"/>
      <w:jc w:val="center"/>
      <w:outlineLvl w:val="0"/>
      <w:pageBreakBefore/>
    </w:pPr>
    <w:rPr>
      <w:rFonts w:ascii="Times New Roman" w:asciiTheme="majorHAnsi" w:cs="Times New Roman" w:cstheme="majorBidi" w:eastAsia="Times New Roman" w:eastAsiaTheme="majorEastAsia" w:hAnsi="Times New Roman"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240" w:before="240" w:line="360" w:lineRule="auto"/>
      <w:ind w:firstLine="709"/>
      <w:jc w:val="left"/>
      <w:outlineLvl w:val="1"/>
    </w:pPr>
    <w:rPr>
      <w:rFonts w:ascii="Times New Roman" w:asciiTheme="majorHAnsi" w:cs="Times New Roman" w:cstheme="majorBidi" w:eastAsia="Times New Roman"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120" w:before="240" w:line="360" w:lineRule="auto"/>
      <w:ind w:firstLine="709"/>
      <w:jc w:val="left"/>
      <w:outlineLvl w:val="2"/>
    </w:pPr>
    <w:rPr>
      <w:rFonts w:ascii="Times New Roman" w:asciiTheme="majorHAnsi" w:cs="Times New Roman" w:cstheme="majorBidi" w:eastAsia="Times New Roman" w:eastAsiaTheme="majorEastAsia" w:hAnsi="Times New Roman" w:hAnsiTheme="majorHAnsi"/>
      <w:b/>
      <w:bCs/>
      <w:color w:themeColor="accent1" w:val="4F81BD"/>
      <w:sz w:val="28"/>
    </w:rPr>
  </w:style>
  <w:style w:styleId="Heading4" w:type="paragraph">
    <w:name w:val="heading 4"/>
    <w:basedOn w:val="Normal"/>
    <w:next w:val="Normal"/>
    <w:link w:val="Heading4Char"/>
    <w:uiPriority w:val="9"/>
    <w:semiHidden/>
    <w:unhideWhenUsed/>
    <w:qFormat/>
    <w:rsid w:val="00FC693F"/>
    <w:pPr>
      <w:keepNext/>
      <w:keepLines/>
      <w:spacing w:after="120" w:before="120" w:line="360" w:lineRule="auto"/>
      <w:ind w:firstLine="709"/>
      <w:outlineLvl w:val="3"/>
    </w:pPr>
    <w:rPr>
      <w:rFonts w:ascii="Times New Roman" w:asciiTheme="majorHAnsi" w:cs="Times New Roman" w:cstheme="majorBidi" w:eastAsia="Times New Roman" w:eastAsiaTheme="majorEastAsia" w:hAnsi="Times New Roman" w:hAnsiTheme="majorHAnsi"/>
      <w:b/>
      <w:bCs/>
      <w:i/>
      <w:iCs/>
      <w:color w:themeColor="accent1" w:val="4F81BD"/>
      <w:sz w:val="28"/>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360" w:lineRule="auto"/>
      <w:contextualSpacing/>
      <w:jc w:val="center"/>
    </w:pPr>
    <w:rPr>
      <w:rFonts w:ascii="Times New Roman" w:asciiTheme="majorHAnsi" w:cs="Times New Roman" w:cstheme="majorBidi" w:eastAsia="Times New Roman"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color w:themeColor="accent1" w:val="4F81BD"/>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ImageCaption" w:type="paragraph">
    <w:name w:val="Image Caption"/>
    <w:pPr>
      <w:spacing w:after="240" w:before="120" w:line="240" w:lineRule="auto"/>
      <w:jc w:val="center"/>
    </w:pPr>
    <w:rPr>
      <w:rFonts w:ascii="Times New Roman" w:cs="Times New Roman" w:eastAsia="Times New Roman" w:hAnsi="Times New Roman"/>
      <w:b w:val="0"/>
      <w:sz w:val="24"/>
    </w:rPr>
  </w:style>
  <w:style w:customStyle="1" w:styleId="SourceCode" w:type="paragraph">
    <w:name w:val="Source Code"/>
    <w:pPr>
      <w:spacing w:after="0" w:before="0" w:line="276" w:lineRule="auto"/>
      <w:jc w:val="left"/>
    </w:pPr>
    <w:rPr>
      <w:rFonts w:ascii="Consolas" w:cs="Consolas" w:eastAsia="Consolas" w:hAnsi="Consolas"/>
      <w:b w:val="0"/>
      <w:sz w:val="22"/>
    </w:rPr>
  </w:style>
  <w:style w:customStyle="1" w:styleId="VerbatimChar" w:type="character">
    <w:name w:val="Verbatim Char"/>
    <w:rPr>
      <w:rFonts w:ascii="Consolas" w:cs="Consolas" w:eastAsia="Consolas" w:hAnsi="Consolas"/>
      <w:b w:val="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109" Target="media/rId109.png" /><Relationship Type="http://schemas.openxmlformats.org/officeDocument/2006/relationships/image" Id="rId193" Target="media/rId19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2026-05-27T17:06:19Z</dcterms:created>
  <dcterms:modified xsi:type="dcterms:W3CDTF">2026-05-27T17:06:19Z</dcterms:modified>
</cp:coreProperties>
</file>

<file path=docProps/custom.xml><?xml version="1.0" encoding="utf-8"?>
<Properties xmlns="http://schemas.openxmlformats.org/officeDocument/2006/custom-properties" xmlns:vt="http://schemas.openxmlformats.org/officeDocument/2006/docPropsVTypes"/>
</file>