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br/>
        <w:br/>
        <w:t>ALESSANDRO MANZONI</w:t>
      </w:r>
    </w:p>
    <w:p>
      <w:pPr>
        <w:pStyle w:val="Sottotitolodispensa"/>
      </w:pPr>
      <w:r>
        <w:t>Fede, storia e romanzo</w:t>
        <w:br/>
      </w:r>
      <w:r>
        <w:rPr>
          <w:i/>
        </w:rPr>
        <w:t>Dispensa per lo studio</w:t>
      </w:r>
    </w:p>
    <w:tbl>
      <w:tblPr>
        <w:tblStyle w:val="TableGrid"/>
        <w:tblW w:type="auto" w:w="0"/>
        <w:jc w:val="center"/>
        <w:tblLook w:firstColumn="1" w:firstRow="1" w:lastColumn="0" w:lastRow="0" w:noHBand="0" w:noVBand="1" w:val="04A0"/>
      </w:tblPr>
      <w:tblGrid>
        <w:gridCol w:w="10200"/>
      </w:tblGrid>
      <w:tr>
        <w:trPr>
          <w:cantSplit/>
        </w:trPr>
        <w:tc>
          <w:tcPr>
            <w:tcW w:type="dxa" w:w="10200"/>
            <w:shd w:fill="F2F7FB"/>
          </w:tcPr>
          <w:p>
            <w:pPr>
              <w:spacing w:after="40"/>
              <w:jc w:val="center"/>
            </w:pPr>
            <w:r>
              <w:rPr>
                <w:rFonts w:ascii="Calibri" w:hAnsi="Calibri" w:eastAsia="Calibri"/>
                <w:b/>
                <w:sz w:val="19"/>
              </w:rPr>
              <w:t>Percorso di letteratura italiana</w:t>
            </w:r>
          </w:p>
          <w:p>
            <w:pPr>
              <w:spacing w:after="40"/>
            </w:pPr>
            <w:r>
              <w:rPr>
                <w:rFonts w:ascii="Calibri" w:hAnsi="Calibri" w:eastAsia="Calibri"/>
                <w:sz w:val="19"/>
              </w:rPr>
              <w:t>Metodo: introduzione → fratture → immagine del mondo → poetica → opere → conclusione</w:t>
            </w:r>
          </w:p>
          <w:p>
            <w:pPr>
              <w:spacing w:after="40"/>
            </w:pPr>
            <w:r>
              <w:rPr>
                <w:rFonts w:ascii="Calibri" w:hAnsi="Calibri" w:eastAsia="Calibri"/>
                <w:sz w:val="19"/>
              </w:rPr>
              <w:t>Obiettivo: capire come Manzoni trasformi il problema del male in una visione religiosa, storica e civile della letteratura.</w:t>
            </w:r>
          </w:p>
        </w:tc>
      </w:tr>
    </w:tbl>
    <w:p/>
    <w:p>
      <w:pPr>
        <w:pStyle w:val="Notadidattica"/>
        <w:jc w:val="center"/>
      </w:pPr>
      <w:r>
        <w:t>Nota: questa dispensa riorganizza le lezioni in un percorso unico. Non è un elenco di nozioni, ma una mappa per capire Manzoni dall’interno.</w:t>
      </w:r>
    </w:p>
    <w:p>
      <w:r>
        <w:br w:type="page"/>
      </w:r>
    </w:p>
    <w:p>
      <w:pPr>
        <w:pStyle w:val="Heading1"/>
      </w:pPr>
      <w:r>
        <w:t>Indice del percorso</w:t>
      </w:r>
    </w:p>
    <w:tbl>
      <w:tblPr>
        <w:tblStyle w:val="TableGrid"/>
        <w:tblW w:type="auto" w:w="0"/>
        <w:jc w:val="center"/>
        <w:tblLook w:firstColumn="1" w:firstRow="1" w:lastColumn="0" w:lastRow="0" w:noHBand="0" w:noVBand="1" w:val="04A0"/>
      </w:tblPr>
      <w:tblGrid>
        <w:gridCol w:w="5100"/>
        <w:gridCol w:w="5100"/>
      </w:tblGrid>
      <w:tr>
        <w:trPr>
          <w:cantSplit/>
        </w:trPr>
        <w:tc>
          <w:tcPr>
            <w:tcW w:type="dxa" w:w="1701"/>
            <w:shd w:fill="D9EAF7"/>
          </w:tcPr>
          <w:p>
            <w:pPr>
              <w:spacing w:after="40"/>
            </w:pPr>
            <w:r>
              <w:rPr>
                <w:rFonts w:ascii="Calibri" w:hAnsi="Calibri" w:eastAsia="Calibri"/>
                <w:b/>
                <w:sz w:val="19"/>
              </w:rPr>
              <w:t>Sezione</w:t>
            </w:r>
          </w:p>
        </w:tc>
        <w:tc>
          <w:tcPr>
            <w:tcW w:type="dxa" w:w="7654"/>
            <w:shd w:fill="D9EAF7"/>
          </w:tcPr>
          <w:p>
            <w:pPr>
              <w:spacing w:after="40"/>
            </w:pPr>
            <w:r>
              <w:rPr>
                <w:rFonts w:ascii="Calibri" w:hAnsi="Calibri" w:eastAsia="Calibri"/>
                <w:b/>
                <w:sz w:val="19"/>
              </w:rPr>
              <w:t>Contenuto</w:t>
            </w:r>
          </w:p>
        </w:tc>
      </w:tr>
      <w:tr>
        <w:trPr>
          <w:cantSplit/>
        </w:trPr>
        <w:tc>
          <w:tcPr>
            <w:tcW w:type="dxa" w:w="1701"/>
          </w:tcPr>
          <w:p>
            <w:pPr>
              <w:spacing w:after="40"/>
            </w:pPr>
            <w:r>
              <w:rPr>
                <w:rFonts w:ascii="Calibri" w:hAnsi="Calibri" w:eastAsia="Calibri"/>
                <w:sz w:val="19"/>
              </w:rPr>
              <w:t>1</w:t>
            </w:r>
          </w:p>
        </w:tc>
        <w:tc>
          <w:tcPr>
            <w:tcW w:type="dxa" w:w="7654"/>
          </w:tcPr>
          <w:p>
            <w:pPr>
              <w:spacing w:after="40"/>
            </w:pPr>
            <w:r>
              <w:rPr>
                <w:rFonts w:ascii="Calibri" w:hAnsi="Calibri" w:eastAsia="Calibri"/>
                <w:sz w:val="19"/>
              </w:rPr>
              <w:t>Introduzione: il mondo in cui nasce Manzoni</w:t>
            </w:r>
          </w:p>
        </w:tc>
      </w:tr>
      <w:tr>
        <w:trPr>
          <w:cantSplit/>
        </w:trPr>
        <w:tc>
          <w:tcPr>
            <w:tcW w:type="dxa" w:w="1701"/>
          </w:tcPr>
          <w:p>
            <w:pPr>
              <w:spacing w:after="40"/>
            </w:pPr>
            <w:r>
              <w:rPr>
                <w:rFonts w:ascii="Calibri" w:hAnsi="Calibri" w:eastAsia="Calibri"/>
                <w:sz w:val="19"/>
              </w:rPr>
              <w:t>2</w:t>
            </w:r>
          </w:p>
        </w:tc>
        <w:tc>
          <w:tcPr>
            <w:tcW w:type="dxa" w:w="7654"/>
          </w:tcPr>
          <w:p>
            <w:pPr>
              <w:spacing w:after="40"/>
            </w:pPr>
            <w:r>
              <w:rPr>
                <w:rFonts w:ascii="Calibri" w:hAnsi="Calibri" w:eastAsia="Calibri"/>
                <w:sz w:val="19"/>
              </w:rPr>
              <w:t>Le fratture: la vita che diventa visione</w:t>
            </w:r>
          </w:p>
        </w:tc>
      </w:tr>
      <w:tr>
        <w:trPr>
          <w:cantSplit/>
        </w:trPr>
        <w:tc>
          <w:tcPr>
            <w:tcW w:type="dxa" w:w="1701"/>
          </w:tcPr>
          <w:p>
            <w:pPr>
              <w:spacing w:after="40"/>
            </w:pPr>
            <w:r>
              <w:rPr>
                <w:rFonts w:ascii="Calibri" w:hAnsi="Calibri" w:eastAsia="Calibri"/>
                <w:sz w:val="19"/>
              </w:rPr>
              <w:t>3</w:t>
            </w:r>
          </w:p>
        </w:tc>
        <w:tc>
          <w:tcPr>
            <w:tcW w:type="dxa" w:w="7654"/>
          </w:tcPr>
          <w:p>
            <w:pPr>
              <w:spacing w:after="40"/>
            </w:pPr>
            <w:r>
              <w:rPr>
                <w:rFonts w:ascii="Calibri" w:hAnsi="Calibri" w:eastAsia="Calibri"/>
                <w:sz w:val="19"/>
              </w:rPr>
              <w:t>L’immagine del mondo: male, storia e Provvidenza</w:t>
            </w:r>
          </w:p>
        </w:tc>
      </w:tr>
      <w:tr>
        <w:trPr>
          <w:cantSplit/>
        </w:trPr>
        <w:tc>
          <w:tcPr>
            <w:tcW w:type="dxa" w:w="1701"/>
          </w:tcPr>
          <w:p>
            <w:pPr>
              <w:spacing w:after="40"/>
            </w:pPr>
            <w:r>
              <w:rPr>
                <w:rFonts w:ascii="Calibri" w:hAnsi="Calibri" w:eastAsia="Calibri"/>
                <w:sz w:val="19"/>
              </w:rPr>
              <w:t>4</w:t>
            </w:r>
          </w:p>
        </w:tc>
        <w:tc>
          <w:tcPr>
            <w:tcW w:type="dxa" w:w="7654"/>
          </w:tcPr>
          <w:p>
            <w:pPr>
              <w:spacing w:after="40"/>
            </w:pPr>
            <w:r>
              <w:rPr>
                <w:rFonts w:ascii="Calibri" w:hAnsi="Calibri" w:eastAsia="Calibri"/>
                <w:sz w:val="19"/>
              </w:rPr>
              <w:t>La poetica: vero, utile e interessante</w:t>
            </w:r>
          </w:p>
        </w:tc>
      </w:tr>
      <w:tr>
        <w:trPr>
          <w:cantSplit/>
        </w:trPr>
        <w:tc>
          <w:tcPr>
            <w:tcW w:type="dxa" w:w="1701"/>
          </w:tcPr>
          <w:p>
            <w:pPr>
              <w:spacing w:after="40"/>
            </w:pPr>
            <w:r>
              <w:rPr>
                <w:rFonts w:ascii="Calibri" w:hAnsi="Calibri" w:eastAsia="Calibri"/>
                <w:sz w:val="19"/>
              </w:rPr>
              <w:t>5</w:t>
            </w:r>
          </w:p>
        </w:tc>
        <w:tc>
          <w:tcPr>
            <w:tcW w:type="dxa" w:w="7654"/>
          </w:tcPr>
          <w:p>
            <w:pPr>
              <w:spacing w:after="40"/>
            </w:pPr>
            <w:r>
              <w:rPr>
                <w:rFonts w:ascii="Calibri" w:hAnsi="Calibri" w:eastAsia="Calibri"/>
                <w:sz w:val="19"/>
              </w:rPr>
              <w:t>Le opere: dalla poesia al romanzo nazionale</w:t>
            </w:r>
          </w:p>
        </w:tc>
      </w:tr>
      <w:tr>
        <w:trPr>
          <w:cantSplit/>
        </w:trPr>
        <w:tc>
          <w:tcPr>
            <w:tcW w:type="dxa" w:w="1701"/>
          </w:tcPr>
          <w:p>
            <w:pPr>
              <w:spacing w:after="40"/>
            </w:pPr>
            <w:r>
              <w:rPr>
                <w:rFonts w:ascii="Calibri" w:hAnsi="Calibri" w:eastAsia="Calibri"/>
                <w:sz w:val="19"/>
              </w:rPr>
              <w:t>6</w:t>
            </w:r>
          </w:p>
        </w:tc>
        <w:tc>
          <w:tcPr>
            <w:tcW w:type="dxa" w:w="7654"/>
          </w:tcPr>
          <w:p>
            <w:pPr>
              <w:spacing w:after="40"/>
            </w:pPr>
            <w:r>
              <w:rPr>
                <w:rFonts w:ascii="Calibri" w:hAnsi="Calibri" w:eastAsia="Calibri"/>
                <w:sz w:val="19"/>
              </w:rPr>
              <w:t>Conclusione: perché Manzoni conta ancora</w:t>
            </w:r>
          </w:p>
        </w:tc>
      </w:tr>
      <w:tr>
        <w:trPr>
          <w:cantSplit/>
        </w:trPr>
        <w:tc>
          <w:tcPr>
            <w:tcW w:type="dxa" w:w="1701"/>
          </w:tcPr>
          <w:p>
            <w:pPr>
              <w:spacing w:after="40"/>
            </w:pPr>
            <w:r>
              <w:rPr>
                <w:rFonts w:ascii="Calibri" w:hAnsi="Calibri" w:eastAsia="Calibri"/>
                <w:sz w:val="19"/>
              </w:rPr>
              <w:t>Appendice</w:t>
            </w:r>
          </w:p>
        </w:tc>
        <w:tc>
          <w:tcPr>
            <w:tcW w:type="dxa" w:w="7654"/>
          </w:tcPr>
          <w:p>
            <w:pPr>
              <w:spacing w:after="40"/>
            </w:pPr>
            <w:r>
              <w:rPr>
                <w:rFonts w:ascii="Calibri" w:hAnsi="Calibri" w:eastAsia="Calibri"/>
                <w:sz w:val="19"/>
              </w:rPr>
              <w:t>Glossario essenziale e domande di ripasso</w:t>
            </w:r>
          </w:p>
        </w:tc>
      </w:tr>
    </w:tbl>
    <w:p>
      <w:r>
        <w:br w:type="page"/>
      </w:r>
    </w:p>
    <w:p>
      <w:pPr>
        <w:pStyle w:val="Heading1"/>
      </w:pPr>
      <w:r>
        <w:t>1. Introduzione: il mondo in cui nasce Manzoni</w:t>
      </w:r>
    </w:p>
    <w:p>
      <w:r>
        <w:t>Per capire Manzoni non basta sapere che è l’autore dei Promessi sposi. Bisogna collocarlo in un punto molto preciso della storia culturale italiana: tra Illuminismo, Romanticismo, cattolicesimo e Risorgimento. Manzoni eredita la fiducia illuministica nella ragione e nella funzione civile della cultura, ma la attraversa con una domanda religiosa radicale: che senso ha la storia, se al suo interno sembrano dominare il male, la violenza e l’ingiustizia?</w:t>
      </w:r>
    </w:p>
    <w:p>
      <w:r>
        <w:t>La sua letteratura nasce da questa tensione. Non vuole essere pura bellezza, evasione o esercizio di stile. Vuole servire a qualcosa: educare, formare, interrogare la coscienza del lettore. Per questo Manzoni diventa uno degli autori centrali dell’Ottocento italiano: non solo perché scrive il primo grande romanzo nazionale, ma perché propone un nuovo modo di intendere la letteratura.</w:t>
      </w:r>
    </w:p>
    <w:p>
      <w:pPr>
        <w:pStyle w:val="Heading2"/>
      </w:pPr>
      <w:r>
        <w:t>1.1 Il contesto culturale</w:t>
      </w:r>
    </w:p>
    <w:p>
      <w:r>
        <w:t>Manzoni cresce in un ambiente colto e aperto alle idee moderne. La madre, Giulia Beccaria, è figlia di Cesare Beccaria, autore Dei delitti e delle pene, uno dei testi fondamentali dell’Illuminismo europeo. Questo significa che Manzoni respira fin dall’origine un clima culturale in cui la ragione, la giustizia e la critica delle istituzioni hanno un peso decisivo.</w:t>
      </w:r>
    </w:p>
    <w:p>
      <w:r>
        <w:t>A Parigi entra in contatto con il mondo intellettuale europeo e con una sensibilità nuova, già vicina al Romanticismo: attenzione alla storia, al popolo, alla religione, ai sentimenti, alla vita concreta degli uomini. Manzoni non cancella l’Illuminismo, ma lo corregge: la ragione è necessaria, però da sola non basta a spiegare il dolore e il male.</w:t>
      </w:r>
    </w:p>
    <w:p>
      <w:pPr>
        <w:pStyle w:val="Heading2"/>
      </w:pPr>
      <w:r>
        <w:t>1.2 Il Romanticismo manzoniano</w:t>
      </w:r>
    </w:p>
    <w:p>
      <w:r>
        <w:t>Il Romanticismo di Manzoni non è fatto di sentimentalismo generico. È un Romanticismo storico, morale e religioso. Storico, perché la letteratura deve confrontarsi con eventi e società reali. Morale, perché deve aiutare il lettore a distinguere il bene dal male. Religioso, perché la storia umana, pur attraversata dalla violenza, non è abbandonata da Dio.</w:t>
      </w:r>
    </w:p>
    <w:p>
      <w:pPr>
        <w:pStyle w:val="ListBullet"/>
      </w:pPr>
      <w:r>
        <w:t>Contro il Neoclassicismo: Manzoni rifiuta una letteratura fondata solo sull’eleganza formale e sul mito.</w:t>
      </w:r>
    </w:p>
    <w:p>
      <w:pPr>
        <w:pStyle w:val="ListBullet"/>
      </w:pPr>
      <w:r>
        <w:t>Contro l’evasione: la letteratura deve entrare nella realtà concreta degli uomini.</w:t>
      </w:r>
    </w:p>
    <w:p>
      <w:pPr>
        <w:pStyle w:val="ListBullet"/>
      </w:pPr>
      <w:r>
        <w:t>Contro il puro intrattenimento: il testo deve interessare, ma anche educare.</w:t>
      </w:r>
    </w:p>
    <w:p>
      <w:pPr>
        <w:pStyle w:val="Heading2"/>
      </w:pPr>
      <w:r>
        <w:t>1.3 La questione della lingua</w:t>
      </w:r>
    </w:p>
    <w:p>
      <w:r>
        <w:t>Manzoni vive in un’Italia non ancora unita politicamente e linguisticamente. Il problema della lingua non è secondario: se la letteratura deve parlare a una nazione, deve usare una lingua comprensibile e viva. Dopo la prima redazione del romanzo, Manzoni lavora a lungo sulla lingua fino alla scelta del fiorentino parlato colto, sintetizzata nella celebre formula della “risciacquatura in Arno”.</w:t>
      </w:r>
    </w:p>
    <w:p>
      <w:r>
        <w:t>Questa scelta non è solo tecnica: è civile. Manzoni contribuisce alla costruzione di una lingua nazionale, quindi anche di una coscienza nazionale.</w:t>
      </w:r>
    </w:p>
    <w:tbl>
      <w:tblPr>
        <w:tblStyle w:val="TableGrid"/>
        <w:tblW w:type="auto" w:w="0"/>
        <w:jc w:val="center"/>
        <w:tblLook w:firstColumn="1" w:firstRow="1" w:lastColumn="0" w:lastRow="0" w:noHBand="0" w:noVBand="1" w:val="04A0"/>
      </w:tblPr>
      <w:tblGrid>
        <w:gridCol w:w="10200"/>
      </w:tblGrid>
      <w:tr>
        <w:trPr>
          <w:cantSplit/>
        </w:trPr>
        <w:tc>
          <w:tcPr>
            <w:tcW w:type="dxa" w:w="10200"/>
            <w:shd w:fill="F2F7FB"/>
          </w:tcPr>
          <w:p>
            <w:pPr>
              <w:spacing w:after="40"/>
            </w:pPr>
            <w:r>
              <w:rPr>
                <w:rFonts w:ascii="Calibri" w:hAnsi="Calibri" w:eastAsia="Calibri"/>
                <w:b/>
                <w:sz w:val="19"/>
              </w:rPr>
              <w:t>Idea forte da ricordare</w:t>
            </w:r>
          </w:p>
          <w:p>
            <w:pPr>
              <w:spacing w:after="40"/>
              <w:ind w:left="198" w:hanging="85"/>
            </w:pPr>
            <w:r>
              <w:rPr>
                <w:rFonts w:ascii="Calibri" w:hAnsi="Calibri" w:eastAsia="Calibri"/>
                <w:sz w:val="19"/>
              </w:rPr>
              <w:t>• Manzoni unisce tre elementi: storia, fede e responsabilità civile.</w:t>
            </w:r>
          </w:p>
          <w:p>
            <w:pPr>
              <w:spacing w:after="40"/>
              <w:ind w:left="198" w:hanging="85"/>
            </w:pPr>
            <w:r>
              <w:rPr>
                <w:rFonts w:ascii="Calibri" w:hAnsi="Calibri" w:eastAsia="Calibri"/>
                <w:sz w:val="19"/>
              </w:rPr>
              <w:t>• La letteratura non deve solo piacere: deve aiutare a comprendere il mondo.</w:t>
            </w:r>
          </w:p>
          <w:p>
            <w:pPr>
              <w:spacing w:after="40"/>
              <w:ind w:left="198" w:hanging="85"/>
            </w:pPr>
            <w:r>
              <w:rPr>
                <w:rFonts w:ascii="Calibri" w:hAnsi="Calibri" w:eastAsia="Calibri"/>
                <w:sz w:val="19"/>
              </w:rPr>
              <w:t>• Il centro del suo pensiero è il problema del male nella storia.</w:t>
            </w:r>
          </w:p>
        </w:tc>
      </w:tr>
    </w:tbl>
    <w:p/>
    <w:p>
      <w:pPr>
        <w:pStyle w:val="Heading3"/>
      </w:pPr>
      <w:r>
        <w:t>Domande guida</w:t>
      </w:r>
    </w:p>
    <w:p>
      <w:pPr>
        <w:ind w:left="369" w:hanging="369"/>
      </w:pPr>
      <w:r>
        <w:t>1.  Perché Manzoni non può essere compreso separandolo dal Romanticismo e dal Risorgimento?</w:t>
      </w:r>
    </w:p>
    <w:p>
      <w:pPr>
        <w:ind w:left="369" w:hanging="369"/>
      </w:pPr>
      <w:r>
        <w:t>2.  Che cosa conserva dell’Illuminismo e che cosa invece supera?</w:t>
      </w:r>
    </w:p>
    <w:p>
      <w:pPr>
        <w:ind w:left="369" w:hanging="369"/>
      </w:pPr>
      <w:r>
        <w:t>3.  Perché la questione della lingua diventa anche una questione civile?</w:t>
      </w:r>
    </w:p>
    <w:p>
      <w:pPr>
        <w:pStyle w:val="Heading1"/>
      </w:pPr>
      <w:r>
        <w:t>2. Le fratture: la vita che diventa visione</w:t>
      </w:r>
    </w:p>
    <w:p>
      <w:r>
        <w:t>Nel nostro percorso le “fratture” sono gli eventi biografici che non restano semplici episodi, ma modificano il modo in cui un autore guarda il mondo. In Manzoni le fratture principali sono legate alla famiglia, alla formazione, alla conversione religiosa, ai lutti e al rapporto con la storia italiana.</w:t>
      </w:r>
    </w:p>
    <w:p>
      <w:pPr>
        <w:pStyle w:val="Heading2"/>
      </w:pPr>
      <w:r>
        <w:t>2.1 Nascita, famiglia e infanzia difficile</w:t>
      </w:r>
    </w:p>
    <w:p>
      <w:r>
        <w:t>Alessandro Manzoni nasce a Milano il 7 marzo 1785. È figlio di Giulia Beccaria e di Pietro Manzoni, anche se la situazione familiare è complessa e segnata da distanze affettive. I genitori si separano presto e Alessandro trascorre molti anni in collegio. Questa esperienza gli lascia un ricordo duro: disciplina, solitudine, educazione rigida.</w:t>
      </w:r>
    </w:p>
    <w:p>
      <w:r>
        <w:t>La prima frattura è quindi affettiva: Manzoni non cresce dentro un ambiente familiare pienamente stabile. Questo dato non va trasformato in psicologia spicciola, ma aiuta a capire perché nella sua opera siano così importanti il bisogno di protezione, la fragilità degli innocenti e la responsabilità degli adulti e delle istituzioni.</w:t>
      </w:r>
    </w:p>
    <w:p>
      <w:pPr>
        <w:pStyle w:val="Heading2"/>
      </w:pPr>
      <w:r>
        <w:t>2.2 Parigi: apertura europea e incontro con Enrichetta Blondel</w:t>
      </w:r>
    </w:p>
    <w:p>
      <w:r>
        <w:t>Da giovane Manzoni si avvicina agli ambienti culturali francesi. A Parigi entra in contatto con idee illuministiche, liberali e preromantiche. Qui conosce Enrichetta Blondel, giovane protestante di origine ginevrina, che sposa nel 1808. Il matrimonio ha un peso decisivo nel suo cammino spirituale: la conversione di Enrichetta al cattolicesimo accompagna anche il ritorno di Manzoni alla fede.</w:t>
      </w:r>
    </w:p>
    <w:p>
      <w:pPr>
        <w:pStyle w:val="Heading2"/>
      </w:pPr>
      <w:r>
        <w:t>2.3 Il 1810: la conversione</w:t>
      </w:r>
    </w:p>
    <w:p>
      <w:r>
        <w:t>La tradizione collega la conversione di Manzoni a un episodio avvenuto a Parigi il 2 aprile 1810, durante i festeggiamenti per le nozze di Napoleone con Maria Luisa d’Austria. Manzoni avrebbe smarrito Enrichetta nella folla e, preso dal panico, si sarebbe rifugiato nella chiesa di San Rocco, vivendo un momento di profonda crisi interiore.</w:t>
      </w:r>
    </w:p>
    <w:p>
      <w:r>
        <w:t>Al di là del racconto dell’episodio, ciò che conta è la svolta: da quel momento la fede non è più per Manzoni un elemento esterno, ma diventa il centro del suo pensiero. La conversione è religiosa, ma anche letteraria: cambia il modo di scrivere, cambia l’idea di uomo, cambia il significato della storia.</w:t>
      </w:r>
    </w:p>
    <w:tbl>
      <w:tblPr>
        <w:tblStyle w:val="TableGrid"/>
        <w:tblW w:type="auto" w:w="0"/>
        <w:jc w:val="center"/>
        <w:tblLook w:firstColumn="1" w:firstRow="1" w:lastColumn="0" w:lastRow="0" w:noHBand="0" w:noVBand="1" w:val="04A0"/>
      </w:tblPr>
      <w:tblGrid>
        <w:gridCol w:w="10200"/>
      </w:tblGrid>
      <w:tr>
        <w:trPr>
          <w:cantSplit/>
        </w:trPr>
        <w:tc>
          <w:tcPr>
            <w:tcW w:type="dxa" w:w="10200"/>
            <w:shd w:fill="F2F7FB"/>
          </w:tcPr>
          <w:p>
            <w:pPr>
              <w:spacing w:after="40"/>
            </w:pPr>
            <w:r>
              <w:rPr>
                <w:rFonts w:ascii="Calibri" w:hAnsi="Calibri" w:eastAsia="Calibri"/>
                <w:b/>
                <w:sz w:val="19"/>
              </w:rPr>
              <w:t>La conversione cambia tre cose</w:t>
            </w:r>
          </w:p>
          <w:p>
            <w:pPr>
              <w:spacing w:after="40"/>
              <w:ind w:left="198" w:hanging="85"/>
            </w:pPr>
            <w:r>
              <w:rPr>
                <w:rFonts w:ascii="Calibri" w:hAnsi="Calibri" w:eastAsia="Calibri"/>
                <w:sz w:val="19"/>
              </w:rPr>
              <w:t>• Il problema del male diventa centrale: il dolore non può essere ignorato né abbellito.</w:t>
            </w:r>
          </w:p>
          <w:p>
            <w:pPr>
              <w:spacing w:after="40"/>
              <w:ind w:left="198" w:hanging="85"/>
            </w:pPr>
            <w:r>
              <w:rPr>
                <w:rFonts w:ascii="Calibri" w:hAnsi="Calibri" w:eastAsia="Calibri"/>
                <w:sz w:val="19"/>
              </w:rPr>
              <w:t>• Dio viene pensato come Provvidenza: non cancella il male, ma può orientare la storia verso la salvezza.</w:t>
            </w:r>
          </w:p>
          <w:p>
            <w:pPr>
              <w:spacing w:after="40"/>
              <w:ind w:left="198" w:hanging="85"/>
            </w:pPr>
            <w:r>
              <w:rPr>
                <w:rFonts w:ascii="Calibri" w:hAnsi="Calibri" w:eastAsia="Calibri"/>
                <w:sz w:val="19"/>
              </w:rPr>
              <w:t>• La letteratura diventa strumento morale e civile, non semplice ricerca del bello.</w:t>
            </w:r>
          </w:p>
        </w:tc>
      </w:tr>
    </w:tbl>
    <w:p/>
    <w:p>
      <w:pPr>
        <w:pStyle w:val="Heading2"/>
      </w:pPr>
      <w:r>
        <w:t>2.4 I lutti e la fragilità dell’esistenza</w:t>
      </w:r>
    </w:p>
    <w:p>
      <w:r>
        <w:t>La vita adulta di Manzoni è segnata da lutti dolorosi: la morte di alcuni figli, la perdita della moglie Enrichetta nel 1833, e poi altre ferite familiari. Questa dimensione del dolore non è marginale. Manzoni non elabora una fede facile o ottimistica. La sua Provvidenza non è una scorciatoia consolatoria: nasce dentro una conoscenza concreta della sofferenza.</w:t>
      </w:r>
    </w:p>
    <w:p>
      <w:pPr>
        <w:pStyle w:val="Heading2"/>
      </w:pPr>
      <w:r>
        <w:t>2.5 Manzoni e l’Italia: l’intellettuale civile</w:t>
      </w:r>
    </w:p>
    <w:p>
      <w:r>
        <w:t>Manzoni vive il tempo del Risorgimento. La sua casa milanese di via Morone diventa un luogo di riferimento per intellettuali e politici. Dopo l’Unità d’Italia viene nominato senatore del Regno. La sua figura incarna un ideale di intellettuale civile: uno scrittore che non si limita a produrre opere, ma contribuisce alla formazione morale e culturale della nazione.</w:t>
      </w:r>
    </w:p>
    <w:tbl>
      <w:tblPr>
        <w:tblStyle w:val="TableGrid"/>
        <w:tblW w:type="auto" w:w="0"/>
        <w:jc w:val="center"/>
        <w:tblLook w:firstColumn="1" w:firstRow="1" w:lastColumn="0" w:lastRow="0" w:noHBand="0" w:noVBand="1" w:val="04A0"/>
      </w:tblPr>
      <w:tblGrid>
        <w:gridCol w:w="5100"/>
        <w:gridCol w:w="5100"/>
      </w:tblGrid>
      <w:tr>
        <w:trPr>
          <w:cantSplit/>
        </w:trPr>
        <w:tc>
          <w:tcPr>
            <w:tcW w:type="dxa" w:w="2494"/>
            <w:shd w:fill="FFF2CC"/>
          </w:tcPr>
          <w:p>
            <w:pPr>
              <w:spacing w:after="40"/>
            </w:pPr>
            <w:r>
              <w:rPr>
                <w:rFonts w:ascii="Calibri" w:hAnsi="Calibri" w:eastAsia="Calibri"/>
                <w:b/>
                <w:sz w:val="19"/>
              </w:rPr>
              <w:t>Nodo</w:t>
            </w:r>
          </w:p>
        </w:tc>
        <w:tc>
          <w:tcPr>
            <w:tcW w:type="dxa" w:w="6860"/>
            <w:shd w:fill="FFF2CC"/>
          </w:tcPr>
          <w:p>
            <w:pPr>
              <w:spacing w:after="40"/>
            </w:pPr>
            <w:r>
              <w:rPr>
                <w:rFonts w:ascii="Calibri" w:hAnsi="Calibri" w:eastAsia="Calibri"/>
                <w:b/>
                <w:sz w:val="19"/>
              </w:rPr>
              <w:t>Significato nel percorso</w:t>
            </w:r>
          </w:p>
        </w:tc>
      </w:tr>
      <w:tr>
        <w:trPr>
          <w:cantSplit/>
        </w:trPr>
        <w:tc>
          <w:tcPr>
            <w:tcW w:type="dxa" w:w="2494"/>
          </w:tcPr>
          <w:p>
            <w:pPr>
              <w:spacing w:after="40"/>
            </w:pPr>
            <w:r>
              <w:rPr>
                <w:rFonts w:ascii="Calibri" w:hAnsi="Calibri" w:eastAsia="Calibri"/>
                <w:sz w:val="19"/>
              </w:rPr>
              <w:t>Infanzia e collegio</w:t>
            </w:r>
          </w:p>
        </w:tc>
        <w:tc>
          <w:tcPr>
            <w:tcW w:type="dxa" w:w="6860"/>
          </w:tcPr>
          <w:p>
            <w:pPr>
              <w:spacing w:after="40"/>
            </w:pPr>
            <w:r>
              <w:rPr>
                <w:rFonts w:ascii="Calibri" w:hAnsi="Calibri" w:eastAsia="Calibri"/>
                <w:sz w:val="19"/>
              </w:rPr>
              <w:t>Esperienza di solitudine e disciplina rigida; attenzione alla fragilità degli uomini.</w:t>
            </w:r>
          </w:p>
        </w:tc>
      </w:tr>
      <w:tr>
        <w:trPr>
          <w:cantSplit/>
        </w:trPr>
        <w:tc>
          <w:tcPr>
            <w:tcW w:type="dxa" w:w="2494"/>
          </w:tcPr>
          <w:p>
            <w:pPr>
              <w:spacing w:after="40"/>
            </w:pPr>
            <w:r>
              <w:rPr>
                <w:rFonts w:ascii="Calibri" w:hAnsi="Calibri" w:eastAsia="Calibri"/>
                <w:sz w:val="19"/>
              </w:rPr>
              <w:t>Parigi</w:t>
            </w:r>
          </w:p>
        </w:tc>
        <w:tc>
          <w:tcPr>
            <w:tcW w:type="dxa" w:w="6860"/>
          </w:tcPr>
          <w:p>
            <w:pPr>
              <w:spacing w:after="40"/>
            </w:pPr>
            <w:r>
              <w:rPr>
                <w:rFonts w:ascii="Calibri" w:hAnsi="Calibri" w:eastAsia="Calibri"/>
                <w:sz w:val="19"/>
              </w:rPr>
              <w:t>Apertura alla cultura europea, all’Illuminismo e al Romanticismo.</w:t>
            </w:r>
          </w:p>
        </w:tc>
      </w:tr>
      <w:tr>
        <w:trPr>
          <w:cantSplit/>
        </w:trPr>
        <w:tc>
          <w:tcPr>
            <w:tcW w:type="dxa" w:w="2494"/>
          </w:tcPr>
          <w:p>
            <w:pPr>
              <w:spacing w:after="40"/>
            </w:pPr>
            <w:r>
              <w:rPr>
                <w:rFonts w:ascii="Calibri" w:hAnsi="Calibri" w:eastAsia="Calibri"/>
                <w:sz w:val="19"/>
              </w:rPr>
              <w:t>Conversione</w:t>
            </w:r>
          </w:p>
        </w:tc>
        <w:tc>
          <w:tcPr>
            <w:tcW w:type="dxa" w:w="6860"/>
          </w:tcPr>
          <w:p>
            <w:pPr>
              <w:spacing w:after="40"/>
            </w:pPr>
            <w:r>
              <w:rPr>
                <w:rFonts w:ascii="Calibri" w:hAnsi="Calibri" w:eastAsia="Calibri"/>
                <w:sz w:val="19"/>
              </w:rPr>
              <w:t>Svolta religiosa e letteraria: fede, male e Provvidenza diventano centrali.</w:t>
            </w:r>
          </w:p>
        </w:tc>
      </w:tr>
      <w:tr>
        <w:trPr>
          <w:cantSplit/>
        </w:trPr>
        <w:tc>
          <w:tcPr>
            <w:tcW w:type="dxa" w:w="2494"/>
          </w:tcPr>
          <w:p>
            <w:pPr>
              <w:spacing w:after="40"/>
            </w:pPr>
            <w:r>
              <w:rPr>
                <w:rFonts w:ascii="Calibri" w:hAnsi="Calibri" w:eastAsia="Calibri"/>
                <w:sz w:val="19"/>
              </w:rPr>
              <w:t>Lutti familiari</w:t>
            </w:r>
          </w:p>
        </w:tc>
        <w:tc>
          <w:tcPr>
            <w:tcW w:type="dxa" w:w="6860"/>
          </w:tcPr>
          <w:p>
            <w:pPr>
              <w:spacing w:after="40"/>
            </w:pPr>
            <w:r>
              <w:rPr>
                <w:rFonts w:ascii="Calibri" w:hAnsi="Calibri" w:eastAsia="Calibri"/>
                <w:sz w:val="19"/>
              </w:rPr>
              <w:t>La sofferenza rende la fede manzoniana drammatica, non ingenua.</w:t>
            </w:r>
          </w:p>
        </w:tc>
      </w:tr>
      <w:tr>
        <w:trPr>
          <w:cantSplit/>
        </w:trPr>
        <w:tc>
          <w:tcPr>
            <w:tcW w:type="dxa" w:w="2494"/>
          </w:tcPr>
          <w:p>
            <w:pPr>
              <w:spacing w:after="40"/>
            </w:pPr>
            <w:r>
              <w:rPr>
                <w:rFonts w:ascii="Calibri" w:hAnsi="Calibri" w:eastAsia="Calibri"/>
                <w:sz w:val="19"/>
              </w:rPr>
              <w:t>Risorgimento</w:t>
            </w:r>
          </w:p>
        </w:tc>
        <w:tc>
          <w:tcPr>
            <w:tcW w:type="dxa" w:w="6860"/>
          </w:tcPr>
          <w:p>
            <w:pPr>
              <w:spacing w:after="40"/>
            </w:pPr>
            <w:r>
              <w:rPr>
                <w:rFonts w:ascii="Calibri" w:hAnsi="Calibri" w:eastAsia="Calibri"/>
                <w:sz w:val="19"/>
              </w:rPr>
              <w:t>Manzoni diventa un autore nazionale: lingua, storia e responsabilità civile.</w:t>
            </w:r>
          </w:p>
        </w:tc>
      </w:tr>
    </w:tbl>
    <w:p>
      <w:pPr>
        <w:pStyle w:val="Heading3"/>
      </w:pPr>
      <w:r>
        <w:t>Domande guida</w:t>
      </w:r>
    </w:p>
    <w:p>
      <w:pPr>
        <w:ind w:left="369" w:hanging="369"/>
      </w:pPr>
      <w:r>
        <w:t>1.  Perché la conversione di Manzoni è anche una conversione letteraria?</w:t>
      </w:r>
    </w:p>
    <w:p>
      <w:pPr>
        <w:ind w:left="369" w:hanging="369"/>
      </w:pPr>
      <w:r>
        <w:t>2.  In che modo i lutti rendono più profonda la sua idea di Provvidenza?</w:t>
      </w:r>
    </w:p>
    <w:p>
      <w:pPr>
        <w:ind w:left="369" w:hanging="369"/>
      </w:pPr>
      <w:r>
        <w:t>3.  Perché Manzoni può essere definito un intellettuale civile?</w:t>
      </w:r>
    </w:p>
    <w:p>
      <w:pPr>
        <w:pStyle w:val="Heading1"/>
      </w:pPr>
      <w:r>
        <w:t>3. L’immagine del mondo: male, storia e Provvidenza</w:t>
      </w:r>
    </w:p>
    <w:p>
      <w:r>
        <w:t>L’immagine del mondo di Manzoni nasce da una domanda severa: se Dio esiste, perché la storia è piena di violenza, ingiustizia e sofferenza? Manzoni non risponde cancellando il male. Al contrario: lo guarda in faccia. Nei Promessi sposi la prepotenza dei potenti, la vigliaccheria dei deboli, la fame, la guerra, la peste e la morte non vengono attenuate. Il mondo è ferito. Ma non è privo di senso.</w:t>
      </w:r>
    </w:p>
    <w:p>
      <w:pPr>
        <w:pStyle w:val="Heading2"/>
      </w:pPr>
      <w:r>
        <w:t>3.1 Il male come realtà concreta</w:t>
      </w:r>
    </w:p>
    <w:p>
      <w:r>
        <w:t>Per Manzoni il male non è un concetto astratto. È concreto: un signorotto che impedisce un matrimonio, un prete che per paura tradisce il proprio dovere, una famiglia che costringe una figlia al convento, una folla che diventa violenta, una peste che travolge innocenti e colpevoli. Il male entra nella storia attraverso gli uomini, le istituzioni e le passioni disordinate.</w:t>
      </w:r>
    </w:p>
    <w:p>
      <w:r>
        <w:t>La grandezza di Manzoni sta nel non semplificare. I suoi personaggi non sono figurine morali. Don Abbondio non è un mostro: è un debole. Gertrude non è solo colpevole: è anche vittima. L’Innominato non è solo criminale: è un uomo che può essere attraversato dalla grazia. Manzoni vede il male, ma vede anche la possibilità della conversione.</w:t>
      </w:r>
    </w:p>
    <w:p>
      <w:pPr>
        <w:pStyle w:val="Heading2"/>
      </w:pPr>
      <w:r>
        <w:t>3.2 Il giansenismo: una prima influenza</w:t>
      </w:r>
    </w:p>
    <w:p>
      <w:r>
        <w:t>Dopo la conversione, Manzoni entra in contatto con una sensibilità religiosa vicina al giansenismo. Il giansenismo, ispirato al pensiero di Cornelio Giansenio e a una lettura severa di sant’Agostino, insiste sulla corruzione dell’uomo dopo il peccato originale e sulla necessità assoluta della grazia divina.</w:t>
      </w:r>
    </w:p>
    <w:p>
      <w:r>
        <w:t>In questa prospettiva l’uomo appare fragile, incapace di salvarsi da solo. Dio è giudice e salvezza, ma la sua azione sembra manifestarsi soprattutto al limite estremo della vita, cioè nella morte. Questa sensibilità segna la prima fase del pensiero manzoniano.</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1814"/>
            <w:shd w:fill="D9EAF7"/>
          </w:tcPr>
          <w:p>
            <w:pPr>
              <w:spacing w:after="40"/>
            </w:pPr>
            <w:r>
              <w:rPr>
                <w:rFonts w:ascii="Calibri" w:hAnsi="Calibri" w:eastAsia="Calibri"/>
                <w:b/>
                <w:sz w:val="19"/>
              </w:rPr>
              <w:t>Aspetto</w:t>
            </w:r>
          </w:p>
        </w:tc>
        <w:tc>
          <w:tcPr>
            <w:tcW w:type="dxa" w:w="3572"/>
            <w:shd w:fill="D9EAF7"/>
          </w:tcPr>
          <w:p>
            <w:pPr>
              <w:spacing w:after="40"/>
            </w:pPr>
            <w:r>
              <w:rPr>
                <w:rFonts w:ascii="Calibri" w:hAnsi="Calibri" w:eastAsia="Calibri"/>
                <w:b/>
                <w:sz w:val="19"/>
              </w:rPr>
              <w:t>Sensibilità giansenista</w:t>
            </w:r>
          </w:p>
        </w:tc>
        <w:tc>
          <w:tcPr>
            <w:tcW w:type="dxa" w:w="3855"/>
            <w:shd w:fill="D9EAF7"/>
          </w:tcPr>
          <w:p>
            <w:pPr>
              <w:spacing w:after="40"/>
            </w:pPr>
            <w:r>
              <w:rPr>
                <w:rFonts w:ascii="Calibri" w:hAnsi="Calibri" w:eastAsia="Calibri"/>
                <w:b/>
                <w:sz w:val="19"/>
              </w:rPr>
              <w:t>Cattolicesimo più fiducioso</w:t>
            </w:r>
          </w:p>
        </w:tc>
      </w:tr>
      <w:tr>
        <w:trPr>
          <w:cantSplit/>
        </w:trPr>
        <w:tc>
          <w:tcPr>
            <w:tcW w:type="dxa" w:w="1814"/>
          </w:tcPr>
          <w:p>
            <w:pPr>
              <w:spacing w:after="40"/>
            </w:pPr>
            <w:r>
              <w:rPr>
                <w:rFonts w:ascii="Calibri" w:hAnsi="Calibri" w:eastAsia="Calibri"/>
                <w:sz w:val="19"/>
              </w:rPr>
              <w:t>Peccato originale</w:t>
            </w:r>
          </w:p>
        </w:tc>
        <w:tc>
          <w:tcPr>
            <w:tcW w:type="dxa" w:w="3572"/>
          </w:tcPr>
          <w:p>
            <w:pPr>
              <w:spacing w:after="40"/>
            </w:pPr>
            <w:r>
              <w:rPr>
                <w:rFonts w:ascii="Calibri" w:hAnsi="Calibri" w:eastAsia="Calibri"/>
                <w:sz w:val="19"/>
              </w:rPr>
              <w:t>Ferita radicale: l’uomo è profondamente fragile.</w:t>
            </w:r>
          </w:p>
        </w:tc>
        <w:tc>
          <w:tcPr>
            <w:tcW w:type="dxa" w:w="3855"/>
          </w:tcPr>
          <w:p>
            <w:pPr>
              <w:spacing w:after="40"/>
            </w:pPr>
            <w:r>
              <w:rPr>
                <w:rFonts w:ascii="Calibri" w:hAnsi="Calibri" w:eastAsia="Calibri"/>
                <w:sz w:val="19"/>
              </w:rPr>
              <w:t>Ferita reale, ma l’uomo può cooperare con la grazia.</w:t>
            </w:r>
          </w:p>
        </w:tc>
      </w:tr>
      <w:tr>
        <w:trPr>
          <w:cantSplit/>
        </w:trPr>
        <w:tc>
          <w:tcPr>
            <w:tcW w:type="dxa" w:w="1814"/>
          </w:tcPr>
          <w:p>
            <w:pPr>
              <w:spacing w:after="40"/>
            </w:pPr>
            <w:r>
              <w:rPr>
                <w:rFonts w:ascii="Calibri" w:hAnsi="Calibri" w:eastAsia="Calibri"/>
                <w:sz w:val="19"/>
              </w:rPr>
              <w:t>Grazia</w:t>
            </w:r>
          </w:p>
        </w:tc>
        <w:tc>
          <w:tcPr>
            <w:tcW w:type="dxa" w:w="3572"/>
          </w:tcPr>
          <w:p>
            <w:pPr>
              <w:spacing w:after="40"/>
            </w:pPr>
            <w:r>
              <w:rPr>
                <w:rFonts w:ascii="Calibri" w:hAnsi="Calibri" w:eastAsia="Calibri"/>
                <w:sz w:val="19"/>
              </w:rPr>
              <w:t>Necessaria e decisiva per la salvezza.</w:t>
            </w:r>
          </w:p>
        </w:tc>
        <w:tc>
          <w:tcPr>
            <w:tcW w:type="dxa" w:w="3855"/>
          </w:tcPr>
          <w:p>
            <w:pPr>
              <w:spacing w:after="40"/>
            </w:pPr>
            <w:r>
              <w:rPr>
                <w:rFonts w:ascii="Calibri" w:hAnsi="Calibri" w:eastAsia="Calibri"/>
                <w:sz w:val="19"/>
              </w:rPr>
              <w:t>Necessaria, ma offerta attraverso la vita cristiana e i sacramenti.</w:t>
            </w:r>
          </w:p>
        </w:tc>
      </w:tr>
      <w:tr>
        <w:trPr>
          <w:cantSplit/>
        </w:trPr>
        <w:tc>
          <w:tcPr>
            <w:tcW w:type="dxa" w:w="1814"/>
          </w:tcPr>
          <w:p>
            <w:pPr>
              <w:spacing w:after="40"/>
            </w:pPr>
            <w:r>
              <w:rPr>
                <w:rFonts w:ascii="Calibri" w:hAnsi="Calibri" w:eastAsia="Calibri"/>
                <w:sz w:val="19"/>
              </w:rPr>
              <w:t>Storia</w:t>
            </w:r>
          </w:p>
        </w:tc>
        <w:tc>
          <w:tcPr>
            <w:tcW w:type="dxa" w:w="3572"/>
          </w:tcPr>
          <w:p>
            <w:pPr>
              <w:spacing w:after="40"/>
            </w:pPr>
            <w:r>
              <w:rPr>
                <w:rFonts w:ascii="Calibri" w:hAnsi="Calibri" w:eastAsia="Calibri"/>
                <w:sz w:val="19"/>
              </w:rPr>
              <w:t>Dominata dal male; la consolazione è soprattutto finale.</w:t>
            </w:r>
          </w:p>
        </w:tc>
        <w:tc>
          <w:tcPr>
            <w:tcW w:type="dxa" w:w="3855"/>
          </w:tcPr>
          <w:p>
            <w:pPr>
              <w:spacing w:after="40"/>
            </w:pPr>
            <w:r>
              <w:rPr>
                <w:rFonts w:ascii="Calibri" w:hAnsi="Calibri" w:eastAsia="Calibri"/>
                <w:sz w:val="19"/>
              </w:rPr>
              <w:t>Luogo in cui Dio può agire anche nel presente.</w:t>
            </w:r>
          </w:p>
        </w:tc>
      </w:tr>
      <w:tr>
        <w:trPr>
          <w:cantSplit/>
        </w:trPr>
        <w:tc>
          <w:tcPr>
            <w:tcW w:type="dxa" w:w="1814"/>
          </w:tcPr>
          <w:p>
            <w:pPr>
              <w:spacing w:after="40"/>
            </w:pPr>
            <w:r>
              <w:rPr>
                <w:rFonts w:ascii="Calibri" w:hAnsi="Calibri" w:eastAsia="Calibri"/>
                <w:sz w:val="19"/>
              </w:rPr>
              <w:t>Provvidenza</w:t>
            </w:r>
          </w:p>
        </w:tc>
        <w:tc>
          <w:tcPr>
            <w:tcW w:type="dxa" w:w="3572"/>
          </w:tcPr>
          <w:p>
            <w:pPr>
              <w:spacing w:after="40"/>
            </w:pPr>
            <w:r>
              <w:rPr>
                <w:rFonts w:ascii="Calibri" w:hAnsi="Calibri" w:eastAsia="Calibri"/>
                <w:sz w:val="19"/>
              </w:rPr>
              <w:t>Si rivela soprattutto nell’ultimo istante.</w:t>
            </w:r>
          </w:p>
        </w:tc>
        <w:tc>
          <w:tcPr>
            <w:tcW w:type="dxa" w:w="3855"/>
          </w:tcPr>
          <w:p>
            <w:pPr>
              <w:spacing w:after="40"/>
            </w:pPr>
            <w:r>
              <w:rPr>
                <w:rFonts w:ascii="Calibri" w:hAnsi="Calibri" w:eastAsia="Calibri"/>
                <w:sz w:val="19"/>
              </w:rPr>
              <w:t>Opera dentro la storia, trasformando il male in occasione di bene.</w:t>
            </w:r>
          </w:p>
        </w:tc>
      </w:tr>
    </w:tbl>
    <w:p>
      <w:pPr>
        <w:pStyle w:val="Heading2"/>
      </w:pPr>
      <w:r>
        <w:t>3.3 La Provvidenza: prima fase</w:t>
      </w:r>
    </w:p>
    <w:p>
      <w:r>
        <w:t>Nella prima fase, la Provvidenza è percepita soprattutto come rivelazione finale. Dio non sembra accompagnare ogni passaggio della vita, ma appare nell’ultimo istante come giudice e consolatore. L’uomo vive nella storia, sperimenta il male e l’insoddisfazione, e solo alla fine può incontrare la salvezza.</w:t>
      </w:r>
    </w:p>
    <w:p>
      <w:r>
        <w:t>Il cinque maggio esprime bene questa prospettiva. Napoleone, dopo aver dominato la storia europea, giace solo nell’esilio di Sant’Elena. La gloria terrena si rivela fragile. Il momento decisivo non è la vittoria politica, ma l’incontro finale con Dio: «Il Dio che atterra e suscita, che affanna e che consola, sulla deserta coltrice accanto a lui posò».</w:t>
      </w:r>
    </w:p>
    <w:p>
      <w:r>
        <w:t>Anche nelle tragedie la morte diventa il limite in cui l’uomo può intravedere una consolazione superiore. La storia resta però un luogo drammatico, attraversato da violenza, caducità e ingiustizia.</w:t>
      </w:r>
    </w:p>
    <w:p>
      <w:pPr>
        <w:pStyle w:val="Heading2"/>
      </w:pPr>
      <w:r>
        <w:t>3.4 La Provvidenza: seconda fase</w:t>
      </w:r>
    </w:p>
    <w:p>
      <w:r>
        <w:t>Con La Pentecoste e poi con I Promessi sposi, Manzoni matura una visione più ampia. Dio non è solo presente alla fine della vita, ma opera dentro la storia. La Provvidenza non elimina il dolore, non assicura una felicità facile, non impedisce che accadano la peste, la violenza, la morte. Però può trasformare la sventura in occasione di crescita, conversione e bene.</w:t>
      </w:r>
    </w:p>
    <w:p>
      <w:r>
        <w:t>Nasce così il concetto di provvida sventura: una sofferenza che, letta alla luce della fede, non perde la sua durezza, ma può diventare passaggio verso una vita più vera. È importante non banalizzare: per Manzoni il dolore resta dolore. Non è “bello” soffrire. Ma la sofferenza può non essere inutile.</w:t>
      </w:r>
    </w:p>
    <w:p>
      <w:pPr>
        <w:pStyle w:val="ListBullet"/>
      </w:pPr>
      <w:r>
        <w:t>Fra Cristoforo: da un delitto nasce un cammino di penitenza e carità.</w:t>
      </w:r>
    </w:p>
    <w:p>
      <w:pPr>
        <w:pStyle w:val="ListBullet"/>
      </w:pPr>
      <w:r>
        <w:t>Lucia: l’innocente che soffre diventa testimonianza di fede.</w:t>
      </w:r>
    </w:p>
    <w:p>
      <w:pPr>
        <w:pStyle w:val="ListBullet"/>
      </w:pPr>
      <w:r>
        <w:t>Renzo: le prove trasformano l’impulsività in maturità.</w:t>
      </w:r>
    </w:p>
    <w:p>
      <w:pPr>
        <w:pStyle w:val="ListBullet"/>
      </w:pPr>
      <w:r>
        <w:t>L’Innominato: il tormento interiore diventa conversione.</w:t>
      </w:r>
    </w:p>
    <w:p>
      <w:pPr>
        <w:pStyle w:val="ListBullet"/>
      </w:pPr>
      <w:r>
        <w:t>Don Rodrigo: perfino il malvagio, nella peste, incontra un’ultima possibilità di redenzione, anche se non la accoglie pienamente.</w:t>
      </w:r>
    </w:p>
    <w:p>
      <w:pPr>
        <w:pStyle w:val="Heading2"/>
      </w:pPr>
      <w:r>
        <w:t>3.5 Storia ed eternità</w:t>
      </w:r>
    </w:p>
    <w:p>
      <w:r>
        <w:t>Manzoni tiene insieme due prospettive. La prima è eterna: la giustizia piena appartiene a Dio e non si realizza completamente nella storia. La seconda è storica: già nella vita terrena l’uomo deve combattere il male, soccorrere gli oppressi, scegliere la responsabilità. Per questo la fede manzoniana non è fuga dal mondo, ma presenza nel mondo.</w:t>
      </w:r>
    </w:p>
    <w:tbl>
      <w:tblPr>
        <w:tblStyle w:val="TableGrid"/>
        <w:tblW w:type="auto" w:w="0"/>
        <w:jc w:val="center"/>
        <w:tblLook w:firstColumn="1" w:firstRow="1" w:lastColumn="0" w:lastRow="0" w:noHBand="0" w:noVBand="1" w:val="04A0"/>
      </w:tblPr>
      <w:tblGrid>
        <w:gridCol w:w="10200"/>
      </w:tblGrid>
      <w:tr>
        <w:trPr>
          <w:cantSplit/>
        </w:trPr>
        <w:tc>
          <w:tcPr>
            <w:tcW w:type="dxa" w:w="10200"/>
            <w:shd w:fill="F2F7FB"/>
          </w:tcPr>
          <w:p>
            <w:pPr>
              <w:spacing w:after="40"/>
            </w:pPr>
            <w:r>
              <w:rPr>
                <w:rFonts w:ascii="Calibri" w:hAnsi="Calibri" w:eastAsia="Calibri"/>
                <w:b/>
                <w:sz w:val="19"/>
              </w:rPr>
              <w:t>Schema dell’immagine del mondo</w:t>
            </w:r>
          </w:p>
          <w:p>
            <w:pPr>
              <w:spacing w:after="40"/>
              <w:ind w:left="198" w:hanging="85"/>
            </w:pPr>
            <w:r>
              <w:rPr>
                <w:rFonts w:ascii="Calibri" w:hAnsi="Calibri" w:eastAsia="Calibri"/>
                <w:sz w:val="19"/>
              </w:rPr>
              <w:t>• La storia è ferita dal male e dalla violenza.</w:t>
            </w:r>
          </w:p>
          <w:p>
            <w:pPr>
              <w:spacing w:after="40"/>
              <w:ind w:left="198" w:hanging="85"/>
            </w:pPr>
            <w:r>
              <w:rPr>
                <w:rFonts w:ascii="Calibri" w:hAnsi="Calibri" w:eastAsia="Calibri"/>
                <w:sz w:val="19"/>
              </w:rPr>
              <w:t>• L’uomo è fragile e non può salvarsi da solo.</w:t>
            </w:r>
          </w:p>
          <w:p>
            <w:pPr>
              <w:spacing w:after="40"/>
              <w:ind w:left="198" w:hanging="85"/>
            </w:pPr>
            <w:r>
              <w:rPr>
                <w:rFonts w:ascii="Calibri" w:hAnsi="Calibri" w:eastAsia="Calibri"/>
                <w:sz w:val="19"/>
              </w:rPr>
              <w:t>• La Provvidenza non cancella il dolore, ma può trasformarlo.</w:t>
            </w:r>
          </w:p>
          <w:p>
            <w:pPr>
              <w:spacing w:after="40"/>
              <w:ind w:left="198" w:hanging="85"/>
            </w:pPr>
            <w:r>
              <w:rPr>
                <w:rFonts w:ascii="Calibri" w:hAnsi="Calibri" w:eastAsia="Calibri"/>
                <w:sz w:val="19"/>
              </w:rPr>
              <w:t>• La fede autentica produce responsabilità concreta verso gli altri.</w:t>
            </w:r>
          </w:p>
        </w:tc>
      </w:tr>
    </w:tbl>
    <w:p/>
    <w:p>
      <w:pPr>
        <w:pStyle w:val="Heading3"/>
      </w:pPr>
      <w:r>
        <w:t>Domande guida</w:t>
      </w:r>
    </w:p>
    <w:p>
      <w:pPr>
        <w:ind w:left="369" w:hanging="369"/>
      </w:pPr>
      <w:r>
        <w:t>1.  Che differenza c’è tra la prima e la seconda fase della Provvidenza in Manzoni?</w:t>
      </w:r>
    </w:p>
    <w:p>
      <w:pPr>
        <w:ind w:left="369" w:hanging="369"/>
      </w:pPr>
      <w:r>
        <w:t>2.  Perché la “provvida sventura” non deve essere confusa con un facile ottimismo?</w:t>
      </w:r>
    </w:p>
    <w:p>
      <w:pPr>
        <w:ind w:left="369" w:hanging="369"/>
      </w:pPr>
      <w:r>
        <w:t>3.  In che senso la fede manzoniana è anche responsabilità storica?</w:t>
      </w:r>
    </w:p>
    <w:p>
      <w:pPr>
        <w:pStyle w:val="Heading1"/>
      </w:pPr>
      <w:r>
        <w:t>4. La poetica: vero, utile e interessante</w:t>
      </w:r>
    </w:p>
    <w:p>
      <w:r>
        <w:t>La conversione religiosa di Manzoni produce una conversione letteraria. Se il mondo è attraversato dal male, la letteratura non può limitarsi a costruire bellezza artificiale. Deve entrare nella realtà, rappresentarla con fedeltà e aiutare il lettore a comprenderla. Da qui nascono i tre principi fondamentali della poetica manzoniana: il vero, l’utile e l’interessante.</w:t>
      </w:r>
    </w:p>
    <w:p>
      <w:pPr>
        <w:pStyle w:val="Heading2"/>
      </w:pPr>
      <w:r>
        <w:t>4.1 Le tre colonne della poetica</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1701"/>
            <w:shd w:fill="D9EAF7"/>
          </w:tcPr>
          <w:p>
            <w:pPr>
              <w:spacing w:after="40"/>
            </w:pPr>
            <w:r>
              <w:rPr>
                <w:rFonts w:ascii="Calibri" w:hAnsi="Calibri" w:eastAsia="Calibri"/>
                <w:b/>
                <w:sz w:val="19"/>
              </w:rPr>
              <w:t>Principio</w:t>
            </w:r>
          </w:p>
        </w:tc>
        <w:tc>
          <w:tcPr>
            <w:tcW w:type="dxa" w:w="3628"/>
            <w:shd w:fill="D9EAF7"/>
          </w:tcPr>
          <w:p>
            <w:pPr>
              <w:spacing w:after="40"/>
            </w:pPr>
            <w:r>
              <w:rPr>
                <w:rFonts w:ascii="Calibri" w:hAnsi="Calibri" w:eastAsia="Calibri"/>
                <w:b/>
                <w:sz w:val="19"/>
              </w:rPr>
              <w:t>Che cosa significa</w:t>
            </w:r>
          </w:p>
        </w:tc>
        <w:tc>
          <w:tcPr>
            <w:tcW w:type="dxa" w:w="3855"/>
            <w:shd w:fill="D9EAF7"/>
          </w:tcPr>
          <w:p>
            <w:pPr>
              <w:spacing w:after="40"/>
            </w:pPr>
            <w:r>
              <w:rPr>
                <w:rFonts w:ascii="Calibri" w:hAnsi="Calibri" w:eastAsia="Calibri"/>
                <w:b/>
                <w:sz w:val="19"/>
              </w:rPr>
              <w:t>A che cosa serve</w:t>
            </w:r>
          </w:p>
        </w:tc>
      </w:tr>
      <w:tr>
        <w:trPr>
          <w:cantSplit/>
        </w:trPr>
        <w:tc>
          <w:tcPr>
            <w:tcW w:type="dxa" w:w="1701"/>
          </w:tcPr>
          <w:p>
            <w:pPr>
              <w:spacing w:after="40"/>
            </w:pPr>
            <w:r>
              <w:rPr>
                <w:rFonts w:ascii="Calibri" w:hAnsi="Calibri" w:eastAsia="Calibri"/>
                <w:sz w:val="19"/>
              </w:rPr>
              <w:t>Il vero</w:t>
            </w:r>
          </w:p>
        </w:tc>
        <w:tc>
          <w:tcPr>
            <w:tcW w:type="dxa" w:w="3628"/>
          </w:tcPr>
          <w:p>
            <w:pPr>
              <w:spacing w:after="40"/>
            </w:pPr>
            <w:r>
              <w:rPr>
                <w:rFonts w:ascii="Calibri" w:hAnsi="Calibri" w:eastAsia="Calibri"/>
                <w:sz w:val="19"/>
              </w:rPr>
              <w:t>La letteratura deve rappresentare la realtà storica, sociale e morale.</w:t>
            </w:r>
          </w:p>
        </w:tc>
        <w:tc>
          <w:tcPr>
            <w:tcW w:type="dxa" w:w="3855"/>
          </w:tcPr>
          <w:p>
            <w:pPr>
              <w:spacing w:after="40"/>
            </w:pPr>
            <w:r>
              <w:rPr>
                <w:rFonts w:ascii="Calibri" w:hAnsi="Calibri" w:eastAsia="Calibri"/>
                <w:sz w:val="19"/>
              </w:rPr>
              <w:t>Evita il mito astratto e costringe a guardare il mondo concreto.</w:t>
            </w:r>
          </w:p>
        </w:tc>
      </w:tr>
      <w:tr>
        <w:trPr>
          <w:cantSplit/>
        </w:trPr>
        <w:tc>
          <w:tcPr>
            <w:tcW w:type="dxa" w:w="1701"/>
          </w:tcPr>
          <w:p>
            <w:pPr>
              <w:spacing w:after="40"/>
            </w:pPr>
            <w:r>
              <w:rPr>
                <w:rFonts w:ascii="Calibri" w:hAnsi="Calibri" w:eastAsia="Calibri"/>
                <w:sz w:val="19"/>
              </w:rPr>
              <w:t>L’utile</w:t>
            </w:r>
          </w:p>
        </w:tc>
        <w:tc>
          <w:tcPr>
            <w:tcW w:type="dxa" w:w="3628"/>
          </w:tcPr>
          <w:p>
            <w:pPr>
              <w:spacing w:after="40"/>
            </w:pPr>
            <w:r>
              <w:rPr>
                <w:rFonts w:ascii="Calibri" w:hAnsi="Calibri" w:eastAsia="Calibri"/>
                <w:sz w:val="19"/>
              </w:rPr>
              <w:t>La letteratura deve avere una funzione educativa e civile.</w:t>
            </w:r>
          </w:p>
        </w:tc>
        <w:tc>
          <w:tcPr>
            <w:tcW w:type="dxa" w:w="3855"/>
          </w:tcPr>
          <w:p>
            <w:pPr>
              <w:spacing w:after="40"/>
            </w:pPr>
            <w:r>
              <w:rPr>
                <w:rFonts w:ascii="Calibri" w:hAnsi="Calibri" w:eastAsia="Calibri"/>
                <w:sz w:val="19"/>
              </w:rPr>
              <w:t>Aiuta il lettore a formarsi moralmente.</w:t>
            </w:r>
          </w:p>
        </w:tc>
      </w:tr>
      <w:tr>
        <w:trPr>
          <w:cantSplit/>
        </w:trPr>
        <w:tc>
          <w:tcPr>
            <w:tcW w:type="dxa" w:w="1701"/>
          </w:tcPr>
          <w:p>
            <w:pPr>
              <w:spacing w:after="40"/>
            </w:pPr>
            <w:r>
              <w:rPr>
                <w:rFonts w:ascii="Calibri" w:hAnsi="Calibri" w:eastAsia="Calibri"/>
                <w:sz w:val="19"/>
              </w:rPr>
              <w:t>L’interessante</w:t>
            </w:r>
          </w:p>
        </w:tc>
        <w:tc>
          <w:tcPr>
            <w:tcW w:type="dxa" w:w="3628"/>
          </w:tcPr>
          <w:p>
            <w:pPr>
              <w:spacing w:after="40"/>
            </w:pPr>
            <w:r>
              <w:rPr>
                <w:rFonts w:ascii="Calibri" w:hAnsi="Calibri" w:eastAsia="Calibri"/>
                <w:sz w:val="19"/>
              </w:rPr>
              <w:t>La letteratura deve coinvolgere il lettore.</w:t>
            </w:r>
          </w:p>
        </w:tc>
        <w:tc>
          <w:tcPr>
            <w:tcW w:type="dxa" w:w="3855"/>
          </w:tcPr>
          <w:p>
            <w:pPr>
              <w:spacing w:after="40"/>
            </w:pPr>
            <w:r>
              <w:rPr>
                <w:rFonts w:ascii="Calibri" w:hAnsi="Calibri" w:eastAsia="Calibri"/>
                <w:sz w:val="19"/>
              </w:rPr>
              <w:t>Rende efficace il messaggio: se un testo non interessa, non educa.</w:t>
            </w:r>
          </w:p>
        </w:tc>
      </w:tr>
    </w:tbl>
    <w:p>
      <w:r>
        <w:t>La formula non va capita in modo meccanico. Manzoni non scrive manuali morali travestiti da romanzi. Sa benissimo che la letteratura deve essere viva, narrativa, capace di trattenere il lettore. Però non accetta l’idea che l’arte sia separata dalla verità e dalla responsabilità.</w:t>
      </w:r>
    </w:p>
    <w:p>
      <w:pPr>
        <w:pStyle w:val="Heading2"/>
      </w:pPr>
      <w:r>
        <w:t>4.2 Il rifiuto del Neoclassicismo</w:t>
      </w:r>
    </w:p>
    <w:p>
      <w:r>
        <w:t>Manzoni si allontana dal modello neoclassico perché lo considera troppo distante dalla lingua viva e dalla realtà storica degli uomini. Il mito antico, la perfezione formale e l’eleganza astratta non bastano più. Lo scrittore moderno deve parlare del mondo reale: oppressori, poveri, istituzioni, fame, guerre, conversioni, coscienze in crisi.</w:t>
      </w:r>
    </w:p>
    <w:p>
      <w:pPr>
        <w:pStyle w:val="Heading2"/>
      </w:pPr>
      <w:r>
        <w:t>4.3 La tragedia manzoniana</w:t>
      </w:r>
    </w:p>
    <w:p>
      <w:r>
        <w:t>Anche nel teatro Manzoni applica il principio del vero. Per questo rifiuta le unità aristoteliche di tempo, luogo e azione: la storia reale non si lascia chiudere in uno schema artificiale. Una tragedia che voglia educare deve rispettare la complessità degli eventi storici.</w:t>
      </w:r>
    </w:p>
    <w:p>
      <w:r>
        <w:t>Il coro assume un ruolo nuovo. Nella tragedia greca era spesso lo spettatore ideale della vicenda. In Manzoni diventa soprattutto il luogo in cui l’autore inserisce una riflessione morale, religiosa e civile. Il coro non serve solo a commentare: serve a interpretare.</w:t>
      </w:r>
    </w:p>
    <w:p>
      <w:pPr>
        <w:pStyle w:val="Heading2"/>
      </w:pPr>
      <w:r>
        <w:t>4.4 Il romanzo storico</w:t>
      </w:r>
    </w:p>
    <w:p>
      <w:r>
        <w:t>Nei Promessi sposi il vero storico e l’interessante narrativo trovano la loro forma più compiuta. Manzoni ambienta la vicenda nel Seicento lombardo, sotto la dominazione spagnola, ma il suo sguardo parla anche all’Ottocento. Mostrando l’arbitrio, la corruzione e l’inefficienza del passato, invita i lettori del presente a riflettere sulla costruzione di una società più giusta.</w:t>
      </w:r>
    </w:p>
    <w:p>
      <w:r>
        <w:t>Il romanzo storico permette a Manzoni di unire grandi eventi collettivi e vite umili. Renzo e Lucia non sono eroi aristocratici: sono due persone semplici. Proprio questa scelta è rivoluzionaria: la storia non appartiene solo ai potenti, ma anche agli ultimi.</w:t>
      </w:r>
    </w:p>
    <w:p>
      <w:pPr>
        <w:pStyle w:val="Heading2"/>
      </w:pPr>
      <w:r>
        <w:t>4.5 La lingua: dal romanzo alla nazione</w:t>
      </w:r>
    </w:p>
    <w:p>
      <w:r>
        <w:t>Il lavoro linguistico di Manzoni è parte integrante della poetica. Una letteratura utile deve poter essere compresa. Per questo Manzoni rivede a lungo il romanzo e orienta la lingua verso il fiorentino vivo. Il risultato non è solo un capolavoro letterario, ma anche un modello decisivo per l’italiano moderno.</w:t>
      </w:r>
    </w:p>
    <w:tbl>
      <w:tblPr>
        <w:tblStyle w:val="TableGrid"/>
        <w:tblW w:type="auto" w:w="0"/>
        <w:jc w:val="center"/>
        <w:tblLook w:firstColumn="1" w:firstRow="1" w:lastColumn="0" w:lastRow="0" w:noHBand="0" w:noVBand="1" w:val="04A0"/>
      </w:tblPr>
      <w:tblGrid>
        <w:gridCol w:w="10200"/>
      </w:tblGrid>
      <w:tr>
        <w:trPr>
          <w:cantSplit/>
        </w:trPr>
        <w:tc>
          <w:tcPr>
            <w:tcW w:type="dxa" w:w="10200"/>
            <w:shd w:fill="F2F7FB"/>
          </w:tcPr>
          <w:p>
            <w:pPr>
              <w:spacing w:after="40"/>
            </w:pPr>
            <w:r>
              <w:rPr>
                <w:rFonts w:ascii="Calibri" w:hAnsi="Calibri" w:eastAsia="Calibri"/>
                <w:b/>
                <w:sz w:val="19"/>
              </w:rPr>
              <w:t>Da ricordare per l’interrogazione</w:t>
            </w:r>
          </w:p>
          <w:p>
            <w:pPr>
              <w:spacing w:after="40"/>
              <w:ind w:left="198" w:hanging="85"/>
            </w:pPr>
            <w:r>
              <w:rPr>
                <w:rFonts w:ascii="Calibri" w:hAnsi="Calibri" w:eastAsia="Calibri"/>
                <w:sz w:val="19"/>
              </w:rPr>
              <w:t>• Vero = realtà storica e morale.</w:t>
            </w:r>
          </w:p>
          <w:p>
            <w:pPr>
              <w:spacing w:after="40"/>
              <w:ind w:left="198" w:hanging="85"/>
            </w:pPr>
            <w:r>
              <w:rPr>
                <w:rFonts w:ascii="Calibri" w:hAnsi="Calibri" w:eastAsia="Calibri"/>
                <w:sz w:val="19"/>
              </w:rPr>
              <w:t>• Utile = funzione educativa e civile.</w:t>
            </w:r>
          </w:p>
          <w:p>
            <w:pPr>
              <w:spacing w:after="40"/>
              <w:ind w:left="198" w:hanging="85"/>
            </w:pPr>
            <w:r>
              <w:rPr>
                <w:rFonts w:ascii="Calibri" w:hAnsi="Calibri" w:eastAsia="Calibri"/>
                <w:sz w:val="19"/>
              </w:rPr>
              <w:t>• Interessante = forza narrativa che coinvolge il lettore.</w:t>
            </w:r>
          </w:p>
          <w:p>
            <w:pPr>
              <w:spacing w:after="40"/>
              <w:ind w:left="198" w:hanging="85"/>
            </w:pPr>
            <w:r>
              <w:rPr>
                <w:rFonts w:ascii="Calibri" w:hAnsi="Calibri" w:eastAsia="Calibri"/>
                <w:sz w:val="19"/>
              </w:rPr>
              <w:t>• Il coro tragico è lo spazio della riflessione dell’autore.</w:t>
            </w:r>
          </w:p>
          <w:p>
            <w:pPr>
              <w:spacing w:after="40"/>
              <w:ind w:left="198" w:hanging="85"/>
            </w:pPr>
            <w:r>
              <w:rPr>
                <w:rFonts w:ascii="Calibri" w:hAnsi="Calibri" w:eastAsia="Calibri"/>
                <w:sz w:val="19"/>
              </w:rPr>
              <w:t>• Il romanzo storico unisce storia collettiva e destino degli umili.</w:t>
            </w:r>
          </w:p>
        </w:tc>
      </w:tr>
    </w:tbl>
    <w:p/>
    <w:p>
      <w:pPr>
        <w:pStyle w:val="Heading3"/>
      </w:pPr>
      <w:r>
        <w:t>Domande guida</w:t>
      </w:r>
    </w:p>
    <w:p>
      <w:pPr>
        <w:ind w:left="369" w:hanging="369"/>
      </w:pPr>
      <w:r>
        <w:t>1.  Perché Manzoni rifiuta una letteratura fondata solo sul bello?</w:t>
      </w:r>
    </w:p>
    <w:p>
      <w:pPr>
        <w:ind w:left="369" w:hanging="369"/>
      </w:pPr>
      <w:r>
        <w:t>2.  Che cosa significa “vero” nella poetica manzoniana?</w:t>
      </w:r>
    </w:p>
    <w:p>
      <w:pPr>
        <w:ind w:left="369" w:hanging="369"/>
      </w:pPr>
      <w:r>
        <w:t>3.  Perché il romanzo storico è la forma più adatta alla sua visione?</w:t>
      </w:r>
    </w:p>
    <w:p>
      <w:pPr>
        <w:pStyle w:val="Heading1"/>
      </w:pPr>
      <w:r>
        <w:t>5. Le opere: dalla poesia al romanzo nazionale</w:t>
      </w:r>
    </w:p>
    <w:p>
      <w:r>
        <w:t>Le opere di Manzoni non sono blocchi separati: formano un percorso. Le tragedie, le odi civili e gli inni sacri preparano il terreno ai Promessi sposi, dove la riflessione su storia, male, Provvidenza e lingua raggiunge la forma più completa.</w:t>
      </w:r>
    </w:p>
    <w:p>
      <w:pPr>
        <w:pStyle w:val="Heading2"/>
      </w:pPr>
      <w:r>
        <w:t>5.1 Le tragedie</w:t>
      </w:r>
    </w:p>
    <w:p>
      <w:r>
        <w:t>Manzoni rinnova la tragedia scegliendo argomenti storici e rifiutando le regole rigide della tradizione classica. Le sue tragedie non celebrano l’eroismo, ma mostrano il dolore prodotto dalla storia e dalla violenza politica.</w:t>
      </w:r>
    </w:p>
    <w:p>
      <w:pPr>
        <w:pStyle w:val="ListBullet"/>
      </w:pPr>
      <w:r>
        <w:t>Il conte di Carmagnola (1816-1819): racconta la vicenda del condottiero Francesco Bussone, detto il Carmagnola. La tragedia riflette sulla caducità della gloria e sulla morte. Il coro offre una lettura morale e religiosa degli eventi.</w:t>
      </w:r>
    </w:p>
    <w:p>
      <w:pPr>
        <w:pStyle w:val="ListBullet"/>
      </w:pPr>
      <w:r>
        <w:t>Adelchi (1822): ambientato nel periodo della caduta del regno longobardo. Il protagonista è lacerato tra dovere politico, desiderio di giustizia e sconfitta. Il celebre coro sugli oppressi denuncia il dolore dei popoli travolti dalla storia.</w:t>
      </w:r>
    </w:p>
    <w:p>
      <w:r>
        <w:t>Nelle tragedie emerge ancora una visione drammatica: la storia appare dominata dalla forza, e la consolazione divina si intravede soprattutto nella prospettiva della morte e dell’eterno.</w:t>
      </w:r>
    </w:p>
    <w:p>
      <w:pPr>
        <w:pStyle w:val="Heading2"/>
      </w:pPr>
      <w:r>
        <w:t>5.2 Le odi civili</w:t>
      </w:r>
    </w:p>
    <w:p>
      <w:r>
        <w:t>Le odi civili mostrano il legame tra poesia, storia e politica. Manzoni non scrive per isolarsi dal proprio tempo: osserva gli eventi contemporanei e li interpreta alla luce di una riflessione religiosa e morale.</w:t>
      </w:r>
    </w:p>
    <w:p>
      <w:pPr>
        <w:pStyle w:val="ListBullet"/>
      </w:pPr>
      <w:r>
        <w:t>Marzo 1821: legata ai moti liberali e patriottici. Esprime l’attesa di libertà e il desiderio di unità nazionale.</w:t>
      </w:r>
    </w:p>
    <w:p>
      <w:pPr>
        <w:pStyle w:val="ListBullet"/>
      </w:pPr>
      <w:r>
        <w:t>Il cinque maggio (1821): composta dopo la morte di Napoleone. Non è una celebrazione politica dell’imperatore, ma una meditazione sulla gloria terrena, sulla caducità del potere e sulla Provvidenza che si manifesta nell’ultimo istante della vita.</w:t>
      </w:r>
    </w:p>
    <w:p>
      <w:r>
        <w:t>La domanda “Fu vera gloria?” resta centrale: Manzoni sospende il giudizio storico-politico e sposta l’attenzione sul destino dell’uomo davanti a Dio.</w:t>
      </w:r>
    </w:p>
    <w:p>
      <w:pPr>
        <w:pStyle w:val="Heading2"/>
      </w:pPr>
      <w:r>
        <w:t>5.3 Gli Inni sacri</w:t>
      </w:r>
    </w:p>
    <w:p>
      <w:r>
        <w:t>Tra il 1812 e il 1822 Manzoni compone cinque Inni sacri, dedicati alle principali feste cristiane: La Resurrezione, Il Nome di Maria, Il Natale, La Passione, La Pentecoste. Il progetto iniziale era più ampio, ma resta incompiuto.</w:t>
      </w:r>
    </w:p>
    <w:p>
      <w:r>
        <w:t>La Pentecoste è il momento decisivo. Qui la Provvidenza non appare più solo come consolazione finale, ma come presenza viva nella storia. La Chiesa, guidata dallo Spirito, diventa segno concreto di Dio nel mondo: agisce contro il male attraverso la carità, la predicazione e l’esempio.</w:t>
      </w:r>
    </w:p>
    <w:p>
      <w:pPr>
        <w:pStyle w:val="Heading2"/>
      </w:pPr>
      <w:r>
        <w:t>5.4 I Promessi sposi: il capolavoro</w:t>
      </w:r>
    </w:p>
    <w:p>
      <w:r>
        <w:t>I Promessi sposi sono il primo grande romanzo nazionale italiano. La vicenda è ambientata in Lombardia tra il 1628 e il 1630, durante la dominazione spagnola. I protagonisti sono Renzo Tramaglino e Lucia Mondella, due giovani promessi sposi il cui matrimonio viene impedito da Don Rodrigo, signorotto locale invaghito di Lucia.</w:t>
      </w:r>
    </w:p>
    <w:p>
      <w:pPr>
        <w:pStyle w:val="Heading3"/>
      </w:pPr>
      <w:r>
        <w:t>La trama essenziale</w:t>
      </w:r>
    </w:p>
    <w:p>
      <w:pPr>
        <w:ind w:left="425" w:hanging="425"/>
      </w:pPr>
      <w:r>
        <w:t>1.  Don Abbondio viene minacciato dai bravi di Don Rodrigo e si rifiuta di celebrare il matrimonio tra Renzo e Lucia.</w:t>
      </w:r>
    </w:p>
    <w:p>
      <w:pPr>
        <w:ind w:left="425" w:hanging="425"/>
      </w:pPr>
      <w:r>
        <w:t>2.  Renzo cerca aiuto presso l’Azzeccagarbugli, ma l’avvocato si tira indietro appena capisce che è coinvolto Don Rodrigo.</w:t>
      </w:r>
    </w:p>
    <w:p>
      <w:pPr>
        <w:ind w:left="425" w:hanging="425"/>
      </w:pPr>
      <w:r>
        <w:t>3.  Fra Cristoforo tenta di difendere i due giovani, ma non riesce a fermare il potente.</w:t>
      </w:r>
    </w:p>
    <w:p>
      <w:pPr>
        <w:ind w:left="425" w:hanging="425"/>
      </w:pPr>
      <w:r>
        <w:t>4.  Dopo il fallimento del matrimonio “a sorpresa”, Renzo e Lucia sono costretti alla fuga e vengono separati.</w:t>
      </w:r>
    </w:p>
    <w:p>
      <w:pPr>
        <w:ind w:left="425" w:hanging="425"/>
      </w:pPr>
      <w:r>
        <w:t>5.  Renzo arriva a Milano durante i tumulti del pane e, coinvolto ingenuamente, deve fuggire nel Bergamasco.</w:t>
      </w:r>
    </w:p>
    <w:p>
      <w:pPr>
        <w:ind w:left="425" w:hanging="425"/>
      </w:pPr>
      <w:r>
        <w:t>6.  Lucia viene accolta a Monza dalla Monaca di Monza, ma poi viene rapita e consegnata all’Innominato.</w:t>
      </w:r>
    </w:p>
    <w:p>
      <w:pPr>
        <w:ind w:left="425" w:hanging="425"/>
      </w:pPr>
      <w:r>
        <w:t>7.  L’Innominato, colpito dall’innocenza di Lucia, vive una crisi profonda e si converte dopo l’incontro con il cardinale Federigo Borromeo.</w:t>
      </w:r>
    </w:p>
    <w:p>
      <w:pPr>
        <w:ind w:left="425" w:hanging="425"/>
      </w:pPr>
      <w:r>
        <w:t>8.  La peste sconvolge Milano e la Lombardia. Don Rodrigo muore, Renzo e Lucia si ritrovano al Lazzaretto.</w:t>
      </w:r>
    </w:p>
    <w:p>
      <w:pPr>
        <w:ind w:left="425" w:hanging="425"/>
      </w:pPr>
      <w:r>
        <w:t>9.  Terminata l’epidemia, Renzo e Lucia si sposano e iniziano una nuova vita, più matura e consapevole.</w:t>
      </w:r>
    </w:p>
    <w:p>
      <w:pPr>
        <w:pStyle w:val="Heading3"/>
      </w:pPr>
      <w:r>
        <w:t>Il significato del romanzo</w:t>
      </w:r>
    </w:p>
    <w:p>
      <w:r>
        <w:t>La vicenda privata di Renzo e Lucia si intreccia con la grande storia: dominazione straniera, carestia, tumulti, guerra e peste. Il romanzo mostra che i piccoli non sono fuori dalla storia: spesso la subiscono più dei potenti. Ma proprio dentro questa storia la Provvidenza può agire, trasformando le sventure in occasioni di maturazione.</w:t>
      </w:r>
    </w:p>
    <w:p>
      <w:r>
        <w:t>Il romanzo è anche una critica del Seicento: Manzoni denuncia l’arbitrio dei potenti, l’inefficienza della giustizia, la corruzione, la superstizione e l’irrazionalità collettiva. Guardando al passato, parla anche al suo presente: l’Italia dell’Ottocento deve costruire una società più giusta e più responsabile.</w:t>
      </w:r>
    </w:p>
    <w:p>
      <w:pPr>
        <w:pStyle w:val="Heading2"/>
      </w:pPr>
      <w:r>
        <w:t>5.5 Il sistema dei personaggi</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1927"/>
            <w:shd w:fill="D9EAF7"/>
          </w:tcPr>
          <w:p>
            <w:pPr>
              <w:spacing w:after="40"/>
            </w:pPr>
            <w:r>
              <w:rPr>
                <w:rFonts w:ascii="Calibri" w:hAnsi="Calibri" w:eastAsia="Calibri"/>
                <w:b/>
                <w:sz w:val="19"/>
              </w:rPr>
              <w:t>Area sociale</w:t>
            </w:r>
          </w:p>
        </w:tc>
        <w:tc>
          <w:tcPr>
            <w:tcW w:type="dxa" w:w="3628"/>
            <w:shd w:fill="D9EAF7"/>
          </w:tcPr>
          <w:p>
            <w:pPr>
              <w:spacing w:after="40"/>
            </w:pPr>
            <w:r>
              <w:rPr>
                <w:rFonts w:ascii="Calibri" w:hAnsi="Calibri" w:eastAsia="Calibri"/>
                <w:b/>
                <w:sz w:val="19"/>
              </w:rPr>
              <w:t>Figure negative</w:t>
            </w:r>
          </w:p>
        </w:tc>
        <w:tc>
          <w:tcPr>
            <w:tcW w:type="dxa" w:w="3685"/>
            <w:shd w:fill="D9EAF7"/>
          </w:tcPr>
          <w:p>
            <w:pPr>
              <w:spacing w:after="40"/>
            </w:pPr>
            <w:r>
              <w:rPr>
                <w:rFonts w:ascii="Calibri" w:hAnsi="Calibri" w:eastAsia="Calibri"/>
                <w:b/>
                <w:sz w:val="19"/>
              </w:rPr>
              <w:t>Figure positive o redente</w:t>
            </w:r>
          </w:p>
        </w:tc>
      </w:tr>
      <w:tr>
        <w:trPr>
          <w:cantSplit/>
        </w:trPr>
        <w:tc>
          <w:tcPr>
            <w:tcW w:type="dxa" w:w="1927"/>
          </w:tcPr>
          <w:p>
            <w:pPr>
              <w:spacing w:after="40"/>
            </w:pPr>
            <w:r>
              <w:rPr>
                <w:rFonts w:ascii="Calibri" w:hAnsi="Calibri" w:eastAsia="Calibri"/>
                <w:sz w:val="19"/>
              </w:rPr>
              <w:t>Aristocrazia</w:t>
            </w:r>
          </w:p>
        </w:tc>
        <w:tc>
          <w:tcPr>
            <w:tcW w:type="dxa" w:w="3628"/>
          </w:tcPr>
          <w:p>
            <w:pPr>
              <w:spacing w:after="40"/>
            </w:pPr>
            <w:r>
              <w:rPr>
                <w:rFonts w:ascii="Calibri" w:hAnsi="Calibri" w:eastAsia="Calibri"/>
                <w:sz w:val="19"/>
              </w:rPr>
              <w:t>Don Rodrigo; Gertrude, quando usa il privilegio come oppressione o ne resta deformata.</w:t>
            </w:r>
          </w:p>
        </w:tc>
        <w:tc>
          <w:tcPr>
            <w:tcW w:type="dxa" w:w="3685"/>
          </w:tcPr>
          <w:p>
            <w:pPr>
              <w:spacing w:after="40"/>
            </w:pPr>
            <w:r>
              <w:rPr>
                <w:rFonts w:ascii="Calibri" w:hAnsi="Calibri" w:eastAsia="Calibri"/>
                <w:sz w:val="19"/>
              </w:rPr>
              <w:t>Federigo Borromeo; l’Innominato dopo la conversione.</w:t>
            </w:r>
          </w:p>
        </w:tc>
      </w:tr>
      <w:tr>
        <w:trPr>
          <w:cantSplit/>
        </w:trPr>
        <w:tc>
          <w:tcPr>
            <w:tcW w:type="dxa" w:w="1927"/>
          </w:tcPr>
          <w:p>
            <w:pPr>
              <w:spacing w:after="40"/>
            </w:pPr>
            <w:r>
              <w:rPr>
                <w:rFonts w:ascii="Calibri" w:hAnsi="Calibri" w:eastAsia="Calibri"/>
                <w:sz w:val="19"/>
              </w:rPr>
              <w:t>Popolo</w:t>
            </w:r>
          </w:p>
        </w:tc>
        <w:tc>
          <w:tcPr>
            <w:tcW w:type="dxa" w:w="3628"/>
          </w:tcPr>
          <w:p>
            <w:pPr>
              <w:spacing w:after="40"/>
            </w:pPr>
            <w:r>
              <w:rPr>
                <w:rFonts w:ascii="Calibri" w:hAnsi="Calibri" w:eastAsia="Calibri"/>
                <w:sz w:val="19"/>
              </w:rPr>
              <w:t>La folla milanese quando diventa violenta e irrazionale.</w:t>
            </w:r>
          </w:p>
        </w:tc>
        <w:tc>
          <w:tcPr>
            <w:tcW w:type="dxa" w:w="3685"/>
          </w:tcPr>
          <w:p>
            <w:pPr>
              <w:spacing w:after="40"/>
            </w:pPr>
            <w:r>
              <w:rPr>
                <w:rFonts w:ascii="Calibri" w:hAnsi="Calibri" w:eastAsia="Calibri"/>
                <w:sz w:val="19"/>
              </w:rPr>
              <w:t>Lucia, come innocenza e fede; Renzo, come crescita dalla ribellione alla maturità.</w:t>
            </w:r>
          </w:p>
        </w:tc>
      </w:tr>
      <w:tr>
        <w:trPr>
          <w:cantSplit/>
        </w:trPr>
        <w:tc>
          <w:tcPr>
            <w:tcW w:type="dxa" w:w="1927"/>
          </w:tcPr>
          <w:p>
            <w:pPr>
              <w:spacing w:after="40"/>
            </w:pPr>
            <w:r>
              <w:rPr>
                <w:rFonts w:ascii="Calibri" w:hAnsi="Calibri" w:eastAsia="Calibri"/>
                <w:sz w:val="19"/>
              </w:rPr>
              <w:t>Ceto medio e Chiesa</w:t>
            </w:r>
          </w:p>
        </w:tc>
        <w:tc>
          <w:tcPr>
            <w:tcW w:type="dxa" w:w="3628"/>
          </w:tcPr>
          <w:p>
            <w:pPr>
              <w:spacing w:after="40"/>
            </w:pPr>
            <w:r>
              <w:rPr>
                <w:rFonts w:ascii="Calibri" w:hAnsi="Calibri" w:eastAsia="Calibri"/>
                <w:sz w:val="19"/>
              </w:rPr>
              <w:t>Don Abbondio e Azzeccagarbugli: paura, opportunismo, adattamento ai potenti.</w:t>
            </w:r>
          </w:p>
        </w:tc>
        <w:tc>
          <w:tcPr>
            <w:tcW w:type="dxa" w:w="3685"/>
          </w:tcPr>
          <w:p>
            <w:pPr>
              <w:spacing w:after="40"/>
            </w:pPr>
            <w:r>
              <w:rPr>
                <w:rFonts w:ascii="Calibri" w:hAnsi="Calibri" w:eastAsia="Calibri"/>
                <w:sz w:val="19"/>
              </w:rPr>
              <w:t>Fra Cristoforo: colpa, conversione e difesa degli oppressi.</w:t>
            </w:r>
          </w:p>
        </w:tc>
      </w:tr>
    </w:tbl>
    <w:p>
      <w:pPr>
        <w:pStyle w:val="Heading2"/>
      </w:pPr>
      <w:r>
        <w:t>5.6 Capitoli chiave dei Promessi sposi</w:t>
      </w:r>
    </w:p>
    <w:p>
      <w:r>
        <w:t>I capitoli indicati nelle lezioni non vanno studiati come riassunti isolati. Servono a vedere in azione i grandi nuclei del romanzo: potere, paura, conversione, falsa religione, Provvidenza.</w:t>
      </w:r>
    </w:p>
    <w:p>
      <w:pPr>
        <w:pStyle w:val="Heading3"/>
      </w:pPr>
      <w:r>
        <w:t>Capitolo I – “Questo matrimonio non s’ha da fare”</w:t>
      </w:r>
    </w:p>
    <w:p>
      <w:r>
        <w:t>Il romanzo si apre sul paesaggio del lago di Lecco e sulla dominazione spagnola. L’atmosfera iniziale è realistica e ironica: le leggi esistono, ma non proteggono davvero i deboli. Don Abbondio incontra i bravi di Don Rodrigo, che gli ordinano di non celebrare il matrimonio tra Renzo e Lucia.</w:t>
      </w:r>
    </w:p>
    <w:p>
      <w:r>
        <w:t>Il capitolo introduce un tema decisivo: la violenza dei potenti funziona perché incontra la paura dei deboli e la complicità degli opportunisti. Don Abbondio non è malvagio come Don Rodrigo, ma la sua viltà produce comunque ingiustizia. È il famoso “vaso di terracotta” costretto a viaggiare tra vasi di ferro.</w:t>
      </w:r>
    </w:p>
    <w:p>
      <w:pPr>
        <w:pStyle w:val="Heading3"/>
      </w:pPr>
      <w:r>
        <w:t>Capitolo IV – Fra Cristoforo</w:t>
      </w:r>
    </w:p>
    <w:p>
      <w:r>
        <w:t>Fra Cristoforo nasce come Ludovico, figlio di un ricco mercante. Giovane impulsivo e orgoglioso, difende i deboli ma resta prigioniero della logica della violenza. Dopo una lite con un nobile, uccide l’avversario e perde il fedele servitore Cristoforo. La colpa diventa il punto di svolta: Ludovico si fa frate e assume il nome di Fra Cristoforo.</w:t>
      </w:r>
    </w:p>
    <w:p>
      <w:r>
        <w:t>Questo personaggio mostra una delle idee centrali di Manzoni: la conversione non cancella magicamente il passato, ma lo trasforma in responsabilità. Fra Cristoforo non dimentica la colpa; la porta con sé e la converte in difesa degli oppressi.</w:t>
      </w:r>
    </w:p>
    <w:p>
      <w:pPr>
        <w:pStyle w:val="Heading3"/>
      </w:pPr>
      <w:r>
        <w:t>Capitoli IX-X – La Monaca di Monza</w:t>
      </w:r>
    </w:p>
    <w:p>
      <w:r>
        <w:t>Gertrude è uno dei personaggi più complessi del romanzo. Figlia di un potente principe, viene destinata fin dall’infanzia alla vita religiosa per ragioni economiche e familiari: conservare il patrimonio al primogenito. La sua vocazione non nasce da una scelta libera, ma da manipolazioni, pressioni e ricatti affettivi.</w:t>
      </w:r>
    </w:p>
    <w:p>
      <w:r>
        <w:t>Manzoni denuncia così una falsa religione: non la fede autentica, ma l’uso della religione come strumento di potere. Gertrude è colpevole, ma è anche vittima di un sistema che ha deformato la sua libertà. Per questo il personaggio è tragico: dentro di lei convivono desiderio di vita, rancore, paura e colpa.</w:t>
      </w:r>
    </w:p>
    <w:p>
      <w:pPr>
        <w:pStyle w:val="Heading3"/>
      </w:pPr>
      <w:r>
        <w:t>La conversione dell’Innominato</w:t>
      </w:r>
    </w:p>
    <w:p>
      <w:r>
        <w:t>L’Innominato è un uomo di potere costruito sulla violenza. Accetta di far rapire Lucia, ma l’incontro con la ragazza mette in crisi la sua coscienza. La frase di Lucia – “Dio perdona tante cose per un’opera di misericordia” – diventa un seme. La notte successiva è una vera agonia interiore: rivede il male compiuto, pensa alla morte, sente il peso del giudizio.</w:t>
      </w:r>
    </w:p>
    <w:p>
      <w:r>
        <w:t>L’incontro con il cardinale Federigo Borromeo completa la svolta. L’Innominato viene accolto non con paura, ma con misericordia. La conversione non è un colpo di teatro: è il momento in cui un uomo abituato a dominare scopre la possibilità di cambiare vita. In lui la Provvidenza agisce proprio quando il male sembra più forte.</w:t>
      </w:r>
    </w:p>
    <w:tbl>
      <w:tblPr>
        <w:tblStyle w:val="TableGrid"/>
        <w:tblW w:type="auto" w:w="0"/>
        <w:jc w:val="center"/>
        <w:tblLook w:firstColumn="1" w:firstRow="1" w:lastColumn="0" w:lastRow="0" w:noHBand="0" w:noVBand="1" w:val="04A0"/>
      </w:tblPr>
      <w:tblGrid>
        <w:gridCol w:w="10200"/>
      </w:tblGrid>
      <w:tr>
        <w:trPr>
          <w:cantSplit/>
        </w:trPr>
        <w:tc>
          <w:tcPr>
            <w:tcW w:type="dxa" w:w="10200"/>
            <w:shd w:fill="F2F7FB"/>
          </w:tcPr>
          <w:p>
            <w:pPr>
              <w:spacing w:after="40"/>
            </w:pPr>
            <w:r>
              <w:rPr>
                <w:rFonts w:ascii="Calibri" w:hAnsi="Calibri" w:eastAsia="Calibri"/>
                <w:b/>
                <w:sz w:val="19"/>
              </w:rPr>
              <w:t>Il romanzo in una frase</w:t>
            </w:r>
          </w:p>
          <w:p>
            <w:pPr>
              <w:spacing w:after="40"/>
              <w:ind w:left="198" w:hanging="85"/>
            </w:pPr>
            <w:r>
              <w:rPr>
                <w:rFonts w:ascii="Calibri" w:hAnsi="Calibri" w:eastAsia="Calibri"/>
                <w:sz w:val="19"/>
              </w:rPr>
              <w:t>• I Promessi sposi mostrano una storia dominata da ingiustizie, ma attraversata dalla possibilità della conversione e dalla presenza della Provvidenza.</w:t>
            </w:r>
          </w:p>
        </w:tc>
      </w:tr>
    </w:tbl>
    <w:p/>
    <w:p>
      <w:pPr>
        <w:pStyle w:val="Heading3"/>
      </w:pPr>
      <w:r>
        <w:t>Domande guida</w:t>
      </w:r>
    </w:p>
    <w:p>
      <w:pPr>
        <w:ind w:left="369" w:hanging="369"/>
      </w:pPr>
      <w:r>
        <w:t>1.  Perché I Promessi sposi possono essere definiti romanzo storico, religioso e civile insieme?</w:t>
      </w:r>
    </w:p>
    <w:p>
      <w:pPr>
        <w:ind w:left="369" w:hanging="369"/>
      </w:pPr>
      <w:r>
        <w:t>2.  Quale funzione ha Don Abbondio nel sistema morale del romanzo?</w:t>
      </w:r>
    </w:p>
    <w:p>
      <w:pPr>
        <w:ind w:left="369" w:hanging="369"/>
      </w:pPr>
      <w:r>
        <w:t>3.  Perché Fra Cristoforo, Gertrude e l’Innominato sono tre modi diversi di rappresentare la colpa?</w:t>
      </w:r>
    </w:p>
    <w:p>
      <w:pPr>
        <w:ind w:left="369" w:hanging="369"/>
      </w:pPr>
      <w:r>
        <w:t>4.  Che cosa rende la conversione dell’Innominato così importante per la visione manzoniana?</w:t>
      </w:r>
    </w:p>
    <w:p>
      <w:pPr>
        <w:pStyle w:val="Heading1"/>
      </w:pPr>
      <w:r>
        <w:t>6. Conclusione: perché Manzoni conta ancora</w:t>
      </w:r>
    </w:p>
    <w:p>
      <w:r>
        <w:t>Manzoni è centrale nella letteratura italiana perché tiene insieme elementi che spesso vengono separati: la fede e la storia, la morale e la narrazione, la lingua e la nazione, gli umili e i potenti. La sua opera non è evasione. È un tentativo di dare forma letteraria a una domanda difficilissima: come vivere in un mondo dove il male esiste davvero?</w:t>
      </w:r>
    </w:p>
    <w:p>
      <w:r>
        <w:t>La risposta di Manzoni non è ingenua. Non dice che tutto andrà bene. Non dice che i buoni saranno sempre premiati nella storia. Renzo e Lucia attraversano paura, separazione, ingiustizie, peste, morte. La Provvidenza non è una bacchetta magica. È piuttosto lo sguardo con cui la fede permette di leggere la storia senza disperare e senza rinunciare alla responsabilità.</w:t>
      </w:r>
    </w:p>
    <w:p>
      <w:r>
        <w:t>Da qui nasce anche la modernità dei Promessi sposi. Il romanzo mostra che le istituzioni possono fallire, che la legge può essere impotente, che la folla può perdere la ragione, che la religione può essere tradita, che i deboli possono essere schiacciati. Ma mostra anche che l’uomo può cambiare, che la colpa può diventare conversione, che il dolore può diventare maturazione, che la letteratura può educare senza smettere di raccontare.</w:t>
      </w:r>
    </w:p>
    <w:tbl>
      <w:tblPr>
        <w:tblStyle w:val="TableGrid"/>
        <w:tblW w:type="auto" w:w="0"/>
        <w:jc w:val="center"/>
        <w:tblLook w:firstColumn="1" w:firstRow="1" w:lastColumn="0" w:lastRow="0" w:noHBand="0" w:noVBand="1" w:val="04A0"/>
      </w:tblPr>
      <w:tblGrid>
        <w:gridCol w:w="5100"/>
        <w:gridCol w:w="5100"/>
      </w:tblGrid>
      <w:tr>
        <w:trPr>
          <w:cantSplit/>
        </w:trPr>
        <w:tc>
          <w:tcPr>
            <w:tcW w:type="dxa" w:w="2494"/>
            <w:shd w:fill="FFF2CC"/>
          </w:tcPr>
          <w:p>
            <w:pPr>
              <w:spacing w:after="40"/>
            </w:pPr>
            <w:r>
              <w:rPr>
                <w:rFonts w:ascii="Calibri" w:hAnsi="Calibri" w:eastAsia="Calibri"/>
                <w:b/>
                <w:sz w:val="19"/>
              </w:rPr>
              <w:t>Nodo</w:t>
            </w:r>
          </w:p>
        </w:tc>
        <w:tc>
          <w:tcPr>
            <w:tcW w:type="dxa" w:w="6860"/>
            <w:shd w:fill="FFF2CC"/>
          </w:tcPr>
          <w:p>
            <w:pPr>
              <w:spacing w:after="40"/>
            </w:pPr>
            <w:r>
              <w:rPr>
                <w:rFonts w:ascii="Calibri" w:hAnsi="Calibri" w:eastAsia="Calibri"/>
                <w:b/>
                <w:sz w:val="19"/>
              </w:rPr>
              <w:t>Significato nel percorso</w:t>
            </w:r>
          </w:p>
        </w:tc>
      </w:tr>
      <w:tr>
        <w:trPr>
          <w:cantSplit/>
        </w:trPr>
        <w:tc>
          <w:tcPr>
            <w:tcW w:type="dxa" w:w="2494"/>
          </w:tcPr>
          <w:p>
            <w:pPr>
              <w:spacing w:after="40"/>
            </w:pPr>
            <w:r>
              <w:rPr>
                <w:rFonts w:ascii="Calibri" w:hAnsi="Calibri" w:eastAsia="Calibri"/>
                <w:sz w:val="19"/>
              </w:rPr>
              <w:t>Introduzione</w:t>
            </w:r>
          </w:p>
        </w:tc>
        <w:tc>
          <w:tcPr>
            <w:tcW w:type="dxa" w:w="6860"/>
          </w:tcPr>
          <w:p>
            <w:pPr>
              <w:spacing w:after="40"/>
            </w:pPr>
            <w:r>
              <w:rPr>
                <w:rFonts w:ascii="Calibri" w:hAnsi="Calibri" w:eastAsia="Calibri"/>
                <w:sz w:val="19"/>
              </w:rPr>
              <w:t>Manzoni nasce tra Illuminismo, Romanticismo, cattolicesimo e Risorgimento.</w:t>
            </w:r>
          </w:p>
        </w:tc>
      </w:tr>
      <w:tr>
        <w:trPr>
          <w:cantSplit/>
        </w:trPr>
        <w:tc>
          <w:tcPr>
            <w:tcW w:type="dxa" w:w="2494"/>
          </w:tcPr>
          <w:p>
            <w:pPr>
              <w:spacing w:after="40"/>
            </w:pPr>
            <w:r>
              <w:rPr>
                <w:rFonts w:ascii="Calibri" w:hAnsi="Calibri" w:eastAsia="Calibri"/>
                <w:sz w:val="19"/>
              </w:rPr>
              <w:t>Fratture</w:t>
            </w:r>
          </w:p>
        </w:tc>
        <w:tc>
          <w:tcPr>
            <w:tcW w:type="dxa" w:w="6860"/>
          </w:tcPr>
          <w:p>
            <w:pPr>
              <w:spacing w:after="40"/>
            </w:pPr>
            <w:r>
              <w:rPr>
                <w:rFonts w:ascii="Calibri" w:hAnsi="Calibri" w:eastAsia="Calibri"/>
                <w:sz w:val="19"/>
              </w:rPr>
              <w:t>Famiglia, collegio, conversione, lutti e storia nazionale orientano la sua visione.</w:t>
            </w:r>
          </w:p>
        </w:tc>
      </w:tr>
      <w:tr>
        <w:trPr>
          <w:cantSplit/>
        </w:trPr>
        <w:tc>
          <w:tcPr>
            <w:tcW w:type="dxa" w:w="2494"/>
          </w:tcPr>
          <w:p>
            <w:pPr>
              <w:spacing w:after="40"/>
            </w:pPr>
            <w:r>
              <w:rPr>
                <w:rFonts w:ascii="Calibri" w:hAnsi="Calibri" w:eastAsia="Calibri"/>
                <w:sz w:val="19"/>
              </w:rPr>
              <w:t>Immagine del mondo</w:t>
            </w:r>
          </w:p>
        </w:tc>
        <w:tc>
          <w:tcPr>
            <w:tcW w:type="dxa" w:w="6860"/>
          </w:tcPr>
          <w:p>
            <w:pPr>
              <w:spacing w:after="40"/>
            </w:pPr>
            <w:r>
              <w:rPr>
                <w:rFonts w:ascii="Calibri" w:hAnsi="Calibri" w:eastAsia="Calibri"/>
                <w:sz w:val="19"/>
              </w:rPr>
              <w:t>La storia è ferita dal male, ma non è abbandonata dalla Provvidenza.</w:t>
            </w:r>
          </w:p>
        </w:tc>
      </w:tr>
      <w:tr>
        <w:trPr>
          <w:cantSplit/>
        </w:trPr>
        <w:tc>
          <w:tcPr>
            <w:tcW w:type="dxa" w:w="2494"/>
          </w:tcPr>
          <w:p>
            <w:pPr>
              <w:spacing w:after="40"/>
            </w:pPr>
            <w:r>
              <w:rPr>
                <w:rFonts w:ascii="Calibri" w:hAnsi="Calibri" w:eastAsia="Calibri"/>
                <w:sz w:val="19"/>
              </w:rPr>
              <w:t>Poetica</w:t>
            </w:r>
          </w:p>
        </w:tc>
        <w:tc>
          <w:tcPr>
            <w:tcW w:type="dxa" w:w="6860"/>
          </w:tcPr>
          <w:p>
            <w:pPr>
              <w:spacing w:after="40"/>
            </w:pPr>
            <w:r>
              <w:rPr>
                <w:rFonts w:ascii="Calibri" w:hAnsi="Calibri" w:eastAsia="Calibri"/>
                <w:sz w:val="19"/>
              </w:rPr>
              <w:t>La letteratura deve fondarsi su vero, utile e interessante.</w:t>
            </w:r>
          </w:p>
        </w:tc>
      </w:tr>
      <w:tr>
        <w:trPr>
          <w:cantSplit/>
        </w:trPr>
        <w:tc>
          <w:tcPr>
            <w:tcW w:type="dxa" w:w="2494"/>
          </w:tcPr>
          <w:p>
            <w:pPr>
              <w:spacing w:after="40"/>
            </w:pPr>
            <w:r>
              <w:rPr>
                <w:rFonts w:ascii="Calibri" w:hAnsi="Calibri" w:eastAsia="Calibri"/>
                <w:sz w:val="19"/>
              </w:rPr>
              <w:t>Opere</w:t>
            </w:r>
          </w:p>
        </w:tc>
        <w:tc>
          <w:tcPr>
            <w:tcW w:type="dxa" w:w="6860"/>
          </w:tcPr>
          <w:p>
            <w:pPr>
              <w:spacing w:after="40"/>
            </w:pPr>
            <w:r>
              <w:rPr>
                <w:rFonts w:ascii="Calibri" w:hAnsi="Calibri" w:eastAsia="Calibri"/>
                <w:sz w:val="19"/>
              </w:rPr>
              <w:t>Tragedie, odi e inni preparano il capolavoro dei Promessi sposi.</w:t>
            </w:r>
          </w:p>
        </w:tc>
      </w:tr>
      <w:tr>
        <w:trPr>
          <w:cantSplit/>
        </w:trPr>
        <w:tc>
          <w:tcPr>
            <w:tcW w:type="dxa" w:w="2494"/>
          </w:tcPr>
          <w:p>
            <w:pPr>
              <w:spacing w:after="40"/>
            </w:pPr>
            <w:r>
              <w:rPr>
                <w:rFonts w:ascii="Calibri" w:hAnsi="Calibri" w:eastAsia="Calibri"/>
                <w:sz w:val="19"/>
              </w:rPr>
              <w:t>Eredità</w:t>
            </w:r>
          </w:p>
        </w:tc>
        <w:tc>
          <w:tcPr>
            <w:tcW w:type="dxa" w:w="6860"/>
          </w:tcPr>
          <w:p>
            <w:pPr>
              <w:spacing w:after="40"/>
            </w:pPr>
            <w:r>
              <w:rPr>
                <w:rFonts w:ascii="Calibri" w:hAnsi="Calibri" w:eastAsia="Calibri"/>
                <w:sz w:val="19"/>
              </w:rPr>
              <w:t>Manzoni costruisce un modello di romanzo nazionale, lingua moderna e responsabilità civile.</w:t>
            </w:r>
          </w:p>
        </w:tc>
      </w:tr>
    </w:tbl>
    <w:p>
      <w:r>
        <w:t>La formula finale potrebbe essere questa: Manzoni non consola abbassando la difficoltà del mondo; consola perché costringe a guardarlo con lucidità, e poi chiede all’uomo di non arrendersi al male.</w:t>
      </w:r>
    </w:p>
    <w:p>
      <w:pPr>
        <w:pStyle w:val="Heading3"/>
      </w:pPr>
      <w:r>
        <w:t>Domande guida</w:t>
      </w:r>
    </w:p>
    <w:p>
      <w:pPr>
        <w:ind w:left="369" w:hanging="369"/>
      </w:pPr>
      <w:r>
        <w:t>1.  Perché la letteratura manzoniana può essere definita una letteratura della responsabilità?</w:t>
      </w:r>
    </w:p>
    <w:p>
      <w:pPr>
        <w:ind w:left="369" w:hanging="369"/>
      </w:pPr>
      <w:r>
        <w:t>2.  In che senso Manzoni non è un autore “facilmente consolatorio”?</w:t>
      </w:r>
    </w:p>
    <w:p>
      <w:pPr>
        <w:ind w:left="369" w:hanging="369"/>
      </w:pPr>
      <w:r>
        <w:t>3.  Qual è l’eredità più importante dei Promessi sposi nella cultura italiana?</w:t>
      </w:r>
    </w:p>
    <w:p>
      <w:pPr>
        <w:pStyle w:val="Heading1"/>
      </w:pPr>
      <w:r>
        <w:t>Appendice – Glossario essenziale e ripasso</w:t>
      </w:r>
    </w:p>
    <w:tbl>
      <w:tblPr>
        <w:tblStyle w:val="TableGrid"/>
        <w:tblW w:type="auto" w:w="0"/>
        <w:jc w:val="center"/>
        <w:tblLook w:firstColumn="1" w:firstRow="1" w:lastColumn="0" w:lastRow="0" w:noHBand="0" w:noVBand="1" w:val="04A0"/>
      </w:tblPr>
      <w:tblGrid>
        <w:gridCol w:w="5100"/>
        <w:gridCol w:w="5100"/>
      </w:tblGrid>
      <w:tr>
        <w:trPr>
          <w:cantSplit/>
        </w:trPr>
        <w:tc>
          <w:tcPr>
            <w:tcW w:type="dxa" w:w="2268"/>
            <w:shd w:fill="E6F0E8"/>
            <w:vAlign w:val="top"/>
          </w:tcPr>
          <w:p>
            <w:pPr>
              <w:spacing w:after="40"/>
            </w:pPr>
            <w:r>
              <w:rPr>
                <w:rFonts w:ascii="Calibri" w:hAnsi="Calibri" w:eastAsia="Calibri"/>
                <w:b/>
                <w:sz w:val="19"/>
              </w:rPr>
              <w:t>Parola</w:t>
            </w:r>
          </w:p>
        </w:tc>
        <w:tc>
          <w:tcPr>
            <w:tcW w:type="dxa" w:w="7087"/>
            <w:shd w:fill="E6F0E8"/>
            <w:vAlign w:val="top"/>
          </w:tcPr>
          <w:p>
            <w:pPr>
              <w:spacing w:after="40"/>
            </w:pPr>
            <w:r>
              <w:rPr>
                <w:rFonts w:ascii="Calibri" w:hAnsi="Calibri" w:eastAsia="Calibri"/>
                <w:b/>
                <w:sz w:val="19"/>
              </w:rPr>
              <w:t>Significato</w:t>
            </w:r>
          </w:p>
        </w:tc>
      </w:tr>
      <w:tr>
        <w:trPr>
          <w:cantSplit/>
        </w:trPr>
        <w:tc>
          <w:tcPr>
            <w:tcW w:type="dxa" w:w="2268"/>
            <w:vAlign w:val="top"/>
          </w:tcPr>
          <w:p>
            <w:pPr>
              <w:spacing w:after="40"/>
            </w:pPr>
            <w:r>
              <w:rPr>
                <w:rFonts w:ascii="Calibri" w:hAnsi="Calibri" w:eastAsia="Calibri"/>
                <w:sz w:val="19"/>
              </w:rPr>
              <w:t>Provvidenza</w:t>
            </w:r>
          </w:p>
        </w:tc>
        <w:tc>
          <w:tcPr>
            <w:tcW w:type="dxa" w:w="7087"/>
            <w:vAlign w:val="top"/>
          </w:tcPr>
          <w:p>
            <w:pPr>
              <w:spacing w:after="40"/>
            </w:pPr>
            <w:r>
              <w:rPr>
                <w:rFonts w:ascii="Calibri" w:hAnsi="Calibri" w:eastAsia="Calibri"/>
                <w:sz w:val="19"/>
              </w:rPr>
              <w:t>Azione di Dio nella storia. In Manzoni non elimina il male, ma può trasformarlo in occasione di bene e conversione.</w:t>
            </w:r>
          </w:p>
        </w:tc>
      </w:tr>
      <w:tr>
        <w:trPr>
          <w:cantSplit/>
        </w:trPr>
        <w:tc>
          <w:tcPr>
            <w:tcW w:type="dxa" w:w="2268"/>
            <w:vAlign w:val="top"/>
          </w:tcPr>
          <w:p>
            <w:pPr>
              <w:spacing w:after="40"/>
            </w:pPr>
            <w:r>
              <w:rPr>
                <w:rFonts w:ascii="Calibri" w:hAnsi="Calibri" w:eastAsia="Calibri"/>
                <w:sz w:val="19"/>
              </w:rPr>
              <w:t>Provvida sventura</w:t>
            </w:r>
          </w:p>
        </w:tc>
        <w:tc>
          <w:tcPr>
            <w:tcW w:type="dxa" w:w="7087"/>
            <w:vAlign w:val="top"/>
          </w:tcPr>
          <w:p>
            <w:pPr>
              <w:spacing w:after="40"/>
            </w:pPr>
            <w:r>
              <w:rPr>
                <w:rFonts w:ascii="Calibri" w:hAnsi="Calibri" w:eastAsia="Calibri"/>
                <w:sz w:val="19"/>
              </w:rPr>
              <w:t>Dolore che, alla luce della fede, diventa occasione di crescita morale e spirituale.</w:t>
            </w:r>
          </w:p>
        </w:tc>
      </w:tr>
      <w:tr>
        <w:trPr>
          <w:cantSplit/>
        </w:trPr>
        <w:tc>
          <w:tcPr>
            <w:tcW w:type="dxa" w:w="2268"/>
            <w:vAlign w:val="top"/>
          </w:tcPr>
          <w:p>
            <w:pPr>
              <w:spacing w:after="40"/>
            </w:pPr>
            <w:r>
              <w:rPr>
                <w:rFonts w:ascii="Calibri" w:hAnsi="Calibri" w:eastAsia="Calibri"/>
                <w:sz w:val="19"/>
              </w:rPr>
              <w:t>Giansenismo</w:t>
            </w:r>
          </w:p>
        </w:tc>
        <w:tc>
          <w:tcPr>
            <w:tcW w:type="dxa" w:w="7087"/>
            <w:vAlign w:val="top"/>
          </w:tcPr>
          <w:p>
            <w:pPr>
              <w:spacing w:after="40"/>
            </w:pPr>
            <w:r>
              <w:rPr>
                <w:rFonts w:ascii="Calibri" w:hAnsi="Calibri" w:eastAsia="Calibri"/>
                <w:sz w:val="19"/>
              </w:rPr>
              <w:t>Movimento religioso che insiste sulla fragilità radicale dell’uomo e sulla necessità della grazia divina.</w:t>
            </w:r>
          </w:p>
        </w:tc>
      </w:tr>
      <w:tr>
        <w:trPr>
          <w:cantSplit/>
        </w:trPr>
        <w:tc>
          <w:tcPr>
            <w:tcW w:type="dxa" w:w="2268"/>
            <w:vAlign w:val="top"/>
          </w:tcPr>
          <w:p>
            <w:pPr>
              <w:spacing w:after="40"/>
            </w:pPr>
            <w:r>
              <w:rPr>
                <w:rFonts w:ascii="Calibri" w:hAnsi="Calibri" w:eastAsia="Calibri"/>
                <w:sz w:val="19"/>
              </w:rPr>
              <w:t>Vero</w:t>
            </w:r>
          </w:p>
        </w:tc>
        <w:tc>
          <w:tcPr>
            <w:tcW w:type="dxa" w:w="7087"/>
            <w:vAlign w:val="top"/>
          </w:tcPr>
          <w:p>
            <w:pPr>
              <w:spacing w:after="40"/>
            </w:pPr>
            <w:r>
              <w:rPr>
                <w:rFonts w:ascii="Calibri" w:hAnsi="Calibri" w:eastAsia="Calibri"/>
                <w:sz w:val="19"/>
              </w:rPr>
              <w:t>Principio poetico manzoniano: la letteratura deve rappresentare la realtà storica e morale.</w:t>
            </w:r>
          </w:p>
        </w:tc>
      </w:tr>
      <w:tr>
        <w:trPr>
          <w:cantSplit/>
        </w:trPr>
        <w:tc>
          <w:tcPr>
            <w:tcW w:type="dxa" w:w="2268"/>
            <w:vAlign w:val="top"/>
          </w:tcPr>
          <w:p>
            <w:pPr>
              <w:spacing w:after="40"/>
            </w:pPr>
            <w:r>
              <w:rPr>
                <w:rFonts w:ascii="Calibri" w:hAnsi="Calibri" w:eastAsia="Calibri"/>
                <w:sz w:val="19"/>
              </w:rPr>
              <w:t>Utile</w:t>
            </w:r>
          </w:p>
        </w:tc>
        <w:tc>
          <w:tcPr>
            <w:tcW w:type="dxa" w:w="7087"/>
            <w:vAlign w:val="top"/>
          </w:tcPr>
          <w:p>
            <w:pPr>
              <w:spacing w:after="40"/>
            </w:pPr>
            <w:r>
              <w:rPr>
                <w:rFonts w:ascii="Calibri" w:hAnsi="Calibri" w:eastAsia="Calibri"/>
                <w:sz w:val="19"/>
              </w:rPr>
              <w:t>Funzione educativa e civile della letteratura.</w:t>
            </w:r>
          </w:p>
        </w:tc>
      </w:tr>
      <w:tr>
        <w:trPr>
          <w:cantSplit/>
        </w:trPr>
        <w:tc>
          <w:tcPr>
            <w:tcW w:type="dxa" w:w="2268"/>
            <w:vAlign w:val="top"/>
          </w:tcPr>
          <w:p>
            <w:pPr>
              <w:spacing w:after="40"/>
            </w:pPr>
            <w:r>
              <w:rPr>
                <w:rFonts w:ascii="Calibri" w:hAnsi="Calibri" w:eastAsia="Calibri"/>
                <w:sz w:val="19"/>
              </w:rPr>
              <w:t>Interessante</w:t>
            </w:r>
          </w:p>
        </w:tc>
        <w:tc>
          <w:tcPr>
            <w:tcW w:type="dxa" w:w="7087"/>
            <w:vAlign w:val="top"/>
          </w:tcPr>
          <w:p>
            <w:pPr>
              <w:spacing w:after="40"/>
            </w:pPr>
            <w:r>
              <w:rPr>
                <w:rFonts w:ascii="Calibri" w:hAnsi="Calibri" w:eastAsia="Calibri"/>
                <w:sz w:val="19"/>
              </w:rPr>
              <w:t>Capacità del testo di coinvolgere il lettore, rendendo efficace il messaggio.</w:t>
            </w:r>
          </w:p>
        </w:tc>
      </w:tr>
      <w:tr>
        <w:trPr>
          <w:cantSplit/>
        </w:trPr>
        <w:tc>
          <w:tcPr>
            <w:tcW w:type="dxa" w:w="2268"/>
            <w:vAlign w:val="top"/>
          </w:tcPr>
          <w:p>
            <w:pPr>
              <w:spacing w:after="40"/>
            </w:pPr>
            <w:r>
              <w:rPr>
                <w:rFonts w:ascii="Calibri" w:hAnsi="Calibri" w:eastAsia="Calibri"/>
                <w:sz w:val="19"/>
              </w:rPr>
              <w:t>Romanzo storico</w:t>
            </w:r>
          </w:p>
        </w:tc>
        <w:tc>
          <w:tcPr>
            <w:tcW w:type="dxa" w:w="7087"/>
            <w:vAlign w:val="top"/>
          </w:tcPr>
          <w:p>
            <w:pPr>
              <w:spacing w:after="40"/>
            </w:pPr>
            <w:r>
              <w:rPr>
                <w:rFonts w:ascii="Calibri" w:hAnsi="Calibri" w:eastAsia="Calibri"/>
                <w:sz w:val="19"/>
              </w:rPr>
              <w:t>Genere che intreccia vicende inventate e contesto storico reale.</w:t>
            </w:r>
          </w:p>
        </w:tc>
      </w:tr>
      <w:tr>
        <w:trPr>
          <w:cantSplit/>
        </w:trPr>
        <w:tc>
          <w:tcPr>
            <w:tcW w:type="dxa" w:w="2268"/>
            <w:vAlign w:val="top"/>
          </w:tcPr>
          <w:p>
            <w:pPr>
              <w:spacing w:after="40"/>
            </w:pPr>
            <w:r>
              <w:rPr>
                <w:rFonts w:ascii="Calibri" w:hAnsi="Calibri" w:eastAsia="Calibri"/>
                <w:sz w:val="19"/>
              </w:rPr>
              <w:t>Coro manzoniano</w:t>
            </w:r>
          </w:p>
        </w:tc>
        <w:tc>
          <w:tcPr>
            <w:tcW w:type="dxa" w:w="7087"/>
            <w:vAlign w:val="top"/>
          </w:tcPr>
          <w:p>
            <w:pPr>
              <w:spacing w:after="40"/>
            </w:pPr>
            <w:r>
              <w:rPr>
                <w:rFonts w:ascii="Calibri" w:hAnsi="Calibri" w:eastAsia="Calibri"/>
                <w:sz w:val="19"/>
              </w:rPr>
              <w:t>Spazio della tragedia in cui l’autore inserisce una riflessione morale e religiosa.</w:t>
            </w:r>
          </w:p>
        </w:tc>
      </w:tr>
      <w:tr>
        <w:trPr>
          <w:cantSplit/>
        </w:trPr>
        <w:tc>
          <w:tcPr>
            <w:tcW w:type="dxa" w:w="2268"/>
            <w:vAlign w:val="top"/>
          </w:tcPr>
          <w:p>
            <w:pPr>
              <w:spacing w:after="40"/>
            </w:pPr>
            <w:r>
              <w:rPr>
                <w:rFonts w:ascii="Calibri" w:hAnsi="Calibri" w:eastAsia="Calibri"/>
                <w:sz w:val="19"/>
              </w:rPr>
              <w:t>Conversione</w:t>
            </w:r>
          </w:p>
        </w:tc>
        <w:tc>
          <w:tcPr>
            <w:tcW w:type="dxa" w:w="7087"/>
            <w:vAlign w:val="top"/>
          </w:tcPr>
          <w:p>
            <w:pPr>
              <w:spacing w:after="40"/>
            </w:pPr>
            <w:r>
              <w:rPr>
                <w:rFonts w:ascii="Calibri" w:hAnsi="Calibri" w:eastAsia="Calibri"/>
                <w:sz w:val="19"/>
              </w:rPr>
              <w:t>Passaggio interiore che modifica la vita: in Manzoni è religiosa, morale e letteraria.</w:t>
            </w:r>
          </w:p>
        </w:tc>
      </w:tr>
      <w:tr>
        <w:trPr>
          <w:cantSplit/>
        </w:trPr>
        <w:tc>
          <w:tcPr>
            <w:tcW w:type="dxa" w:w="2268"/>
            <w:vAlign w:val="top"/>
          </w:tcPr>
          <w:p>
            <w:pPr>
              <w:spacing w:after="40"/>
            </w:pPr>
            <w:r>
              <w:rPr>
                <w:rFonts w:ascii="Calibri" w:hAnsi="Calibri" w:eastAsia="Calibri"/>
                <w:sz w:val="19"/>
              </w:rPr>
              <w:t>Risorgimento</w:t>
            </w:r>
          </w:p>
        </w:tc>
        <w:tc>
          <w:tcPr>
            <w:tcW w:type="dxa" w:w="7087"/>
            <w:vAlign w:val="top"/>
          </w:tcPr>
          <w:p>
            <w:pPr>
              <w:spacing w:after="40"/>
            </w:pPr>
            <w:r>
              <w:rPr>
                <w:rFonts w:ascii="Calibri" w:hAnsi="Calibri" w:eastAsia="Calibri"/>
                <w:sz w:val="19"/>
              </w:rPr>
              <w:t>Processo politico e culturale che porta all’Unità d’Italia e dentro cui Manzoni assume il ruolo di autore nazionale.</w:t>
            </w:r>
          </w:p>
        </w:tc>
      </w:tr>
    </w:tbl>
    <w:p>
      <w:pPr>
        <w:pStyle w:val="Heading2"/>
      </w:pPr>
      <w:r>
        <w:t>Ripasso rapido in 10 punti</w:t>
      </w:r>
    </w:p>
    <w:p>
      <w:pPr>
        <w:ind w:left="425" w:hanging="425"/>
      </w:pPr>
      <w:r>
        <w:t>1.  Manzoni nasce a Milano nel 1785, in un ambiente legato alla cultura illuministica.</w:t>
      </w:r>
    </w:p>
    <w:p>
      <w:pPr>
        <w:ind w:left="425" w:hanging="425"/>
      </w:pPr>
      <w:r>
        <w:t>2.  La conversione del 1810 cambia il suo modo di guardare l’uomo, la storia e la letteratura.</w:t>
      </w:r>
    </w:p>
    <w:p>
      <w:pPr>
        <w:ind w:left="425" w:hanging="425"/>
      </w:pPr>
      <w:r>
        <w:t>3.  Il male è concreto: violenza, paura, ingiustizia, corruzione, peste, oppressione.</w:t>
      </w:r>
    </w:p>
    <w:p>
      <w:pPr>
        <w:ind w:left="425" w:hanging="425"/>
      </w:pPr>
      <w:r>
        <w:t>4.  La prima fase della Provvidenza è più severa e legata all’idea della salvezza finale.</w:t>
      </w:r>
    </w:p>
    <w:p>
      <w:pPr>
        <w:ind w:left="425" w:hanging="425"/>
      </w:pPr>
      <w:r>
        <w:t>5.  La seconda fase vede la Provvidenza come presenza attiva nella storia.</w:t>
      </w:r>
    </w:p>
    <w:p>
      <w:pPr>
        <w:ind w:left="425" w:hanging="425"/>
      </w:pPr>
      <w:r>
        <w:t>6.  La poetica manzoniana si fonda su vero, utile e interessante.</w:t>
      </w:r>
    </w:p>
    <w:p>
      <w:pPr>
        <w:ind w:left="425" w:hanging="425"/>
      </w:pPr>
      <w:r>
        <w:t>7.  Le tragedie rinnovano il teatro storico e danno al coro una funzione morale.</w:t>
      </w:r>
    </w:p>
    <w:p>
      <w:pPr>
        <w:ind w:left="425" w:hanging="425"/>
      </w:pPr>
      <w:r>
        <w:t>8.  Il cinque maggio medita sulla caducità della gloria terrena.</w:t>
      </w:r>
    </w:p>
    <w:p>
      <w:pPr>
        <w:ind w:left="425" w:hanging="425"/>
      </w:pPr>
      <w:r>
        <w:t>9.  I Promessi sposi uniscono storia, fede, società, lingua e destino degli umili.</w:t>
      </w:r>
    </w:p>
    <w:p>
      <w:pPr>
        <w:ind w:left="425" w:hanging="425"/>
      </w:pPr>
      <w:r>
        <w:t>10.  Manzoni contribuisce alla nascita del romanzo nazionale e dell’italiano moderno.</w:t>
      </w:r>
    </w:p>
    <w:p>
      <w:pPr>
        <w:pStyle w:val="Heading2"/>
      </w:pPr>
      <w:r>
        <w:t>Domande finali per prepararsi</w:t>
      </w:r>
    </w:p>
    <w:p>
      <w:pPr>
        <w:ind w:left="425" w:hanging="425"/>
      </w:pPr>
      <w:r>
        <w:t>1.  Spiega perché la conversione di Manzoni non è solo religiosa, ma anche letteraria.</w:t>
      </w:r>
    </w:p>
    <w:p>
      <w:pPr>
        <w:ind w:left="425" w:hanging="425"/>
      </w:pPr>
      <w:r>
        <w:t>2.  Confronta la prima e la seconda fase della Provvidenza.</w:t>
      </w:r>
    </w:p>
    <w:p>
      <w:pPr>
        <w:ind w:left="425" w:hanging="425"/>
      </w:pPr>
      <w:r>
        <w:t>3.  Spiega il significato della formula vero, utile e interessante.</w:t>
      </w:r>
    </w:p>
    <w:p>
      <w:pPr>
        <w:ind w:left="425" w:hanging="425"/>
      </w:pPr>
      <w:r>
        <w:t>4.  Perché Don Abbondio è un personaggio moralmente importante anche se non è un grande malvagio?</w:t>
      </w:r>
    </w:p>
    <w:p>
      <w:pPr>
        <w:ind w:left="425" w:hanging="425"/>
      </w:pPr>
      <w:r>
        <w:t>5.  Come viene rappresentata la falsa vocazione di Gertrude?</w:t>
      </w:r>
    </w:p>
    <w:p>
      <w:pPr>
        <w:ind w:left="425" w:hanging="425"/>
      </w:pPr>
      <w:r>
        <w:t>6.  Perché la conversione dell’Innominato è il centro religioso del romanzo?</w:t>
      </w:r>
    </w:p>
    <w:p>
      <w:pPr>
        <w:ind w:left="425" w:hanging="425"/>
      </w:pPr>
      <w:r>
        <w:t>7.  In che modo I Promessi sposi parlano anche all’Italia dell’Ottocento?</w:t>
      </w:r>
    </w:p>
    <w:p>
      <w:pPr>
        <w:ind w:left="425" w:hanging="425"/>
      </w:pPr>
      <w:r>
        <w:t>8.  Qual è il ruolo della lingua nel progetto manzoniano?</w:t>
      </w:r>
    </w:p>
    <w:p>
      <w:pPr>
        <w:pStyle w:val="Heading2"/>
      </w:pPr>
      <w:r>
        <w:t>Schema conclusivo</w:t>
      </w:r>
    </w:p>
    <w:p>
      <w:pPr>
        <w:jc w:val="center"/>
      </w:pPr>
      <w:r>
        <w:rPr>
          <w:b/>
          <w:color w:val="1F4E79"/>
          <w:sz w:val="24"/>
        </w:rPr>
        <w:t>MONDO FERITO DAL MALE → FEDE NELLA PROVVIDENZA → LETTERATURA COME RESPONSABILITÀ → ROMANZO NAZIONALE</w:t>
      </w:r>
    </w:p>
    <w:sectPr w:rsidR="00FC693F" w:rsidRPr="0006063C" w:rsidSect="00034616">
      <w:footerReference w:type="default" r:id="rId9"/>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Alessandro Manzoni – Dispensa didattica | p. </w:t>
    </w:r>
    <w:r>
      <w:rPr>
        <w:color w:val="66666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eastAsia="Calibr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eastAsia="Calibri"/>
      <w:b/>
      <w:bCs/>
      <w:color w:val="5B7F9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ttotitolodispensa">
    <w:name w:val="Sottotitolo dispensa"/>
    <w:pPr>
      <w:spacing w:after="360"/>
      <w:jc w:val="center"/>
    </w:pPr>
    <w:rPr>
      <w:rFonts w:ascii="Calibri" w:hAnsi="Calibri" w:eastAsia="Calibri"/>
      <w:color w:val="555555"/>
      <w:sz w:val="32"/>
    </w:rPr>
  </w:style>
  <w:style w:type="paragraph" w:customStyle="1" w:styleId="Notadidattica">
    <w:name w:val="Nota didattica"/>
    <w:pPr>
      <w:spacing w:before="80" w:after="160"/>
      <w:ind w:left="227" w:right="227"/>
    </w:pPr>
    <w:rPr>
      <w:rFonts w:ascii="Calibri" w:hAnsi="Calibri" w:eastAsia="Calibri"/>
      <w:i/>
      <w:color w:val="44444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Alessandro Manzoni - Dispensa didattica</dc:title>
  <dc:subject>Letteratura italiana</dc:subject>
  <dc:creator>gbprof e Libera</dc:creator>
  <cp:keywords/>
  <dc:description>generated by python-docx</dc:description>
  <cp:lastModifiedBy/>
  <cp:revision>1</cp:revision>
  <dcterms:created xsi:type="dcterms:W3CDTF">2013-12-23T23:15:00Z</dcterms:created>
  <dcterms:modified xsi:type="dcterms:W3CDTF">2013-12-23T23:15:00Z</dcterms:modified>
  <cp:category/>
</cp:coreProperties>
</file>