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eastAsia="Aptos Display"/>
          <w:b/>
          <w:color w:val="2D4F78"/>
          <w:sz w:val="44"/>
        </w:rPr>
        <w:t>01 - Introduzione politica e filosofica</w:t>
      </w:r>
    </w:p>
    <w:p>
      <w:pPr>
        <w:jc w:val="center"/>
      </w:pPr>
      <w:r>
        <w:rPr>
          <w:i/>
          <w:color w:val="5A5A5A"/>
          <w:sz w:val="22"/>
        </w:rPr>
        <w:t>Il mondo in cui Foscolo nasce: materia, rivoluzione, delusione</w:t>
      </w:r>
    </w:p>
    <w:p/>
    <w:tbl>
      <w:tblPr>
        <w:tblW w:type="auto" w:w="0"/>
        <w:jc w:val="center"/>
        <w:tblLook w:firstColumn="1" w:firstRow="1" w:lastColumn="0" w:lastRow="0" w:noHBand="0" w:noVBand="1" w:val="04A0"/>
      </w:tblPr>
      <w:tblGrid>
        <w:gridCol w:w="10200"/>
      </w:tblGrid>
      <w:tr>
        <w:tc>
          <w:tcPr>
            <w:tcW w:type="dxa" w:w="10200"/>
            <w:shd w:fill="F3F7FA"/>
            <w:tcBorders>
              <w:top w:sz="8" w:val="single" w:color="B7D1E6"/>
              <w:left w:sz="8" w:val="single" w:color="B7D1E6"/>
              <w:bottom w:sz="8" w:val="single" w:color="B7D1E6"/>
              <w:right w:sz="8" w:val="single" w:color="B7D1E6"/>
            </w:tcBorders>
          </w:tcPr>
          <w:p>
            <w:pPr>
              <w:spacing w:after="40"/>
            </w:pPr>
            <w:r>
              <w:rPr>
                <w:sz w:val="20"/>
              </w:rPr>
              <w:t>Obiettivo: capire che Foscolo nasce dentro una svolta storica. Non eredita un mondo stabile: eredita un mondo che cambia forma sotto i suoi occhi.</w:t>
            </w:r>
          </w:p>
        </w:tc>
      </w:tr>
    </w:tbl>
    <w:p>
      <w:pPr>
        <w:pStyle w:val="Heading1"/>
      </w:pPr>
      <w:r>
        <w:t>1. Una vita collocata sulla linea di frattura</w:t>
      </w:r>
    </w:p>
    <w:p>
      <w:r>
        <w:t>Ugo Foscolo nasce nel 1778 a Zante, isola greca allora legata alla Repubblica di Venezia. Questo dato non è decorativo. Foscolo nasce già in una condizione di confine: greco e veneziano, classico e moderno, mediterraneo e italiano, figlio di una patria concreta e insieme destinato a perderla.</w:t>
      </w:r>
    </w:p>
    <w:p>
      <w:r>
        <w:t>La sua giovinezza coincide con la fine del Settecento, cioè con una delle più grandi trasformazioni della storia europea. L’Antico Regime, fondato su monarchia assoluta, privilegi sociali e autorità tradizionale, entra in crisi. La Rivoluzione francese promette libertà, uguaglianza, cittadinanza. Napoleone sembra per un momento il liberatore dei popoli, poi appare anche come il conquistatore che sacrifica le nazioni ai propri calcoli politici.</w:t>
      </w:r>
    </w:p>
    <w:tbl>
      <w:tblPr>
        <w:tblW w:type="auto" w:w="0"/>
        <w:jc w:val="center"/>
        <w:tblLook w:firstColumn="1" w:firstRow="1" w:lastColumn="0" w:lastRow="0" w:noHBand="0" w:noVBand="1" w:val="04A0"/>
      </w:tblPr>
      <w:tblGrid>
        <w:gridCol w:w="10200"/>
      </w:tblGrid>
      <w:tr>
        <w:tc>
          <w:tcPr>
            <w:tcW w:type="dxa" w:w="10200"/>
            <w:shd w:fill="F3F7FA"/>
            <w:tcBorders>
              <w:top w:sz="6" w:val="single" w:color="B7D1E6"/>
              <w:left w:sz="6" w:val="single" w:color="B7D1E6"/>
              <w:bottom w:sz="6" w:val="single" w:color="B7D1E6"/>
              <w:right w:sz="6" w:val="single" w:color="B7D1E6"/>
            </w:tcBorders>
          </w:tcPr>
          <w:p>
            <w:r/>
            <w:r>
              <w:rPr>
                <w:b/>
                <w:color w:val="2D4F78"/>
                <w:sz w:val="21"/>
              </w:rPr>
              <w:t>Da ricordare subito</w:t>
            </w:r>
          </w:p>
          <w:p>
            <w:pPr>
              <w:spacing w:after="20"/>
              <w:ind w:left="170"/>
            </w:pPr>
            <w:r>
              <w:rPr>
                <w:sz w:val="19"/>
              </w:rPr>
              <w:t>• Foscolo non è un autore tranquillo perché non vive in un tempo tranquillo.</w:t>
            </w:r>
          </w:p>
          <w:p>
            <w:pPr>
              <w:spacing w:after="20"/>
              <w:ind w:left="170"/>
            </w:pPr>
            <w:r>
              <w:rPr>
                <w:sz w:val="19"/>
              </w:rPr>
              <w:t>• La sua letteratura nasce dall’urto tra ideali altissimi e realtà storica deludente.</w:t>
            </w:r>
          </w:p>
          <w:p>
            <w:pPr>
              <w:spacing w:after="20"/>
              <w:ind w:left="170"/>
            </w:pPr>
            <w:r>
              <w:rPr>
                <w:sz w:val="19"/>
              </w:rPr>
              <w:t>• La politica, per lui, non è sfondo: è ferita personale.</w:t>
            </w:r>
          </w:p>
        </w:tc>
      </w:tr>
    </w:tbl>
    <w:p/>
    <w:p>
      <w:pPr>
        <w:pStyle w:val="Heading1"/>
      </w:pPr>
      <w:r>
        <w:t>2. Il quadro politico: Antico Regime, Rivoluzione, Napoleone</w:t>
      </w:r>
    </w:p>
    <w:p>
      <w:pPr>
        <w:pStyle w:val="Heading2"/>
      </w:pPr>
      <w:r>
        <w:t>L’Antico Regime</w:t>
      </w:r>
    </w:p>
    <w:p>
      <w:r>
        <w:t>Prima della Rivoluzione francese l’Europa è ancora dominata da monarchie, privilegi di ceto e strutture sociali rigide. L’individuo conta meno dell’ordine ricevuto dalla nascita. La libertà politica è limitata e la cittadinanza moderna non esiste ancora nel senso pieno del termine.</w:t>
      </w:r>
    </w:p>
    <w:p>
      <w:pPr>
        <w:pStyle w:val="Heading2"/>
      </w:pPr>
      <w:r>
        <w:t>La Rivoluzione francese</w:t>
      </w:r>
    </w:p>
    <w:p>
      <w:r>
        <w:t>Nel 1789 la Rivoluzione francese apre una speranza nuova: non contano più solo il sangue e il privilegio, ma l’uomo come cittadino, dotato di diritti. Per un giovane come Foscolo questi ideali hanno una forza enorme. Libertà e patria diventano parole incandescenti, non formule da manuale.</w:t>
      </w:r>
    </w:p>
    <w:p>
      <w:pPr>
        <w:pStyle w:val="Heading2"/>
      </w:pPr>
      <w:r>
        <w:t>Napoleone: liberatore o traditore?</w:t>
      </w:r>
    </w:p>
    <w:p>
      <w:r>
        <w:t>Napoleone è il punto più doloroso. All’inizio rappresenta l’energia rivoluzionaria capace di abbattere i vecchi poteri. Ma nel 1797, con il trattato di Campoformio, Venezia viene ceduta all’Austria. Per Foscolo è un trauma politico e morale: la libertà promessa viene sacrificata alla diplomazia e al potere.</w:t>
      </w:r>
    </w:p>
    <w:tbl>
      <w:tblPr>
        <w:tblW w:type="auto" w:w="0"/>
        <w:tblLook w:firstColumn="1" w:firstRow="1" w:lastColumn="0" w:lastRow="0" w:noHBand="0" w:noVBand="1" w:val="04A0"/>
      </w:tblPr>
      <w:tblGrid>
        <w:gridCol w:w="10200"/>
      </w:tblGrid>
      <w:tr>
        <w:tc>
          <w:tcPr>
            <w:tcW w:type="dxa" w:w="10200"/>
            <w:shd w:fill="F8F8F8"/>
            <w:tcBorders>
              <w:left w:sz="16" w:val="single" w:color="8AAFD0"/>
            </w:tcBorders>
          </w:tcPr>
          <w:p>
            <w:pPr>
              <w:spacing w:after="40"/>
              <w:ind w:left="113"/>
            </w:pPr>
            <w:r>
              <w:rPr>
                <w:i/>
                <w:sz w:val="20"/>
              </w:rPr>
              <w:t>«Il sacrificio della patria nostra è consumato: tutto è perduto.»</w:t>
            </w:r>
          </w:p>
        </w:tc>
      </w:tr>
    </w:tbl>
    <w:p>
      <w:r>
        <w:t>Questa frase dell’Ortis non è solo l’inizio di un romanzo: è il tono di una generazione che aveva creduto nella storia e si è vista tradita dalla storia stessa.</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vAlign w:val="center"/>
            <w:tcBorders>
              <w:top w:sz="4" w:val="single" w:color="D0D7DE"/>
              <w:left w:sz="4" w:val="single" w:color="D0D7DE"/>
              <w:bottom w:sz="4" w:val="single" w:color="D0D7DE"/>
              <w:right w:sz="4" w:val="single" w:color="D0D7DE"/>
            </w:tcBorders>
          </w:tcPr>
          <w:p>
            <w:pPr>
              <w:spacing w:after="40"/>
            </w:pPr>
            <w:r/>
            <w:r>
              <w:rPr>
                <w:b/>
                <w:color w:val="2D4F78"/>
                <w:sz w:val="19"/>
              </w:rPr>
              <w:t>Momento storico</w:t>
            </w:r>
          </w:p>
        </w:tc>
        <w:tc>
          <w:tcPr>
            <w:tcW w:type="dxa" w:w="3400"/>
            <w:shd w:fill="D9EAF7"/>
            <w:vAlign w:val="center"/>
            <w:tcBorders>
              <w:top w:sz="4" w:val="single" w:color="D0D7DE"/>
              <w:left w:sz="4" w:val="single" w:color="D0D7DE"/>
              <w:bottom w:sz="4" w:val="single" w:color="D0D7DE"/>
              <w:right w:sz="4" w:val="single" w:color="D0D7DE"/>
            </w:tcBorders>
          </w:tcPr>
          <w:p>
            <w:pPr>
              <w:spacing w:after="40"/>
            </w:pPr>
            <w:r/>
            <w:r>
              <w:rPr>
                <w:b/>
                <w:color w:val="2D4F78"/>
                <w:sz w:val="19"/>
              </w:rPr>
              <w:t>Che cosa promette</w:t>
            </w:r>
          </w:p>
        </w:tc>
        <w:tc>
          <w:tcPr>
            <w:tcW w:type="dxa" w:w="3400"/>
            <w:shd w:fill="D9EAF7"/>
            <w:vAlign w:val="center"/>
            <w:tcBorders>
              <w:top w:sz="4" w:val="single" w:color="D0D7DE"/>
              <w:left w:sz="4" w:val="single" w:color="D0D7DE"/>
              <w:bottom w:sz="4" w:val="single" w:color="D0D7DE"/>
              <w:right w:sz="4" w:val="single" w:color="D0D7DE"/>
            </w:tcBorders>
          </w:tcPr>
          <w:p>
            <w:pPr>
              <w:spacing w:after="40"/>
            </w:pPr>
            <w:r/>
            <w:r>
              <w:rPr>
                <w:b/>
                <w:color w:val="2D4F78"/>
                <w:sz w:val="19"/>
              </w:rPr>
              <w:t>Che cosa produce in Foscolo</w:t>
            </w:r>
          </w:p>
        </w:tc>
      </w:tr>
      <w:tr>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Antico Regime</w:t>
            </w:r>
          </w:p>
        </w:tc>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Ordine, tradizione, stabilità</w:t>
            </w:r>
          </w:p>
        </w:tc>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Rifiuto dei privilegi e desiderio di libertà</w:t>
            </w:r>
          </w:p>
        </w:tc>
      </w:tr>
      <w:tr>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Rivoluzione francese</w:t>
            </w:r>
          </w:p>
        </w:tc>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Diritti, patria, cittadinanza</w:t>
            </w:r>
          </w:p>
        </w:tc>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Entusiasmo giovanile e impegno politico</w:t>
            </w:r>
          </w:p>
        </w:tc>
      </w:tr>
      <w:tr>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Napoleone</w:t>
            </w:r>
          </w:p>
        </w:tc>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Liberazione dell’Italia dai vecchi poteri</w:t>
            </w:r>
          </w:p>
        </w:tc>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Prima speranza, poi delusione profonda</w:t>
            </w:r>
          </w:p>
        </w:tc>
      </w:tr>
      <w:tr>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Campoformio, 1797</w:t>
            </w:r>
          </w:p>
        </w:tc>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Pace politica tra potenze</w:t>
            </w:r>
          </w:p>
        </w:tc>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Ferita: Venezia ceduta all’Austria</w:t>
            </w:r>
          </w:p>
        </w:tc>
      </w:tr>
    </w:tbl>
    <w:p/>
    <w:p>
      <w:pPr>
        <w:pStyle w:val="Heading1"/>
      </w:pPr>
      <w:r>
        <w:t>3. Il quadro filosofico: il meccanicismo</w:t>
      </w:r>
    </w:p>
    <w:p>
      <w:r>
        <w:t>Sul piano filosofico, Foscolo si forma nel clima dell’Illuminismo materialista. La realtà non viene più spiegata soprattutto attraverso il mistero religioso, ma attraverso la ragione, la scienza, le leggi della natura. Il meccanicismo immagina l’universo come una grande macchina: ogni fenomeno ha cause fisiche, tutto è materia in movimento.</w:t>
      </w:r>
    </w:p>
    <w:p>
      <w:r>
        <w:t>Questa visione ha un lato liberatorio: libera l’uomo dalla superstizione e dalla paura di castighi eterni. Ma ha anche un lato terribile: se tutto è materia, se l’anima immortale non esiste, se dopo la morte c’è il nulla, allora la vita non ha un senso garantito dall’alto.</w:t>
      </w:r>
    </w:p>
    <w:tbl>
      <w:tblPr>
        <w:tblW w:type="auto" w:w="0"/>
        <w:jc w:val="center"/>
        <w:tblLook w:firstColumn="1" w:firstRow="1" w:lastColumn="0" w:lastRow="0" w:noHBand="0" w:noVBand="1" w:val="04A0"/>
      </w:tblPr>
      <w:tblGrid>
        <w:gridCol w:w="10200"/>
      </w:tblGrid>
      <w:tr>
        <w:tc>
          <w:tcPr>
            <w:tcW w:type="dxa" w:w="10200"/>
            <w:shd w:fill="FFF2CC"/>
            <w:tcBorders>
              <w:top w:sz="6" w:val="single" w:color="B7D1E6"/>
              <w:left w:sz="6" w:val="single" w:color="B7D1E6"/>
              <w:bottom w:sz="6" w:val="single" w:color="B7D1E6"/>
              <w:right w:sz="6" w:val="single" w:color="B7D1E6"/>
            </w:tcBorders>
          </w:tcPr>
          <w:p>
            <w:r/>
            <w:r>
              <w:rPr>
                <w:b/>
                <w:color w:val="2D4F78"/>
                <w:sz w:val="21"/>
              </w:rPr>
              <w:t>Conseguenza filosofica decisiva</w:t>
            </w:r>
          </w:p>
          <w:p>
            <w:pPr>
              <w:spacing w:after="20"/>
            </w:pPr>
            <w:r>
              <w:rPr>
                <w:sz w:val="19"/>
              </w:rPr>
              <w:t>Foscolo non può più appoggiarsi alla religione tradizionale, ma non riesce nemmeno a vivere come se il nulla bastasse. La sua poesia nasce proprio da questa tensione: la ragione mostra il vuoto, il cuore pretende senso.</w:t>
            </w:r>
          </w:p>
        </w:tc>
      </w:tr>
    </w:tbl>
    <w:p/>
    <w:p>
      <w:pPr>
        <w:pStyle w:val="Heading1"/>
      </w:pPr>
      <w:r>
        <w:t>4. Perché questo serve per capire Foscolo</w:t>
      </w:r>
    </w:p>
    <w:p>
      <w:r>
        <w:t>La grandezza di Foscolo sta qui: non cancella il problema. Non finge di credere serenamente in un aldilà. Non accetta nemmeno di ridurre l’uomo a polvere senza memoria. Cerca una terza strada, fragile ma potente: se l’eternità non è data da Dio, l’uomo può costruire un’eternità simbolica attraverso la poesia, la memoria, la patria, la bellezza.</w:t>
      </w:r>
    </w:p>
    <w:p>
      <w:r>
        <w:t>Per questo Foscolo è un autore di passaggio. Viene dall’Illuminismo, perché ragiona in termini materialistici e laici. Ma annuncia l’Ottocento romantico, perché mette al centro l’io ferito, l’esilio, la nostalgia, il bisogno di assoluto.</w:t>
      </w:r>
    </w:p>
    <w:tbl>
      <w:tblPr>
        <w:tblW w:type="auto" w:w="0"/>
        <w:jc w:val="center"/>
        <w:tblLook w:firstColumn="1" w:firstRow="1" w:lastColumn="0" w:lastRow="0" w:noHBand="0" w:noVBand="1" w:val="04A0"/>
      </w:tblPr>
      <w:tblGrid>
        <w:gridCol w:w="10200"/>
      </w:tblGrid>
      <w:tr>
        <w:tc>
          <w:tcPr>
            <w:tcW w:type="dxa" w:w="10200"/>
            <w:shd w:fill="F3F7FA"/>
            <w:tcBorders>
              <w:top w:sz="6" w:val="single" w:color="B7D1E6"/>
              <w:left w:sz="6" w:val="single" w:color="B7D1E6"/>
              <w:bottom w:sz="6" w:val="single" w:color="B7D1E6"/>
              <w:right w:sz="6" w:val="single" w:color="B7D1E6"/>
            </w:tcBorders>
          </w:tcPr>
          <w:p>
            <w:r/>
            <w:r>
              <w:rPr>
                <w:b/>
                <w:color w:val="2D4F78"/>
                <w:sz w:val="21"/>
              </w:rPr>
              <w:t>Saperi irrinunciabili</w:t>
            </w:r>
          </w:p>
          <w:p>
            <w:pPr>
              <w:spacing w:after="20"/>
              <w:ind w:left="170"/>
            </w:pPr>
            <w:r>
              <w:rPr>
                <w:sz w:val="19"/>
              </w:rPr>
              <w:t>• Foscolo nasce nel 1778 e muore nel 1827.</w:t>
            </w:r>
          </w:p>
          <w:p>
            <w:pPr>
              <w:spacing w:after="20"/>
              <w:ind w:left="170"/>
            </w:pPr>
            <w:r>
              <w:rPr>
                <w:sz w:val="19"/>
              </w:rPr>
              <w:t>• Vive la fine dell’Antico Regime, la Rivoluzione francese, l’età napoleonica e la Restaurazione.</w:t>
            </w:r>
          </w:p>
          <w:p>
            <w:pPr>
              <w:spacing w:after="20"/>
              <w:ind w:left="170"/>
            </w:pPr>
            <w:r>
              <w:rPr>
                <w:sz w:val="19"/>
              </w:rPr>
              <w:t>• Campoformio è la ferita politica fondamentale.</w:t>
            </w:r>
          </w:p>
          <w:p>
            <w:pPr>
              <w:spacing w:after="20"/>
              <w:ind w:left="170"/>
            </w:pPr>
            <w:r>
              <w:rPr>
                <w:sz w:val="19"/>
              </w:rPr>
              <w:t>• Il meccanicismo gli offre una visione razionale ma angosciante del mondo.</w:t>
            </w:r>
          </w:p>
          <w:p>
            <w:pPr>
              <w:spacing w:after="20"/>
              <w:ind w:left="170"/>
            </w:pPr>
            <w:r>
              <w:rPr>
                <w:sz w:val="19"/>
              </w:rPr>
              <w:t>• La sua opera nasce dal bisogno di trovare senso in un universo senza garanzie religiose.</w:t>
            </w:r>
          </w:p>
        </w:tc>
      </w:tr>
    </w:tbl>
    <w:sectPr w:rsidR="00FC693F" w:rsidRPr="0006063C" w:rsidSect="00034616">
      <w:headerReference w:type="default" r:id="rId9"/>
      <w:footerReference w:type="default" r:id="rId10"/>
      <w:pgSz w:w="12240" w:h="15840"/>
      <w:pgMar w:top="879" w:right="964" w:bottom="765"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7"/>
      </w:rPr>
      <w:t>gbprof - materiale didattico rielaborato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Foscolo - Dispense per studenti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D4F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D4F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D4F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