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eastAsia="Aptos Display"/>
          <w:b/>
          <w:color w:val="2D4F78"/>
          <w:sz w:val="44"/>
        </w:rPr>
        <w:t>05 - Opere principali</w:t>
      </w:r>
    </w:p>
    <w:p>
      <w:pPr>
        <w:jc w:val="center"/>
      </w:pPr>
      <w:r>
        <w:rPr>
          <w:i/>
          <w:color w:val="5A5A5A"/>
          <w:sz w:val="22"/>
        </w:rPr>
        <w:t>Ortis, Dei Sepolcri, Le Grazie, Sonetti</w:t>
      </w:r>
    </w:p>
    <w:p/>
    <w:tbl>
      <w:tblPr>
        <w:tblW w:type="auto" w:w="0"/>
        <w:jc w:val="center"/>
        <w:tblLook w:firstColumn="1" w:firstRow="1" w:lastColumn="0" w:lastRow="0" w:noHBand="0" w:noVBand="1" w:val="04A0"/>
      </w:tblPr>
      <w:tblGrid>
        <w:gridCol w:w="10200"/>
      </w:tblGrid>
      <w:tr>
        <w:tc>
          <w:tcPr>
            <w:tcW w:type="dxa" w:w="10200"/>
            <w:shd w:fill="F3F7FA"/>
            <w:tcBorders>
              <w:top w:sz="8" w:val="single" w:color="B7D1E6"/>
              <w:left w:sz="8" w:val="single" w:color="B7D1E6"/>
              <w:bottom w:sz="8" w:val="single" w:color="B7D1E6"/>
              <w:right w:sz="8" w:val="single" w:color="B7D1E6"/>
            </w:tcBorders>
          </w:tcPr>
          <w:p>
            <w:pPr>
              <w:spacing w:after="40"/>
            </w:pPr>
            <w:r>
              <w:rPr>
                <w:sz w:val="20"/>
              </w:rPr>
              <w:t>Obiettivo: non studiare le opere come schede isolate, ma come risposte diverse allo stesso problema: come dare senso alla vita se tutto è destinato a finire?</w:t>
            </w:r>
          </w:p>
        </w:tc>
      </w:tr>
    </w:tbl>
    <w:p>
      <w:pPr>
        <w:pStyle w:val="Heading1"/>
      </w:pPr>
      <w:r>
        <w:t>1. Le opere come percorso</w:t>
      </w:r>
    </w:p>
    <w:p>
      <w:r>
        <w:t>Le opere principali di Foscolo possono essere lette come un unico itinerario. Nell’Ortis vediamo il crollo delle illusioni. Nei sonetti il dolore personale viene trasformato in forma lirica. Nei Sepolcri la memoria diventa valore civile. Nelle Grazie l’arte e la bellezza diventano l’ultima religione laica possibile.</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vAlign w:val="center"/>
            <w:tcBorders>
              <w:top w:sz="4" w:val="single" w:color="D0D7DE"/>
              <w:left w:sz="4" w:val="single" w:color="D0D7DE"/>
              <w:bottom w:sz="4" w:val="single" w:color="D0D7DE"/>
              <w:right w:sz="4" w:val="single" w:color="D0D7DE"/>
            </w:tcBorders>
          </w:tcPr>
          <w:p>
            <w:pPr>
              <w:spacing w:after="40"/>
            </w:pPr>
            <w:r/>
            <w:r>
              <w:rPr>
                <w:b/>
                <w:color w:val="2D4F78"/>
                <w:sz w:val="19"/>
              </w:rPr>
              <w:t>Opera</w:t>
            </w:r>
          </w:p>
        </w:tc>
        <w:tc>
          <w:tcPr>
            <w:tcW w:type="dxa" w:w="3400"/>
            <w:shd w:fill="D9EAF7"/>
            <w:vAlign w:val="center"/>
            <w:tcBorders>
              <w:top w:sz="4" w:val="single" w:color="D0D7DE"/>
              <w:left w:sz="4" w:val="single" w:color="D0D7DE"/>
              <w:bottom w:sz="4" w:val="single" w:color="D0D7DE"/>
              <w:right w:sz="4" w:val="single" w:color="D0D7DE"/>
            </w:tcBorders>
          </w:tcPr>
          <w:p>
            <w:pPr>
              <w:spacing w:after="40"/>
            </w:pPr>
            <w:r/>
            <w:r>
              <w:rPr>
                <w:b/>
                <w:color w:val="2D4F78"/>
                <w:sz w:val="19"/>
              </w:rPr>
              <w:t>Genere</w:t>
            </w:r>
          </w:p>
        </w:tc>
        <w:tc>
          <w:tcPr>
            <w:tcW w:type="dxa" w:w="3400"/>
            <w:shd w:fill="D9EAF7"/>
            <w:vAlign w:val="center"/>
            <w:tcBorders>
              <w:top w:sz="4" w:val="single" w:color="D0D7DE"/>
              <w:left w:sz="4" w:val="single" w:color="D0D7DE"/>
              <w:bottom w:sz="4" w:val="single" w:color="D0D7DE"/>
              <w:right w:sz="4" w:val="single" w:color="D0D7DE"/>
            </w:tcBorders>
          </w:tcPr>
          <w:p>
            <w:pPr>
              <w:spacing w:after="40"/>
            </w:pPr>
            <w:r/>
            <w:r>
              <w:rPr>
                <w:b/>
                <w:color w:val="2D4F78"/>
                <w:sz w:val="19"/>
              </w:rPr>
              <w:t>Nucleo</w:t>
            </w:r>
          </w:p>
        </w:tc>
      </w:tr>
      <w:tr>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Le ultime lettere di Jacopo Ortis</w:t>
            </w:r>
          </w:p>
        </w:tc>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Romanzo epistolare</w:t>
            </w:r>
          </w:p>
        </w:tc>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Patria e amore come illusioni infrante</w:t>
            </w:r>
          </w:p>
        </w:tc>
      </w:tr>
      <w:tr>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Sonetti</w:t>
            </w:r>
          </w:p>
        </w:tc>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Lirica breve</w:t>
            </w:r>
          </w:p>
        </w:tc>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Esilio, morte, madre, patria, nulla eterno</w:t>
            </w:r>
          </w:p>
        </w:tc>
      </w:tr>
      <w:tr>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Dei Sepolcri</w:t>
            </w:r>
          </w:p>
        </w:tc>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Carme civile e filosofico</w:t>
            </w:r>
          </w:p>
        </w:tc>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Tomba, memoria, gloria, poesia</w:t>
            </w:r>
          </w:p>
        </w:tc>
      </w:tr>
      <w:tr>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Le Grazie</w:t>
            </w:r>
          </w:p>
        </w:tc>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Carme mitologico incompiuto</w:t>
            </w:r>
          </w:p>
        </w:tc>
        <w:tc>
          <w:tcPr>
            <w:tcW w:type="dxa" w:w="3400"/>
            <w:vAlign w:val="center"/>
            <w:tcBorders>
              <w:top w:sz="4" w:val="single" w:color="D0D7DE"/>
              <w:left w:sz="4" w:val="single" w:color="D0D7DE"/>
              <w:bottom w:sz="4" w:val="single" w:color="D0D7DE"/>
              <w:right w:sz="4" w:val="single" w:color="D0D7DE"/>
            </w:tcBorders>
          </w:tcPr>
          <w:p>
            <w:pPr>
              <w:spacing w:after="40"/>
            </w:pPr>
            <w:r/>
            <w:r>
              <w:rPr>
                <w:b w:val="0"/>
                <w:sz w:val="18"/>
              </w:rPr>
              <w:t>Bellezza e arte come civilizzazione</w:t>
            </w:r>
          </w:p>
        </w:tc>
      </w:tr>
    </w:tbl>
    <w:p/>
    <w:p>
      <w:pPr>
        <w:pStyle w:val="Heading1"/>
      </w:pPr>
      <w:r>
        <w:t>2. Le ultime lettere di Jacopo Ortis</w:t>
      </w:r>
    </w:p>
    <w:p>
      <w:r>
        <w:t>Le ultime lettere di Jacopo Ortis è un romanzo epistolare: la vicenda è raccontata attraverso le lettere che Jacopo scrive all’amico Lorenzo. È un’opera decisiva perché introduce nella letteratura italiana moderna un io lacerato, non più padrone del mondo, ma schiacciato fra passione e storia.</w:t>
      </w:r>
    </w:p>
    <w:p>
      <w:r>
        <w:t>Jacopo è un giovane patriota deluso. Dopo il trattato di Campoformio si rifugia sui colli Euganei, dove incontra Teresa, promessa sposa a Odoardo. L’amore è profondo ma impossibile. Il viaggio in Italia non lo salva: Firenze, Milano, Roma gli mostrano grandezza passata e miseria presente. Quando Teresa si sposa, Jacopo si uccide.</w:t>
      </w:r>
    </w:p>
    <w:tbl>
      <w:tblPr>
        <w:tblW w:type="auto" w:w="0"/>
        <w:jc w:val="center"/>
        <w:tblLook w:firstColumn="1" w:firstRow="1" w:lastColumn="0" w:lastRow="0" w:noHBand="0" w:noVBand="1" w:val="04A0"/>
      </w:tblPr>
      <w:tblGrid>
        <w:gridCol w:w="10200"/>
      </w:tblGrid>
      <w:tr>
        <w:tc>
          <w:tcPr>
            <w:tcW w:type="dxa" w:w="10200"/>
            <w:shd w:fill="F3F7FA"/>
            <w:tcBorders>
              <w:top w:sz="6" w:val="single" w:color="B7D1E6"/>
              <w:left w:sz="6" w:val="single" w:color="B7D1E6"/>
              <w:bottom w:sz="6" w:val="single" w:color="B7D1E6"/>
              <w:right w:sz="6" w:val="single" w:color="B7D1E6"/>
            </w:tcBorders>
          </w:tcPr>
          <w:p>
            <w:r/>
            <w:r>
              <w:rPr>
                <w:b/>
                <w:color w:val="2D4F78"/>
                <w:sz w:val="21"/>
              </w:rPr>
              <w:t>Temi dell’Ortis</w:t>
            </w:r>
          </w:p>
          <w:p>
            <w:pPr>
              <w:spacing w:after="20"/>
              <w:ind w:left="170"/>
            </w:pPr>
            <w:r>
              <w:rPr>
                <w:sz w:val="19"/>
              </w:rPr>
              <w:t>• Delusione politica: la patria è tradita.</w:t>
            </w:r>
          </w:p>
          <w:p>
            <w:pPr>
              <w:spacing w:after="20"/>
              <w:ind w:left="170"/>
            </w:pPr>
            <w:r>
              <w:rPr>
                <w:sz w:val="19"/>
              </w:rPr>
              <w:t>• Amore impossibile: Teresa è salvezza sognata e negata.</w:t>
            </w:r>
          </w:p>
          <w:p>
            <w:pPr>
              <w:spacing w:after="20"/>
              <w:ind w:left="170"/>
            </w:pPr>
            <w:r>
              <w:rPr>
                <w:sz w:val="19"/>
              </w:rPr>
              <w:t>• Esilio: Jacopo è straniero ovunque.</w:t>
            </w:r>
          </w:p>
          <w:p>
            <w:pPr>
              <w:spacing w:after="20"/>
              <w:ind w:left="170"/>
            </w:pPr>
            <w:r>
              <w:rPr>
                <w:sz w:val="19"/>
              </w:rPr>
              <w:t>• Suicidio: gesto tragico di coerenza estrema.</w:t>
            </w:r>
          </w:p>
          <w:p>
            <w:pPr>
              <w:spacing w:after="20"/>
              <w:ind w:left="170"/>
            </w:pPr>
            <w:r>
              <w:rPr>
                <w:sz w:val="19"/>
              </w:rPr>
              <w:t>• Scrittura: le lettere tentano di dare ordine alla rovina.</w:t>
            </w:r>
          </w:p>
        </w:tc>
      </w:tr>
    </w:tbl>
    <w:p/>
    <w:p>
      <w:r>
        <w:t>L’incontro con Parini è uno dei momenti più importanti. Jacopo vuole agire, sacrificarsi, forse combattere; Parini lo ammonisce. La libertà non nasce automaticamente dalla violenza e non può essere attesa dallo straniero. Qui Foscolo mette in scena il conflitto fra passione rivoluzionaria e lucidità morale.</w:t>
      </w:r>
    </w:p>
    <w:tbl>
      <w:tblPr>
        <w:tblW w:type="auto" w:w="0"/>
        <w:tblLook w:firstColumn="1" w:firstRow="1" w:lastColumn="0" w:lastRow="0" w:noHBand="0" w:noVBand="1" w:val="04A0"/>
      </w:tblPr>
      <w:tblGrid>
        <w:gridCol w:w="10200"/>
      </w:tblGrid>
      <w:tr>
        <w:tc>
          <w:tcPr>
            <w:tcW w:type="dxa" w:w="10200"/>
            <w:shd w:fill="F8F8F8"/>
            <w:tcBorders>
              <w:left w:sz="16" w:val="single" w:color="8AAFD0"/>
            </w:tcBorders>
          </w:tcPr>
          <w:p>
            <w:pPr>
              <w:spacing w:after="40"/>
              <w:ind w:left="113"/>
            </w:pPr>
            <w:r>
              <w:rPr>
                <w:i/>
                <w:sz w:val="20"/>
              </w:rPr>
              <w:t>«Un giovine dritto e bollente di cuore [...] sarà sempre o l’ordigno del fazioso, o la vittima del potente.»</w:t>
            </w:r>
          </w:p>
        </w:tc>
      </w:tr>
    </w:tbl>
    <w:p>
      <w:pPr>
        <w:pStyle w:val="Heading1"/>
      </w:pPr>
      <w:r>
        <w:t>3. I sonetti</w:t>
      </w:r>
    </w:p>
    <w:p>
      <w:r>
        <w:t>I sonetti foscoliani sono pochi, ma densissimi. La forma chiusa del sonetto permette a Foscolo di contenere dolore, nostalgia e pensiero filosofico in una struttura armonica. Ancora una volta: forma classica, ferita moderna.</w:t>
      </w:r>
    </w:p>
    <w:p>
      <w:pPr>
        <w:pStyle w:val="Heading2"/>
      </w:pPr>
      <w:r>
        <w:t>Alla sera</w:t>
      </w:r>
    </w:p>
    <w:p>
      <w:r>
        <w:t>La sera è immagine della morte, ma non di una morte terrificante. È “fatal quiete”: fine inevitabile, ma anche riposo. Il nulla eterno diventa sopportabile perché la poesia lo trasforma in immagine dolce e pacificante.</w:t>
      </w:r>
    </w:p>
    <w:tbl>
      <w:tblPr>
        <w:tblW w:type="auto" w:w="0"/>
        <w:tblLook w:firstColumn="1" w:firstRow="1" w:lastColumn="0" w:lastRow="0" w:noHBand="0" w:noVBand="1" w:val="04A0"/>
      </w:tblPr>
      <w:tblGrid>
        <w:gridCol w:w="10200"/>
      </w:tblGrid>
      <w:tr>
        <w:tc>
          <w:tcPr>
            <w:tcW w:type="dxa" w:w="10200"/>
            <w:shd w:fill="F8F8F8"/>
            <w:tcBorders>
              <w:left w:sz="16" w:val="single" w:color="8AAFD0"/>
            </w:tcBorders>
          </w:tcPr>
          <w:p>
            <w:pPr>
              <w:spacing w:after="40"/>
              <w:ind w:left="113"/>
            </w:pPr>
            <w:r>
              <w:rPr>
                <w:i/>
                <w:sz w:val="20"/>
              </w:rPr>
              <w:t>«Vagar mi fai co’ miei pensier su l’orme / che vanno al nulla eterno.»</w:t>
            </w:r>
          </w:p>
        </w:tc>
      </w:tr>
    </w:tbl>
    <w:p>
      <w:pPr>
        <w:pStyle w:val="Heading2"/>
      </w:pPr>
      <w:r>
        <w:t>A Zacinto</w:t>
      </w:r>
    </w:p>
    <w:p>
      <w:r>
        <w:t>Il tema centrale è l’esilio. Foscolo sa che non tornerà più nella terra natale. Zacinto diventa madre, mito, infanzia, Grecia, poesia. Il confronto con Ulisse rende più dolorosa la differenza: Ulisse ritorna, Foscolo no. Resta solo il canto.</w:t>
      </w:r>
    </w:p>
    <w:tbl>
      <w:tblPr>
        <w:tblW w:type="auto" w:w="0"/>
        <w:tblLook w:firstColumn="1" w:firstRow="1" w:lastColumn="0" w:lastRow="0" w:noHBand="0" w:noVBand="1" w:val="04A0"/>
      </w:tblPr>
      <w:tblGrid>
        <w:gridCol w:w="10200"/>
      </w:tblGrid>
      <w:tr>
        <w:tc>
          <w:tcPr>
            <w:tcW w:type="dxa" w:w="10200"/>
            <w:shd w:fill="F8F8F8"/>
            <w:tcBorders>
              <w:left w:sz="16" w:val="single" w:color="8AAFD0"/>
            </w:tcBorders>
          </w:tcPr>
          <w:p>
            <w:pPr>
              <w:spacing w:after="40"/>
              <w:ind w:left="113"/>
            </w:pPr>
            <w:r>
              <w:rPr>
                <w:i/>
                <w:sz w:val="20"/>
              </w:rPr>
              <w:t>«Tu non altro che il canto avrai del figlio, / o materna mia terra.»</w:t>
            </w:r>
          </w:p>
        </w:tc>
      </w:tr>
    </w:tbl>
    <w:p>
      <w:pPr>
        <w:pStyle w:val="Heading2"/>
      </w:pPr>
      <w:r>
        <w:t>In morte del fratello Giovanni</w:t>
      </w:r>
    </w:p>
    <w:p>
      <w:r>
        <w:t>Il sonetto unisce dolore familiare, esilio e tema della tomba. Foscolo vorrebbe piangere sulla tomba del fratello, ma è costretto a fuggire “di gente in gente”. La sepoltura diventa luogo affettivo e simbolico: non salva dalla morte, ma permette ai vivi di riconoscersi e ricordare.</w:t>
      </w:r>
    </w:p>
    <w:tbl>
      <w:tblPr>
        <w:tblW w:type="auto" w:w="0"/>
        <w:tblLook w:firstColumn="1" w:firstRow="1" w:lastColumn="0" w:lastRow="0" w:noHBand="0" w:noVBand="1" w:val="04A0"/>
      </w:tblPr>
      <w:tblGrid>
        <w:gridCol w:w="10200"/>
      </w:tblGrid>
      <w:tr>
        <w:tc>
          <w:tcPr>
            <w:tcW w:type="dxa" w:w="10200"/>
            <w:shd w:fill="F8F8F8"/>
            <w:tcBorders>
              <w:left w:sz="16" w:val="single" w:color="8AAFD0"/>
            </w:tcBorders>
          </w:tcPr>
          <w:p>
            <w:pPr>
              <w:spacing w:after="40"/>
              <w:ind w:left="113"/>
            </w:pPr>
            <w:r>
              <w:rPr>
                <w:i/>
                <w:sz w:val="20"/>
              </w:rPr>
              <w:t>«Straniere genti, l’ossa mie rendete / allora al petto della madre mesta.»</w:t>
            </w:r>
          </w:p>
        </w:tc>
      </w:tr>
    </w:tbl>
    <w:p>
      <w:pPr>
        <w:pStyle w:val="Heading1"/>
      </w:pPr>
      <w:r>
        <w:t>4. Dei Sepolcri</w:t>
      </w:r>
    </w:p>
    <w:p>
      <w:r>
        <w:t>Dei Sepolcri nasce nel 1806 e viene pubblicato nel 1807. L’occasione è l’editto napoleonico di Saint-Cloud, che regolava le sepolture fuori dai centri abitati. Foscolo parte da una domanda concreta: se i morti non sentono più nulla, a che cosa servono le tombe?</w:t>
      </w:r>
    </w:p>
    <w:p>
      <w:r>
        <w:t>La risposta è il cuore dell’opera: le tombe non servono ai morti, servono ai vivi. Custodiscono affetti, memoria, esempi morali. Le tombe dei grandi uomini accendono i vivi a “egregie cose”, cioè a grandi azioni. La poesia, infine, è più forte della tomba materiale perché può vincere l’oblio.</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Borders>
              <w:top w:sz="4" w:val="single" w:color="D0D7DE"/>
              <w:left w:sz="4" w:val="single" w:color="D0D7DE"/>
              <w:bottom w:sz="4" w:val="single" w:color="D0D7DE"/>
              <w:right w:sz="4" w:val="single" w:color="D0D7DE"/>
            </w:tcBorders>
          </w:tcPr>
          <w:p>
            <w:pPr>
              <w:spacing w:after="40"/>
            </w:pPr>
            <w:r/>
            <w:r>
              <w:rPr>
                <w:b/>
                <w:color w:val="2D4F78"/>
                <w:sz w:val="19"/>
              </w:rPr>
              <w:t>Parte ideale</w:t>
            </w:r>
          </w:p>
        </w:tc>
        <w:tc>
          <w:tcPr>
            <w:tcW w:type="dxa" w:w="5100"/>
            <w:shd w:fill="D9EAF7"/>
            <w:vAlign w:val="center"/>
            <w:tcBorders>
              <w:top w:sz="4" w:val="single" w:color="D0D7DE"/>
              <w:left w:sz="4" w:val="single" w:color="D0D7DE"/>
              <w:bottom w:sz="4" w:val="single" w:color="D0D7DE"/>
              <w:right w:sz="4" w:val="single" w:color="D0D7DE"/>
            </w:tcBorders>
          </w:tcPr>
          <w:p>
            <w:pPr>
              <w:spacing w:after="40"/>
            </w:pPr>
            <w:r/>
            <w:r>
              <w:rPr>
                <w:b/>
                <w:color w:val="2D4F78"/>
                <w:sz w:val="19"/>
              </w:rPr>
              <w:t>Contenuto</w:t>
            </w:r>
          </w:p>
        </w:tc>
      </w:tr>
      <w:tr>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1. Valore delle tombe</w:t>
            </w:r>
          </w:p>
        </w:tc>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Il sepolcro non consola il morto, ma sostiene la memoria dei vivi.</w:t>
            </w:r>
          </w:p>
        </w:tc>
      </w:tr>
      <w:tr>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2. Funzione affettiva e civile</w:t>
            </w:r>
          </w:p>
        </w:tc>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Il culto dei defunti rafforza identità, virtù, patria.</w:t>
            </w:r>
          </w:p>
        </w:tc>
      </w:tr>
      <w:tr>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3. Tombe dei grandi</w:t>
            </w:r>
          </w:p>
        </w:tc>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Machiavelli, Michelangelo, Galileo come esempi per la nazione.</w:t>
            </w:r>
          </w:p>
        </w:tc>
      </w:tr>
      <w:tr>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4. Poesia e memoria</w:t>
            </w:r>
          </w:p>
        </w:tc>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La parola poetica conserva quando la pietra scompare.</w:t>
            </w:r>
          </w:p>
        </w:tc>
      </w:tr>
    </w:tbl>
    <w:p/>
    <w:tbl>
      <w:tblPr>
        <w:tblW w:type="auto" w:w="0"/>
        <w:jc w:val="center"/>
        <w:tblLook w:firstColumn="1" w:firstRow="1" w:lastColumn="0" w:lastRow="0" w:noHBand="0" w:noVBand="1" w:val="04A0"/>
      </w:tblPr>
      <w:tblGrid>
        <w:gridCol w:w="10200"/>
      </w:tblGrid>
      <w:tr>
        <w:tc>
          <w:tcPr>
            <w:tcW w:type="dxa" w:w="10200"/>
            <w:shd w:fill="F3F7FA"/>
            <w:tcBorders>
              <w:top w:sz="6" w:val="single" w:color="B7D1E6"/>
              <w:left w:sz="6" w:val="single" w:color="B7D1E6"/>
              <w:bottom w:sz="6" w:val="single" w:color="B7D1E6"/>
              <w:right w:sz="6" w:val="single" w:color="B7D1E6"/>
            </w:tcBorders>
          </w:tcPr>
          <w:p>
            <w:r/>
            <w:r>
              <w:rPr>
                <w:b/>
                <w:color w:val="2D4F78"/>
                <w:sz w:val="21"/>
              </w:rPr>
              <w:t>Significato</w:t>
            </w:r>
          </w:p>
          <w:p>
            <w:pPr>
              <w:spacing w:after="20"/>
            </w:pPr>
            <w:r>
              <w:rPr>
                <w:sz w:val="19"/>
              </w:rPr>
              <w:t>Dei Sepolcri è la versione civile della religione delle illusioni: memoria, gloria e poesia diventano strumenti per dare senso alla morte e per educare i vivi.</w:t>
            </w:r>
          </w:p>
        </w:tc>
      </w:tr>
    </w:tbl>
    <w:p/>
    <w:p>
      <w:pPr>
        <w:pStyle w:val="Heading1"/>
      </w:pPr>
      <w:r>
        <w:t>5. Le Grazie</w:t>
      </w:r>
    </w:p>
    <w:p>
      <w:r>
        <w:t>Le Grazie è un carme incompiuto, lavorato da Foscolo in più momenti. L’opera celebra le tre dee della bellezza e della grazia come simboli di un’arte capace di civilizzare l’uomo. Non è semplice mitologia: è un’allegoria della funzione dell’arte.</w:t>
      </w:r>
    </w:p>
    <w:p>
      <w:r>
        <w:t>Dopo la delusione politica e la perdita della fede religiosa, Foscolo cerca nella bellezza un principio ordinatore. Le Grazie rappresentano un mondo in cui poesia, musica, danza e arti rendono l’uomo meno brutale, più civile, più capace di armonia.</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Borders>
              <w:top w:sz="4" w:val="single" w:color="D0D7DE"/>
              <w:left w:sz="4" w:val="single" w:color="D0D7DE"/>
              <w:bottom w:sz="4" w:val="single" w:color="D0D7DE"/>
              <w:right w:sz="4" w:val="single" w:color="D0D7DE"/>
            </w:tcBorders>
          </w:tcPr>
          <w:p>
            <w:pPr>
              <w:spacing w:after="40"/>
            </w:pPr>
            <w:r/>
            <w:r>
              <w:rPr>
                <w:b/>
                <w:color w:val="2D4F78"/>
                <w:sz w:val="19"/>
              </w:rPr>
              <w:t>Elemento</w:t>
            </w:r>
          </w:p>
        </w:tc>
        <w:tc>
          <w:tcPr>
            <w:tcW w:type="dxa" w:w="5100"/>
            <w:shd w:fill="D9EAF7"/>
            <w:vAlign w:val="center"/>
            <w:tcBorders>
              <w:top w:sz="4" w:val="single" w:color="D0D7DE"/>
              <w:left w:sz="4" w:val="single" w:color="D0D7DE"/>
              <w:bottom w:sz="4" w:val="single" w:color="D0D7DE"/>
              <w:right w:sz="4" w:val="single" w:color="D0D7DE"/>
            </w:tcBorders>
          </w:tcPr>
          <w:p>
            <w:pPr>
              <w:spacing w:after="40"/>
            </w:pPr>
            <w:r/>
            <w:r>
              <w:rPr>
                <w:b/>
                <w:color w:val="2D4F78"/>
                <w:sz w:val="19"/>
              </w:rPr>
              <w:t>Significato</w:t>
            </w:r>
          </w:p>
        </w:tc>
      </w:tr>
      <w:tr>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Le Grazie</w:t>
            </w:r>
          </w:p>
        </w:tc>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Bellezza spirituale e morale che ingentilisce l’uomo</w:t>
            </w:r>
          </w:p>
        </w:tc>
      </w:tr>
      <w:tr>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Venere</w:t>
            </w:r>
          </w:p>
        </w:tc>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Bellezza sensibile resa più alta dall’arte</w:t>
            </w:r>
          </w:p>
        </w:tc>
      </w:tr>
      <w:tr>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Canova</w:t>
            </w:r>
          </w:p>
        </w:tc>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Artista come custode dell’ideale classico</w:t>
            </w:r>
          </w:p>
        </w:tc>
      </w:tr>
      <w:tr>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Grecia e mito</w:t>
            </w:r>
          </w:p>
        </w:tc>
        <w:tc>
          <w:tcPr>
            <w:tcW w:type="dxa" w:w="5100"/>
            <w:vAlign w:val="center"/>
            <w:tcBorders>
              <w:top w:sz="4" w:val="single" w:color="D0D7DE"/>
              <w:left w:sz="4" w:val="single" w:color="D0D7DE"/>
              <w:bottom w:sz="4" w:val="single" w:color="D0D7DE"/>
              <w:right w:sz="4" w:val="single" w:color="D0D7DE"/>
            </w:tcBorders>
          </w:tcPr>
          <w:p>
            <w:pPr>
              <w:spacing w:after="40"/>
            </w:pPr>
            <w:r/>
            <w:r>
              <w:rPr>
                <w:b w:val="0"/>
                <w:sz w:val="18"/>
              </w:rPr>
              <w:t>Luogo simbolico dell’armonia e della civiltà</w:t>
            </w:r>
          </w:p>
        </w:tc>
      </w:tr>
    </w:tbl>
    <w:p/>
    <w:p>
      <w:pPr>
        <w:pStyle w:val="Heading1"/>
      </w:pPr>
      <w:r>
        <w:t>6. Come collegare le opere</w:t>
      </w:r>
    </w:p>
    <w:p>
      <w:r>
        <w:t>Una buona interrogazione su Foscolo non dovrebbe restare nella cronologia delle opere. Bisogna collegarle. L’Ortis mostra il fallimento di patria e amore. I sonetti trasformano la ferita individuale in canto. I Sepolcri trasformano la memoria privata in valore civile. Le Grazie cercano nella bellezza una forma più alta di salvezza.</w:t>
      </w:r>
    </w:p>
    <w:tbl>
      <w:tblPr>
        <w:tblW w:type="auto" w:w="0"/>
        <w:jc w:val="center"/>
        <w:tblLook w:firstColumn="1" w:firstRow="1" w:lastColumn="0" w:lastRow="0" w:noHBand="0" w:noVBand="1" w:val="04A0"/>
      </w:tblPr>
      <w:tblGrid>
        <w:gridCol w:w="10200"/>
      </w:tblGrid>
      <w:tr>
        <w:tc>
          <w:tcPr>
            <w:tcW w:type="dxa" w:w="10200"/>
            <w:shd w:fill="F3F7FA"/>
            <w:tcBorders>
              <w:top w:sz="6" w:val="single" w:color="B7D1E6"/>
              <w:left w:sz="6" w:val="single" w:color="B7D1E6"/>
              <w:bottom w:sz="6" w:val="single" w:color="B7D1E6"/>
              <w:right w:sz="6" w:val="single" w:color="B7D1E6"/>
            </w:tcBorders>
          </w:tcPr>
          <w:p>
            <w:r/>
            <w:r>
              <w:rPr>
                <w:b/>
                <w:color w:val="2D4F78"/>
                <w:sz w:val="21"/>
              </w:rPr>
              <w:t>Saperi irrinunciabili</w:t>
            </w:r>
          </w:p>
          <w:p>
            <w:pPr>
              <w:spacing w:after="20"/>
              <w:ind w:left="170"/>
            </w:pPr>
            <w:r>
              <w:rPr>
                <w:sz w:val="19"/>
              </w:rPr>
              <w:t>• Ortis: romanzo epistolare, patria tradita, amore impossibile, suicidio.</w:t>
            </w:r>
          </w:p>
          <w:p>
            <w:pPr>
              <w:spacing w:after="20"/>
              <w:ind w:left="170"/>
            </w:pPr>
            <w:r>
              <w:rPr>
                <w:sz w:val="19"/>
              </w:rPr>
              <w:t>• Sonetti: forma classica e temi moderni; Alla sera, A Zacinto, In morte del fratello Giovanni.</w:t>
            </w:r>
          </w:p>
          <w:p>
            <w:pPr>
              <w:spacing w:after="20"/>
              <w:ind w:left="170"/>
            </w:pPr>
            <w:r>
              <w:rPr>
                <w:sz w:val="19"/>
              </w:rPr>
              <w:t>• Dei Sepolcri: carme in endecasillabi sciolti, memoria e funzione civile della tomba.</w:t>
            </w:r>
          </w:p>
          <w:p>
            <w:pPr>
              <w:spacing w:after="20"/>
              <w:ind w:left="170"/>
            </w:pPr>
            <w:r>
              <w:rPr>
                <w:sz w:val="19"/>
              </w:rPr>
              <w:t>• Le Grazie: opera incompiuta, arte e bellezza come religione laica.</w:t>
            </w:r>
          </w:p>
          <w:p>
            <w:pPr>
              <w:spacing w:after="20"/>
              <w:ind w:left="170"/>
            </w:pPr>
            <w:r>
              <w:rPr>
                <w:sz w:val="19"/>
              </w:rPr>
              <w:t>• Tutte le opere ruotano attorno al problema del nulla e delle illusioni.</w:t>
            </w:r>
          </w:p>
        </w:tc>
      </w:tr>
    </w:tbl>
    <w:sectPr w:rsidR="00FC693F" w:rsidRPr="0006063C" w:rsidSect="00034616">
      <w:headerReference w:type="default" r:id="rId9"/>
      <w:footerReference w:type="default" r:id="rId10"/>
      <w:pgSz w:w="12240" w:h="15840"/>
      <w:pgMar w:top="879" w:right="964" w:bottom="765"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7"/>
      </w:rPr>
      <w:t>gbprof - materiale didattico rielaborato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Foscolo - Dispense per studenti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D4F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D4F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D4F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