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Current State of the Discrete Motion Representation Project</w:t>
      </w:r>
    </w:p>
    <w:p>
      <w:pPr>
        <w:pStyle w:val="Subtitle"/>
      </w:pPr>
      <w:r>
        <w:t>Executive summary through Experiment 5</w:t>
      </w:r>
    </w:p>
    <w:p>
      <w:pPr>
        <w:pStyle w:val="SmallNote"/>
      </w:pPr>
      <w:r>
        <w:t>19 September 2026</w:t>
      </w:r>
    </w:p>
    <w:p/>
    <w:p>
      <w:pPr>
        <w:spacing w:before="320" w:after="200"/>
      </w:pPr>
      <w:r>
        <w:rPr>
          <w:b/>
          <w:sz w:val="24"/>
        </w:rPr>
        <w:t>The project has established that useful discrete motion units are possible, but the strongest tested units currently come from post hoc clustering of a learned continuous representation. The main unresolved problem is no longer whether FSQ can reconstruct motion. It is what the discovered units encode and whether composing them improves representation learning or action segmentation.</w:t>
      </w:r>
    </w:p>
    <w:p>
      <w:r>
        <w:br w:type="page"/>
      </w:r>
    </w:p>
    <w:p>
      <w:pPr>
        <w:pStyle w:val="Heading1"/>
      </w:pPr>
      <w:r>
        <w:t>Executive summary</w:t>
      </w:r>
    </w:p>
    <w:p>
      <w:r>
        <w:t>The project began with a proposal to replace the change detection and k-means stages associated with Action Motifs with an end-to-end FSQ autoencoder. Five rounds of experiments have now narrowed that proposal substantially. Reconstruction-trained FSQ can preserve motion information, and a single-token decoder makes individual codes more informative. Moderate temporal slowness increases persistence. Neither change, however, makes code transitions reliable behaviour boundaries or makes the learned codes outperform strong PCA and k-means controls.</w:t>
      </w:r>
    </w:p>
    <w:p>
      <w:r>
        <w:t>The decisive hBABEL result is that discretisation itself is not the main source of loss. K-means with K = 1000 on the released hBehaveMAE level-1 features reaches Frame Top-30 F1 of 19.8 to 20.3, matching or slightly exceeding the continuous feature score of 19.4. In contrast, compressing those 64-dimensional features to four continuous dimensions reduces performance to 11.4 to 12.0 before quantisation occurs. FSQ and VQ then score between 13.5 and 14.9. The strongest observed loss therefore comes from the narrow continuous bottleneck, not from rounding or nearest-neighbour assignment.</w:t>
      </w:r>
    </w:p>
    <w:p>
      <w:r>
        <w:t>VQ commitment has not produced a measurable benefit. Under genuine backbone fine-tuning, the paired effect of beta = 0.25 relative to beta = 0 was -0.38, -0.19 and +0.30 points across three seeds, for a mean of -0.09. VQ also used only about 16 percent of its K = 1000 codebook in the matched Experiment 5 comparison, while FSQ and k-means used about 97 percent. No code stream or the A4Mer kinematic detector separated from a count-matched random boundary baseline on hBABEL.</w:t>
      </w:r>
    </w:p>
    <w:p>
      <w:r>
        <w:t>The project should now treat two research objectives separately. The first is scientific characterisation: determine whether a discrete unit represents posture, local dynamics, body-part motion, semantic behaviour, subject or dataset nuisance, or a mixture. The second is utility: test whether sequences and hierarchies of those units improve representation learning, transfer, sample efficiency or temporal segmentation relative to matched continuous and clustered baselines.</w:t>
      </w:r>
    </w:p>
    <w:p>
      <w:pPr>
        <w:pStyle w:val="Heading1"/>
      </w:pPr>
      <w:r>
        <w:t>Research objective</w:t>
      </w:r>
    </w:p>
    <w:p>
      <w:r>
        <w:t>The long-term objective is to learn reusable discrete representations of human movement and to use their temporal composition as a better representation of behaviour. The working analogy is acoustic unit discovery: a model may discover recurring low-level units without being given phoneme or action labels, then compose those units into longer structures useful for recognition or prediction.</w:t>
      </w:r>
    </w:p>
    <w:p>
      <w:pPr>
        <w:pStyle w:val="Heading2"/>
      </w:pPr>
      <w:r>
        <w:t>Current research questions</w:t>
      </w:r>
    </w:p>
    <w:p>
      <w:pPr>
        <w:spacing w:after="80"/>
        <w:ind w:left="403" w:hanging="403"/>
      </w:pPr>
      <w:r>
        <w:t>1.</w:t>
        <w:tab/>
      </w:r>
      <w:r>
        <w:t>What properties of motion are captured by an individual discrete code, and which properties remain distributed across neighbouring codes?</w:t>
      </w:r>
    </w:p>
    <w:p>
      <w:pPr>
        <w:spacing w:after="80"/>
        <w:ind w:left="403" w:hanging="403"/>
      </w:pPr>
      <w:r>
        <w:t>2.</w:t>
        <w:tab/>
      </w:r>
      <w:r>
        <w:t>Can local discrete units be composed into stable, variable-duration structures that correspond to meaningful movement patterns?</w:t>
      </w:r>
    </w:p>
    <w:p>
      <w:pPr>
        <w:spacing w:after="80"/>
        <w:ind w:left="403" w:hanging="403"/>
      </w:pPr>
      <w:r>
        <w:t>3.</w:t>
        <w:tab/>
      </w:r>
      <w:r>
        <w:t>Does a discrete or hierarchical representation improve behaviour representation learning, transfer or unsupervised action segmentation compared with continuous features and post hoc clustering?</w:t>
      </w:r>
    </w:p>
    <w:p>
      <w:pPr>
        <w:spacing w:after="80"/>
        <w:ind w:left="403" w:hanging="403"/>
      </w:pPr>
      <w:r>
        <w:t>4.</w:t>
        <w:tab/>
      </w:r>
      <w:r>
        <w:t>Which parts of the system create any gain: the representation objective, temporal segmentation, quantiser, bottleneck capacity or higher-level sequence model?</w:t>
      </w:r>
    </w:p>
    <w:p>
      <w:r>
        <w:t>These questions replace the overly broad question of whether FSQ works. A quantiser can reconstruct accurately without discovering semantic units, and codes can be semantically informative without their every transition being an action boundary.</w:t>
      </w:r>
    </w:p>
    <w:p>
      <w:pPr>
        <w:pStyle w:val="Heading1"/>
      </w:pPr>
      <w:r>
        <w:t>Experimental system</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Element</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Current implementation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Shot7M2</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Synthetic single-performer motion benchmark with moveme, action and activity labels; 30 fps; code stride of four frames in the FSQ experiments.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jc w:val="center"/>
            </w:pPr>
            <w:r>
              <w:rPr>
                <w:sz w:val="16"/>
              </w:rPr>
              <w:t>hBABEL</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25-joint skeleton representation reconstructed from AMASS and BABEL; overlapping frame-level behaviour labels; released hBehaveMAE checkpoint.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FSQ</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Fixed scalar grid. K = 1000 uses levels [8, 5, 5, 5] and therefore a four-dimensional continuous input.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jc w:val="center"/>
            </w:pPr>
            <w:r>
              <w:rPr>
                <w:sz w:val="16"/>
              </w:rPr>
              <w:t>VQ</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Learned prototypes with EMA updates, straight-through gradients and optional commitment beta.</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Primary evaluation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Linear or ridge probes for label accessibility, reconstruction error, code occupancy and perplexity, run lengths, and boundary F1 against count-matched random predictions.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jc w:val="center"/>
            </w:pPr>
            <w:r>
              <w:rPr>
                <w:sz w:val="16"/>
              </w:rPr>
              <w:t>Reference methods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Single-frame and windowed PCA, k-means, untrained encoders, hBehaveMAE, and the A4Mer kinematic detector as a boundary baseline.</w:t>
            </w:r>
          </w:p>
        </w:tc>
      </w:tr>
    </w:tbl>
    <w:p>
      <w:pPr>
        <w:spacing w:after="20"/>
      </w:pPr>
    </w:p>
    <w:p>
      <w:pPr>
        <w:pStyle w:val="Heading1"/>
      </w:pPr>
      <w:r>
        <w:t>Completed experiment register</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7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Round</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Main question</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Dataset</w:t>
            </w:r>
          </w:p>
        </w:tc>
        <w:tc>
          <w:tcPr>
            <w:tcW w:type="dxa" w:w="44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Result</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1</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Can an FSQ autoencoder produce behavioural motion codes?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Shot7M2</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Codes reconstructed motion but underperformed PCA plus k-means and changed too frequently to function as segments.</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jc w:val="center"/>
            </w:pPr>
            <w:r>
              <w:rPr>
                <w:sz w:val="16"/>
              </w:rPr>
              <w:t>2</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Do decoder context, slowness or masked prediction explain weak codes?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Shot7M2</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Single-token decoding improved code informativeness; slowness modestly improved persistence; masked prediction deteriorated during training.</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3</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Did the encoder learn anything beyond trivial mappings, and is FSQ assignment the problem?</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Shot7M2</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Untrained and PCA features were very strong. K-means and FSQ on the same learned features were similar, shifting attention to representation learning.</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jc w:val="center"/>
            </w:pPr>
            <w:r>
              <w:rPr>
                <w:sz w:val="16"/>
              </w:rPr>
              <w:t>4</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Does VQ commitment help on a validated learned representation, and do codes align with real boundaries?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hBABEL</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The published evaluation was reproduced. Commitment was unresolved, quantised cells lost content, and boundaries matched random.</w:t>
            </w:r>
          </w:p>
        </w:tc>
      </w:tr>
      <w:tr>
        <w:trPr>
          <w:cantSplit/>
        </w:trP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5</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Where does the hBABEL loss enter, and do the Experiment 4 conclusions survive audit?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hBABEL</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The 64-to-4-dimensional bottleneck caused the dominant loss. Same-feature k-means preserved content. Commitment and real backbone fine-tuning did not help.</w:t>
            </w:r>
          </w:p>
        </w:tc>
      </w:tr>
    </w:tbl>
    <w:p>
      <w:pPr>
        <w:spacing w:after="20"/>
      </w:pPr>
    </w:p>
    <w:p>
      <w:pPr>
        <w:pStyle w:val="Heading1"/>
      </w:pPr>
      <w:r>
        <w:t>Experiment 1 initial discrete autoencoder</w:t>
      </w:r>
    </w:p>
    <w:p>
      <w:r>
        <w:t>Experiment 1 trained a temporal encoder, FSQ bottleneck and temporal decoder to reconstruct root-centred skeleton motion on Shot7M2. A token represented a four-frame interval. The context encoder could use 40 input frames, and the context decoder could combine five neighbouring tokens when reconstructing an output frame.</w:t>
      </w:r>
    </w:p>
    <w:p>
      <w:r>
        <w:t>The model reconstructed motion, but individual code identities contained substantially less label-accessible information than simple baselines. At K = 1000, the main context-encoder and context-decoder FSQ configuration reached approximately 41.6 all-F1, while PCA on the four-frame window followed by k-means reached 56.5. Median code duration was one token, and almost every token position changed code. The initial premise that each FSQ code was already an action atom was therefore unsupported.</w:t>
      </w:r>
    </w:p>
    <w:p>
      <w:pPr>
        <w:pStyle w:val="Heading1"/>
      </w:pPr>
      <w:r>
        <w:t>Experiment 2 architectural and objective diagnostics</w:t>
      </w:r>
    </w:p>
    <w:p>
      <w:pPr>
        <w:pStyle w:val="Heading2"/>
      </w:pPr>
      <w:r>
        <w:t>Information survives decoding</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Representation</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All F1</w:t>
            </w:r>
          </w:p>
        </w:tc>
        <w:tc>
          <w:tcPr>
            <w:tcW w:type="dxa" w:w="53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Interpretation</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Original root-centred pose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60.8</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Available pose information before compression.</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Pose reconstructed from FSQ codes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58.5</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Most probe-relevant information survives in the code sequence and decoder.</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Individual FSQ code identity</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41.6</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A single code does not expose most of that information linearly.</w:t>
            </w:r>
          </w:p>
        </w:tc>
      </w:tr>
    </w:tbl>
    <w:p>
      <w:pPr>
        <w:spacing w:after="20"/>
      </w:pPr>
    </w:p>
    <w:p>
      <w:r>
        <w:t>This was an important distinction: weak individual codes did not mean the sequence had lost all information. The decoder could recover information distributed across several codes.</w:t>
      </w:r>
    </w:p>
    <w:p>
      <w:pPr>
        <w:pStyle w:val="Heading2"/>
      </w:pPr>
      <w:r>
        <w:t>Decoder context changes what a code must contain</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Encoder</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Decoder</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All F1</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Reconstruction L1</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7"/>
              </w:rPr>
              <w:t>Context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Context</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41.6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13.3 mm</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jc w:val="center"/>
            </w:pPr>
            <w:r>
              <w:rPr>
                <w:sz w:val="17"/>
              </w:rPr>
              <w:t>Context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Single token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51.0</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26.9 mm</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7"/>
              </w:rPr>
              <w:t>Single token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Context</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43.5</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about 12 mm</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jc w:val="center"/>
            </w:pPr>
            <w:r>
              <w:rPr>
                <w:sz w:val="17"/>
              </w:rPr>
              <w:t>Single token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Single token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50.7</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about 26 mm</w:t>
            </w:r>
          </w:p>
        </w:tc>
      </w:tr>
    </w:tbl>
    <w:p>
      <w:pPr>
        <w:spacing w:after="20"/>
      </w:pPr>
    </w:p>
    <w:p>
      <w:r>
        <w:t>Removing decoder context improved individual-code F1 by about 9.4 points because each token had to reconstruct its own window. The cost was worse reconstruction. The experiment established that decoder receptive field controls how information is distributed across tokens; it did not establish that the more informative tokens were meaningful segments.</w:t>
      </w:r>
    </w:p>
    <w:p>
      <w:pPr>
        <w:pStyle w:val="Heading2"/>
      </w:pPr>
      <w:r>
        <w:t>Slowness and masked prediction</w:t>
      </w:r>
    </w:p>
    <w:p>
      <w:pPr>
        <w:spacing w:before="60" w:after="140"/>
        <w:jc w:val="center"/>
      </w:pPr>
      <w:r>
        <w:rPr>
          <w:rFonts w:ascii="Cambria Math" w:hAnsi="Cambria Math"/>
          <w:sz w:val="21"/>
        </w:rPr>
        <w:t>L = Lreconstruction + lambda mean ||zt - zt-1||1</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5"/>
              </w:rPr>
              <w:t>Setting</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5"/>
              </w:rPr>
              <w:t>All F1</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5"/>
              </w:rPr>
              <w:t>Mean run</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5"/>
              </w:rPr>
              <w:t>Reconstruction</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5"/>
              </w:rPr>
              <w:t>Finding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K 200 lambda 0</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38.5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4.5 frames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15.6 mm</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Frequent switching.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jc w:val="center"/>
            </w:pPr>
            <w:r>
              <w:rPr>
                <w:sz w:val="15"/>
              </w:rPr>
              <w:t>K 200 lambda 0.1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5"/>
              </w:rPr>
              <w:t>43.2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5"/>
              </w:rPr>
              <w:t>5.6 frames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5"/>
              </w:rPr>
              <w:t>18.9 mm</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5"/>
              </w:rPr>
              <w:t>Moderate improvement in persistence and content.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5"/>
              </w:rPr>
              <w:t>K 200 lambda 1</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24.7</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Whole episode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64.5 mm</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Collapsed to one code.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5"/>
              </w:rPr>
              <w:t>Masked prediction early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5"/>
              </w:rPr>
              <w:t>about 40.9</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5"/>
              </w:rPr>
              <w:t>Variable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5"/>
              </w:rPr>
              <w:t>Not comparable</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5"/>
              </w:rPr>
              <w:t>Best at early selected checkpoints.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Masked prediction final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31 to 33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Short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Not comparable</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5"/>
              </w:rPr>
              <w:t>Deteriorated to the always-positive floor despite code usage.</w:t>
            </w:r>
          </w:p>
        </w:tc>
      </w:tr>
    </w:tbl>
    <w:p>
      <w:pPr>
        <w:spacing w:after="20"/>
      </w:pPr>
    </w:p>
    <w:p>
      <w:r>
        <w:t>Moderate slowness changed code persistence but did not create convincing variable-duration units. Code use and perplexity were therefore retained as diagnostics, not treated as evidence of semantic quality.</w:t>
      </w:r>
    </w:p>
    <w:p>
      <w:pPr>
        <w:pStyle w:val="Heading1"/>
      </w:pPr>
      <w:r>
        <w:t>Experiment 3 controls and causal diagnosis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74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Representation</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All F1</w:t>
            </w:r>
          </w:p>
        </w:tc>
      </w:tr>
      <w:tr>
        <w:trPr>
          <w:cantSplit/>
        </w:trPr>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6"/>
              </w:rPr>
              <w:t>Single-frame PCA</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61.0</w:t>
            </w:r>
          </w:p>
        </w:tc>
      </w:tr>
      <w:tr>
        <w:trPr>
          <w:cantSplit/>
        </w:trPr>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PCA on the same four-frame window</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56.2</w:t>
            </w:r>
          </w:p>
        </w:tc>
      </w:tr>
      <w:tr>
        <w:trPr>
          <w:cantSplit/>
        </w:trPr>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Untrained context encoder features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53.9 to 54.1</w:t>
            </w:r>
          </w:p>
        </w:tc>
      </w:tr>
      <w:tr>
        <w:trPr>
          <w:cantSplit/>
        </w:trPr>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Untrained context features with neighbouring tokens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61.3 to 61.7</w:t>
            </w:r>
          </w:p>
        </w:tc>
      </w:tr>
      <w:tr>
        <w:trPr>
          <w:cantSplit/>
        </w:trPr>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Experiment 1 trained encoder features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44.6</w:t>
            </w:r>
          </w:p>
        </w:tc>
      </w:tr>
      <w:tr>
        <w:trPr>
          <w:cantSplit/>
        </w:trPr>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Best reconstruction model with single-token decoder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48.8</w:t>
            </w:r>
          </w:p>
        </w:tc>
      </w:tr>
      <w:tr>
        <w:trPr>
          <w:cantSplit/>
        </w:trPr>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Best masked-prediction checkpoint</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50.6</w:t>
            </w:r>
          </w:p>
        </w:tc>
      </w:tr>
    </w:tbl>
    <w:p>
      <w:pPr>
        <w:spacing w:after="20"/>
      </w:pPr>
    </w:p>
    <w:p>
      <w:r>
        <w:t>The untrained temporal encoder outperformed every trained Shot7M2 encoder. Standardised untrained features followed by k-means also produced strong codes. At K = 1000, FSQ code F1 was about 50.9 and k-means on the same trained features about 51.2, whereas PCA plus k-means reached 56.5. This weakened the claim that fixed-grid assignment was the primary problem. The training objective and learned geometry were more plausible sources of the gap.</w:t>
      </w:r>
    </w:p>
    <w:p>
      <w:r>
        <w:t>Boundary and composition analyses were also weak. Treating every code change as a boundary performed near a matched-random stream. BPE-style composition improved duration but did not consistently outperform shuffled-order controls. Longer tokens therefore could not be interpreted as meaningful temporal composition.</w:t>
      </w:r>
    </w:p>
    <w:p>
      <w:pPr>
        <w:pStyle w:val="Heading1"/>
      </w:pPr>
      <w:r>
        <w:t>Experiment 4 validated hBABEL comparison</w:t>
      </w:r>
    </w:p>
    <w:p>
      <w:pPr>
        <w:pStyle w:val="Heading2"/>
      </w:pPr>
      <w:r>
        <w:t>Protocol reproduction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Method</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Published Frame Top 30</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Reproduced Frame Top 30</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7"/>
              </w:rPr>
              <w:t>Single-frame PCA</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16.2</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16.4</w:t>
            </w:r>
          </w:p>
        </w:tc>
      </w:tr>
      <w:tr>
        <w:trPr>
          <w:cantSplit/>
        </w:trP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jc w:val="center"/>
            </w:pPr>
            <w:r>
              <w:rPr>
                <w:sz w:val="17"/>
              </w:rPr>
              <w:t>hBehaveMAE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18.9</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18.9 at level 3; 19.4 at level 1</w:t>
            </w:r>
          </w:p>
        </w:tc>
      </w:tr>
    </w:tbl>
    <w:p>
      <w:pPr>
        <w:spacing w:after="20"/>
      </w:pPr>
    </w:p>
    <w:p>
      <w:r>
        <w:t>The hBABEL construction, split, checkpoint extraction and evaluator were reproduced within the predefined tolerance. This established a sound platform for the quantiser test.</w:t>
      </w:r>
    </w:p>
    <w:p>
      <w:pPr>
        <w:pStyle w:val="Heading2"/>
      </w:pPr>
      <w:r>
        <w:t>Commitment and boundaries</w:t>
      </w:r>
    </w:p>
    <w:p>
      <w:r>
        <w:t>At K = 1000, paired VQ runs compared beta = 0 with beta = 0.25. The adapter arm changed by -0.42 Frame Top-30 points on average, while the frozen-feature arm changed by +0.32. Both effects were comparable to seed variation and had opposite signs. Reconstruction became worse in five of six pairs. FSQ used roughly 800 to 860 codes, while VQ used about 315.</w:t>
      </w:r>
    </w:p>
    <w:p>
      <w:r>
        <w:t>The boundary evaluator passed ground-truth, jitter and random controls. Nevertheless, the A4Mer kinematic detector and all discrete code streams remained at their count-matched random baselines. Experiment 4 therefore found no boundary advantage and no resolvable commitment effect.</w:t>
      </w:r>
    </w:p>
    <w:p>
      <w:pPr>
        <w:pStyle w:val="Heading1"/>
      </w:pPr>
      <w:r>
        <w:t>Experiment 5 audit and isolation of the main loss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Measurement</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Result</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Consequence</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Continuous hBehaveMAE level 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19.4 Frame Top 30</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Reference representation.</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K-means K 1000 on the same 64-dimensional features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19.8 to 20.3</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Discretisation can preserve the useful information.</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Continuous four-dimensional bottleneck</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11.4 to 12.0</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About 7.5 points are lost before quantisation.</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FSQ on four-dimensional latent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14.6</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Quantisation does not add the dominant loss.</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VQ beta 0 and beta 0.25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13.8 and 13.5</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No commitment gain; VQ occupies about 16 percent of codes.</w:t>
            </w:r>
          </w:p>
        </w:tc>
      </w:tr>
      <w:tr>
        <w:trPr>
          <w:cantSplit/>
        </w:trP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Post hoc k-means on four-dimensional latent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14.9</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Best discrete result after the narrow bottleneck.</w:t>
            </w:r>
          </w:p>
        </w:tc>
      </w:tr>
    </w:tbl>
    <w:p>
      <w:pPr>
        <w:spacing w:after="20"/>
      </w:pPr>
    </w:p>
    <w:p>
      <w:r>
        <w:t>Experiment 5 also corrected two framing errors from Experiment 4. Session B had used level-3 rather than level-1 teacher features, and its supposed fine-tuning arm had trained a residual adapter rather than the hBehaveMAE backbone. Genuine early-backbone fine-tuning was then run for three paired seeds and verified at the parameter level.</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Seed</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VQ beta 0</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VQ beta 0.25</w:t>
            </w:r>
          </w:p>
        </w:tc>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7"/>
              </w:rPr>
              <w:t>Difference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7"/>
              </w:rPr>
              <w:t>0</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13.65</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13.27</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-0.38</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jc w:val="center"/>
            </w:pPr>
            <w:r>
              <w:rPr>
                <w:sz w:val="17"/>
              </w:rPr>
              <w:t>1</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13.38</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13.18</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-0.19</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jc w:val="center"/>
            </w:pPr>
            <w:r>
              <w:rPr>
                <w:sz w:val="17"/>
              </w:rPr>
              <w:t>2</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13.54</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13.84</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7"/>
              </w:rPr>
              <w:t>+0.30</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jc w:val="center"/>
            </w:pPr>
            <w:r>
              <w:rPr>
                <w:sz w:val="17"/>
              </w:rPr>
              <w:t>Mean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7"/>
              </w:rPr>
              <w:t>-0.09</w:t>
            </w:r>
          </w:p>
        </w:tc>
      </w:tr>
    </w:tbl>
    <w:p>
      <w:pPr>
        <w:spacing w:after="20"/>
      </w:pPr>
    </w:p>
    <w:p>
      <w:r>
        <w:t>The sign changed across seeds, and backbone fine-tuning itself was 0.04 to 0.31 points below the corresponding frozen-feature cells. Commitment and fine-tuning did not recover the bottleneck loss.</w:t>
      </w:r>
    </w:p>
    <w:p>
      <w:r>
        <w:t>The boundary audit removed 17 labels with no scoreable internal boundary and verified the matching algorithm against brute force. Across 37 streams, the largest excess over the matched-random null was only 0.26 percentage points. Recall was often high because streams emitted thousands of changes, but precision was between 0.005 and 0.007. The apparent recall was therefore explained by event density, not timing quality.</w:t>
      </w:r>
    </w:p>
    <w:p>
      <w:pPr>
        <w:pStyle w:val="Heading1"/>
      </w:pPr>
      <w:r>
        <w:t>Decisions made</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Decision</w:t>
            </w:r>
          </w:p>
        </w:tc>
        <w:tc>
          <w:tcPr>
            <w:tcW w:type="dxa" w:w="62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6"/>
              </w:rPr>
              <w:t>Evidence</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Separate unit characterisation from downstream utility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Reconstruction, label accessibility, persistence and boundary alignment moved independently across experiments.</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Do not treat every code change as an action boundary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All tested code-change streams matched dense random streams on Shot7M2 and hBABEL.</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Deprioritise commitment-weight sweeps</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Beta effects straddled zero across adapter, frozen and genuine backbone arms.</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Do not blame discretisation in general</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K-means on the same 64-dimensional hBehaveMAE features preserved or improved probe F1.</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Treat latent capacity as a first-order design variable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The 64-to-4-dimensional projection caused the strongest measured loss.</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Use hBABEL for representation probing, not as the sole segmentation benchmark</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4F7FA"/>
            <w:vAlign w:val="center"/>
          </w:tcPr>
          <w:p>
            <w:pPr>
              <w:spacing w:after="0" w:line="240" w:lineRule="auto"/>
            </w:pPr>
            <w:r>
              <w:rPr>
                <w:sz w:val="16"/>
              </w:rPr>
              <w:t>Its labels overlap, while a single dense label-agnostic event stream gives a very low count-limited boundary ceiling.</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Keep A4Mer conceptually separate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sz w:val="16"/>
              </w:rPr>
              <w:t>Only its kinematic detector was evaluated. The full variable-length segmentation and masked hierarchical representation were not reproduced.</w:t>
            </w:r>
          </w:p>
        </w:tc>
      </w:tr>
    </w:tbl>
    <w:p>
      <w:pPr>
        <w:spacing w:after="20"/>
      </w:pPr>
    </w:p>
    <w:p>
      <w:pPr>
        <w:pStyle w:val="Heading1"/>
      </w:pPr>
      <w:r>
        <w:t>What the evidence supports</w:t>
      </w:r>
    </w:p>
    <w:p>
      <w:pPr>
        <w:spacing w:after="60"/>
        <w:ind w:left="346" w:hanging="259"/>
      </w:pPr>
      <w:r>
        <w:t xml:space="preserve">• </w:t>
      </w:r>
      <w:r>
        <w:t>The discrete sequence retains substantial motion information even when individual code identities are weak.</w:t>
      </w:r>
    </w:p>
    <w:p>
      <w:pPr>
        <w:spacing w:after="60"/>
        <w:ind w:left="346" w:hanging="259"/>
      </w:pPr>
      <w:r>
        <w:t xml:space="preserve">• </w:t>
      </w:r>
      <w:r>
        <w:t>Decoder context can improve reconstruction while reducing the information carried by each individual token.</w:t>
      </w:r>
    </w:p>
    <w:p>
      <w:pPr>
        <w:spacing w:after="60"/>
        <w:ind w:left="346" w:hanging="259"/>
      </w:pPr>
      <w:r>
        <w:t xml:space="preserve">• </w:t>
      </w:r>
      <w:r>
        <w:t>Moderate slowness increases persistence, but excessive slowness collapses the representation.</w:t>
      </w:r>
    </w:p>
    <w:p>
      <w:pPr>
        <w:spacing w:after="60"/>
        <w:ind w:left="346" w:hanging="259"/>
      </w:pPr>
      <w:r>
        <w:t xml:space="preserve">• </w:t>
      </w:r>
      <w:r>
        <w:t>Post hoc k-means can preserve the information in a good 64-dimensional learned representation.</w:t>
      </w:r>
    </w:p>
    <w:p>
      <w:pPr>
        <w:spacing w:after="60"/>
        <w:ind w:left="346" w:hanging="259"/>
      </w:pPr>
      <w:r>
        <w:t xml:space="preserve">• </w:t>
      </w:r>
      <w:r>
        <w:t>The four-dimensional bottleneck used to create K = 1000 FSQ codes is too narrow for hBABEL under the tested objective.</w:t>
      </w:r>
    </w:p>
    <w:p>
      <w:pPr>
        <w:spacing w:after="60"/>
        <w:ind w:left="346" w:hanging="259"/>
      </w:pPr>
      <w:r>
        <w:t xml:space="preserve">• </w:t>
      </w:r>
      <w:r>
        <w:t>VQ codebook collapse explains much of its disadvantage to FSQ and k-means in the matched hBABEL tests.</w:t>
      </w:r>
    </w:p>
    <w:p>
      <w:pPr>
        <w:spacing w:after="60"/>
        <w:ind w:left="346" w:hanging="259"/>
      </w:pPr>
      <w:r>
        <w:t xml:space="preserve">• </w:t>
      </w:r>
      <w:r>
        <w:t>Neither commitment at beta = 0.25 nor genuine backbone fine-tuning improved the tested codes.</w:t>
      </w:r>
    </w:p>
    <w:p>
      <w:pPr>
        <w:pStyle w:val="Heading2"/>
      </w:pPr>
      <w:r>
        <w:t>What the evidence does not support</w:t>
      </w:r>
    </w:p>
    <w:p>
      <w:pPr>
        <w:spacing w:after="60"/>
        <w:ind w:left="346" w:hanging="259"/>
      </w:pPr>
      <w:r>
        <w:t xml:space="preserve">• </w:t>
      </w:r>
      <w:r>
        <w:t>That FSQ or VQ cannot discover meaningful motion units under another objective, capacity or hierarchy.</w:t>
      </w:r>
    </w:p>
    <w:p>
      <w:pPr>
        <w:spacing w:after="60"/>
        <w:ind w:left="346" w:hanging="259"/>
      </w:pPr>
      <w:r>
        <w:t xml:space="preserve">• </w:t>
      </w:r>
      <w:r>
        <w:t>That Shot7M2 or hBABEL contains no temporal structure.</w:t>
      </w:r>
    </w:p>
    <w:p>
      <w:pPr>
        <w:spacing w:after="60"/>
        <w:ind w:left="346" w:hanging="259"/>
      </w:pPr>
      <w:r>
        <w:t xml:space="preserve">• </w:t>
      </w:r>
      <w:r>
        <w:t>That post hoc k-means clusters are semantic actions merely because they predict labels well.</w:t>
      </w:r>
    </w:p>
    <w:p>
      <w:pPr>
        <w:spacing w:after="60"/>
        <w:ind w:left="346" w:hanging="259"/>
      </w:pPr>
      <w:r>
        <w:t xml:space="preserve">• </w:t>
      </w:r>
      <w:r>
        <w:t>That longer code runs are behavioural segments.</w:t>
      </w:r>
    </w:p>
    <w:p>
      <w:pPr>
        <w:spacing w:after="60"/>
        <w:ind w:left="346" w:hanging="259"/>
      </w:pPr>
      <w:r>
        <w:t xml:space="preserve">• </w:t>
      </w:r>
      <w:r>
        <w:t>That the A4Mer approach has failed; its full model and variable-length segmentation were never tested.</w:t>
      </w:r>
    </w:p>
    <w:p>
      <w:pPr>
        <w:spacing w:after="60"/>
        <w:ind w:left="346" w:hanging="259"/>
      </w:pPr>
      <w:r>
        <w:t xml:space="preserve">• </w:t>
      </w:r>
      <w:r>
        <w:t>That quantisation improves downstream representation learning or action segmentation. That central utility question remains open.</w:t>
      </w:r>
    </w:p>
    <w:p>
      <w:r>
        <w:br w:type="page"/>
      </w:r>
    </w:p>
    <w:p>
      <w:pPr>
        <w:pStyle w:val="Heading1"/>
      </w:pPr>
      <w:r>
        <w:t>Current project position</w:t>
      </w:r>
    </w:p>
    <w:p>
      <w:r>
        <w:t>The project is no longer stuck on whether FSQ should replace k-means. The five experiments have identified a clearer scientific opportunity: characterise what unsupervised discrete motion units represent, then test whether their ordered composition adds value beyond the continuous representation and beyond post hoc clustering. The next experiments should begin from the strongest verified representation, avoid the destructive four-dimensional bottleneck, and use task-appropriate evaluation for segmentation.</w:t>
      </w:r>
    </w:p>
    <w:p>
      <w:pPr>
        <w:pStyle w:val="Heading1"/>
      </w:pPr>
      <w:r>
        <w:t>Selected literature anchors</w:t>
      </w:r>
    </w:p>
    <w:p>
      <w:pPr>
        <w:pStyle w:val="SmallNote"/>
      </w:pPr>
      <w:r>
        <w:t>Mentzer, Minnen, Agustsson and Tschannen. Finite Scalar Quantization VQ VAE Made Simple. ICLR 2024. https://arxiv.org/abs/2309.15505</w:t>
      </w:r>
    </w:p>
    <w:p>
      <w:pPr>
        <w:pStyle w:val="SmallNote"/>
      </w:pPr>
      <w:r>
        <w:t>van den Oord, Vinyals and Kavukcuoglu. Neural Discrete Representation Learning. NeurIPS 2017. https://proceedings.neurips.cc/paper/2017/hash/7a98af17e63a0ac09ce2e96d03992fbc-Abstract.html</w:t>
      </w:r>
    </w:p>
    <w:p>
      <w:pPr>
        <w:pStyle w:val="SmallNote"/>
      </w:pPr>
      <w:r>
        <w:t>Stoffl, Bonnetto, D Ascoli and Mathis. Elucidating the Hierarchical Nature of Behavior with Masked Autoencoders. ECCV 2024. https://www.ecva.net/papers/eccv_2024/papers_ECCV/html/8076_ECCV_2024_paper.php</w:t>
      </w:r>
    </w:p>
    <w:p>
      <w:pPr>
        <w:pStyle w:val="SmallNote"/>
      </w:pPr>
      <w:r>
        <w:t>Spurio, Bahrami, Francesca and Gall. Hierarchical Vector Quantization for Unsupervised Action Segmentation. AAAI 2025. https://arxiv.org/abs/2412.17640</w:t>
      </w:r>
    </w:p>
    <w:p>
      <w:pPr>
        <w:pStyle w:val="SmallNote"/>
      </w:pPr>
      <w:r>
        <w:t>Kinoshita et al. Action Motifs Self Supervised Hierarchical Representation of Human Body Movements. 2026. https://arxiv.org/abs/2604.28173</w:t>
      </w:r>
    </w:p>
    <w:sectPr w:rsidR="00FC693F" w:rsidRPr="0006063C" w:rsidSect="00034616">
      <w:footerReference w:type="default" r:id="rId9"/>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8352"/>
      <w:gridCol w:w="1584"/>
    </w:tblGrid>
    <w:tr>
      <w:tc>
        <w:tcPr>
          <w:tcW w:type="dxa" w:w="4968"/>
          <w:tcBorders>
            <w:top w:val="nil"/>
            <w:left w:val="nil"/>
            <w:bottom w:val="nil"/>
            <w:right w:val="nil"/>
            <w:insideH w:val="nil"/>
            <w:insideV w:val="nil"/>
          </w:tcBorders>
        </w:tcPr>
        <w:p>
          <w:r>
            <w:rPr>
              <w:color w:val="5F5F5F"/>
              <w:sz w:val="16"/>
            </w:rPr>
            <w:t>Discrete motion project current state</w:t>
          </w:r>
        </w:p>
      </w:tc>
      <w:tc>
        <w:tcPr>
          <w:tcW w:type="dxa" w:w="4968"/>
          <w:tcBorders>
            <w:top w:val="nil"/>
            <w:left w:val="nil"/>
            <w:bottom w:val="nil"/>
            <w:right w:val="nil"/>
            <w:insideH w:val="nil"/>
            <w:insideV w:val="nil"/>
          </w:tcBorders>
        </w:tcPr>
        <w:p>
          <w:pPr>
            <w:jc w:val="right"/>
          </w:pPr>
          <w: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