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33861302d6f5eda9784f62310f10c278cc29513"/>
      <w:r>
        <w:t xml:space="preserve">UsherPipe: a genome-wide multi-evidence pipeline for prioritizing candidate genes in Usher syndrome and related ciliopathies</w:t>
      </w:r>
      <w:bookmarkEnd w:id="9"/>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w:t>
      </w:r>
      <w:r>
        <w:t xml:space="preserve"> </w:t>
      </w:r>
      <w:r>
        <w:t xml:space="preserve">(ORCID: 0000-0003-4776-3550); Yung-Hao Ching</w:t>
      </w:r>
      <w:r>
        <w:rPr>
          <w:vertAlign w:val="superscript"/>
        </w:rPr>
        <w:t xml:space="preserve">2</w:t>
      </w:r>
      <w:r>
        <w:t xml:space="preserve"> </w:t>
      </w:r>
      <w:r>
        <w:t xml:space="preserve">(ORCiD: 0000-0002-5767-6701; yching@gms.tcu.edu.tw); Wen-Hsiang Lu</w:t>
      </w:r>
      <w:r>
        <w:rPr>
          <w:vertAlign w:val="superscript"/>
        </w:rPr>
        <w:t xml:space="preserve">1</w:t>
      </w:r>
      <w:r>
        <w:t xml:space="preserve"> </w:t>
      </w:r>
      <w:r>
        <w:t xml:space="preserve">(ORCID: 0009-0002-5149-6790)</w:t>
      </w:r>
    </w:p>
    <w:p>
      <w:pPr>
        <w:pStyle w:val="BodyText"/>
      </w:pPr>
      <w:r>
        <w:rPr>
          <w:b/>
          <w:bCs/>
        </w:rPr>
        <w:t xml:space="preserve">Corresponding author:</w:t>
      </w:r>
      <w:r>
        <w:t xml:space="preserve"> </w:t>
      </w:r>
      <w:r>
        <w:t xml:space="preserve">Jing-Rung Huang, MD; gbanyan.huang@gmail.com;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p>
      <w:pPr>
        <w:pStyle w:val="Heading2"/>
      </w:pPr>
      <w:bookmarkStart w:id="10" w:name="_abstract"/>
      <w:r>
        <w:t xml:space="preserve">Abstract</w:t>
      </w:r>
      <w:bookmarkEnd w:id="10"/>
    </w:p>
    <w:p>
      <w:pPr>
        <w:pStyle w:val="Heading3"/>
      </w:pPr>
      <w:bookmarkStart w:id="11" w:name="_background"/>
      <w:r>
        <w:t xml:space="preserve">Background</w:t>
      </w:r>
      <w:bookmarkEnd w:id="11"/>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p>
      <w:pPr>
        <w:pStyle w:val="Heading3"/>
      </w:pPr>
      <w:bookmarkStart w:id="12" w:name="_results"/>
      <w:r>
        <w:t xml:space="preserve">Results</w:t>
      </w:r>
      <w:bookmarkEnd w:id="12"/>
    </w:p>
    <w:p>
      <w:pPr>
        <w:pStyle w:val="FirstParagraph"/>
      </w:pPr>
      <w:r>
        <w:t xml:space="preserve">UsherPipe integrates six evidence layers in a NULL-aware weighted mean across 20,081 analysis labels derived from 20,116 protein-coding IDs. Scoring uses no training labels or similarity seeds; curated known-gene annotations remain inputs. A downstream, control-calibrated gate defines the heuristic HIGH priority tier. The nine established Usher controls and 28 SYSCILIA controls had median raw percentile ranks of 97.8% and 91.9%; only two and one, respectively, entered HIGH. The final output contains 62 HIGH, 9,673 MEDIUM and 8,652 LOW labels. Housekeeping genes ranked at a median 94.8th percentile, demonstrating limited raw-score specificity. In a separately frozen comparison matched on publication and GO counts, 27 comparators matched to Usher controls and 84 matched to SYSCILIA controls had medians of 64.2% and 60.3%. Paired control advantage fell to 55.6% and 57.1% after joint animal/literature omission. Across equal weights and 24 modest perturbations, only 41 default top-100 genes remained in every configuration. In a retrospective temporal evaluation of historical analogues, 41 of 45 provisionally literature-screened later-association genes were in the historical protein-coding universe; neither co-primary version recovered a case in the top 100. Subsequent human review identified unresolved target-family evidence in three flagged cases.</w:t>
      </w:r>
    </w:p>
    <w:p>
      <w:pPr>
        <w:pStyle w:val="Heading3"/>
      </w:pPr>
      <w:bookmarkStart w:id="13" w:name="_conclusions"/>
      <w:r>
        <w:t xml:space="preserve">Conclusions</w:t>
      </w:r>
      <w:bookmarkEnd w:id="13"/>
    </w:p>
    <w:p>
      <w:pPr>
        <w:pStyle w:val="FirstParagraph"/>
      </w:pPr>
      <w:r>
        <w:t xml:space="preserve">UsherPipe organizes cilia/sensory-aware hypotheses for follow-up in the Usher context. Scores and HIGH membership reflect available annotations and weighting choices, rather than calibrated disease probabilities. Internal recovery, matched comparisons and weak later-association recovery do not establish reliable novel disease-gene discovery. Code, evidence profiles and derived replay inputs are available in the repository.</w:t>
      </w:r>
    </w:p>
    <w:p>
      <w:pPr>
        <w:pStyle w:val="BodyText"/>
      </w:pPr>
      <w:r>
        <w:rPr>
          <w:b/>
          <w:bCs/>
        </w:rPr>
        <w:t xml:space="preserve">Keywords:</w:t>
      </w:r>
      <w:r>
        <w:t xml:space="preserve"> </w:t>
      </w:r>
      <w:r>
        <w:t xml:space="preserve">Usher syndrome, ciliopathy, gene prioritization, missing data, bioinformatics pipeline, hypothesis generation</w:t>
      </w:r>
    </w:p>
    <w:p>
      <w:r>
        <w:pict>
          <v:rect style="width:0;height:1.5pt" o:hralign="center" o:hrstd="t" o:hr="t"/>
        </w:pict>
      </w:r>
    </w:p>
    <w:p>
      <w:pPr>
        <w:pStyle w:val="Heading2"/>
      </w:pPr>
      <w:bookmarkStart w:id="14" w:name="_4a6a3a54272b4c873b2618a4467c763de83ca64"/>
      <w:r>
        <w:t xml:space="preserve">Background</w:t>
      </w:r>
      <w:bookmarkEnd w:id="14"/>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p>
      <w:pPr>
        <w:pStyle w:val="Heading3"/>
      </w:pPr>
      <w:bookmarkStart w:id="15" w:name="_fbd6b818c6d741c36c6efaf20f6588649e2a507"/>
      <w:r>
        <w:t xml:space="preserve">Usher syndrome as a specialized sensory ciliopathy</w:t>
      </w:r>
      <w:bookmarkEnd w:id="15"/>
    </w:p>
    <w:p>
      <w:pPr>
        <w:pStyle w:val="FirstParagraph"/>
      </w:pPr>
      <w:r>
        <w:t xml:space="preserve">Ciliopathies are inherited disorders of primary or motile cilia and their associated proteins [7]. Their effects on signaling, sensory perception and fluid movement can involve the retina, kidneys, nervous system, skeleton and other organs, producing overlapping isolated and multisystem phenotypes.</w:t>
      </w:r>
    </w:p>
    <w:p>
      <w:pPr>
        <w:pStyle w:val="BodyText"/>
      </w:pPr>
      <w:r>
        <w:t xml:space="preserve">Several Usher proteins participate in hair-cell stereociliary complexes and photoreceptor connecting-cilium or periciliary regions [8, 9, 10, 11]. These shared mechanisms motivate considering Usher syndrome within the sensory ciliopathy spectrum [2, 4, 7], although stereocilia are actin-based structures rather than true cilia. General ciliary function alone does not establish involvement in the combined auditory–retinal phenotype. UsherPipe therefore supplies sensory/ciliary hypotheses for follow-up in the Usher context.</w:t>
      </w:r>
    </w:p>
    <w:p>
      <w:pPr>
        <w:pStyle w:val="Heading3"/>
      </w:pPr>
      <w:bookmarkStart w:id="16" w:name="_7cec597f696a011e48ab8057be569171fbd33da"/>
      <w:r>
        <w:t xml:space="preserve">Ciliary and stereociliary biology underlying Usher syndrome</w:t>
      </w:r>
      <w:bookmarkEnd w:id="16"/>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 9, 12].</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[10, 13, 14].</w:t>
      </w:r>
    </w:p>
    <w:p>
      <w:pPr>
        <w:pStyle w:val="BodyText"/>
      </w:pPr>
      <w:r>
        <w:t xml:space="preserve">The shared molecular basis of the retinal and auditory phenotypes lies in the Usher interactome. USH1 proteins contribute to transient lateral links, tip-link-associated structures and their attachment to the stereociliary actin cytoskeleton, supporting hair-bundle cohesion, orientation and maturation [13, 15].</w:t>
      </w:r>
    </w:p>
    <w:p>
      <w:pPr>
        <w:pStyle w:val="BodyText"/>
      </w:pPr>
      <w:r>
        <w:t xml:space="preserve">USH2 proteins, including usherin, ADGRV1, whirlin and PDZD7, form the ankle-link complex in developing hair cells. In photoreceptors, usherin, ADGRV1 and whirlin assemble at the periciliary membrane complex, where they are thought to support trafficking to the outer segment [9, 16, 11]. CLRN1 is required for hair-bundle organization [17]; a zebrafish model also implicated Müller glia in retinal maintenance [18]. Together, Usher proteins support adhesion, scaffolding, trafficking and sensory-cell compartmentalization [8, 19].</w:t>
      </w:r>
    </w:p>
    <w:p>
      <w:pPr>
        <w:pStyle w:val="Heading3"/>
      </w:pPr>
      <w:bookmarkStart w:id="17" w:name="_275842056641ad43911f460125029304c4e3427"/>
      <w:r>
        <w:t xml:space="preserve">Limitations of existing gene prioritization approaches</w:t>
      </w:r>
      <w:bookmarkEnd w:id="17"/>
    </w:p>
    <w:p>
      <w:pPr>
        <w:pStyle w:val="FirstParagraph"/>
      </w:pPr>
      <w:r>
        <w:t xml:space="preserve">Computational gene prioritization has become a standard approach for narrowing candidate gene lists in rare disease research. Existing approaches address different tasks, including variant interpretation, phenotype matching and similarity to previously characterized disease genes. These design differences motivate a complementary framework for organizing genome-wide biological hypotheses; they do not establish that UsherPipe discovers novel disease genes more effectively.</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may already have been investigated. Candidates with distinct molecular functions or expression patterns may be deprioritized; avoiding similarity seeds does not itself establish improved novel-gene recovery.</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the retina/proxy expression panel or gnomAD constraint layer used here for either resource. Both tools therefore address a different question (</w:t>
      </w:r>
      <w:r>
        <w:t xml:space="preserve">“Is this gene ciliary?”</w:t>
      </w:r>
      <w:r>
        <w:t xml:space="preserve"> </w:t>
      </w:r>
      <w:r>
        <w:t xml:space="preserve">rather than</w:t>
      </w:r>
      <w:r>
        <w:t xml:space="preserve"> </w:t>
      </w:r>
      <w:r>
        <w:t xml:space="preserve">“Is this gene a candidate for Usher syndrome?”</w:t>
      </w:r>
      <w:r>
        <w:t xml:space="preserv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retina/proxy expression panel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keepNext/>
      </w:pPr>
      <w:r>
        <w:rPr>
          <w:b/>
          <w:bCs/>
        </w:rPr>
        <w:t xml:space="preserve">Table 1. Comparison of gene prioritization approaches for rare disease research.</w:t>
      </w:r>
    </w:p>
    <w:tbl>
      <w:tblPr>
        <w:tblStyle w:val="Table"/>
        <w:tblW w:type="pct" w:w="5000"/>
        <w:tblLayout w:type="fixed"/>
        <w:tblLook w:firstRow="1" w:lastRow="0" w:firstColumn="0" w:lastColumn="0" w:noHBand="0" w:noVBand="0" w:val="0020"/>
      </w:tblPr>
      <w:tblGrid>
        <w:gridCol w:w="1944"/>
        <w:gridCol w:w="986"/>
        <w:gridCol w:w="986"/>
        <w:gridCol w:w="986"/>
        <w:gridCol w:w="986"/>
        <w:gridCol w:w="986"/>
        <w:gridCol w:w="986"/>
        <w:gridCol w:w="986"/>
        <w:gridCol w:w="986"/>
      </w:tblGrid>
      <w:tr>
        <w:trPr>
          <w:tblHeader w:val="on"/>
          <w:cantSplit/>
          <w:tblHeader/>
        </w:trPr>
        <w:tc>
          <w:tcPr>
            <w:tcW w:type="dxa" w:w="1944"/>
          </w:tcPr>
          <w:p>
            <w:pPr>
              <w:pStyle w:val="Compact"/>
              <w:spacing w:line="240" w:lineRule="auto" w:after="80"/>
            </w:pPr>
            <w:r>
              <w:rPr>
                <w:sz w:val="16"/>
              </w:rPr>
              <w:t xml:space="preserve">Feature</w:t>
            </w:r>
          </w:p>
        </w:tc>
        <w:tc>
          <w:tcPr>
            <w:tcW w:type="dxa" w:w="986"/>
          </w:tcPr>
          <w:p>
            <w:pPr>
              <w:pStyle w:val="Compact"/>
              <w:spacing w:line="240" w:lineRule="auto" w:after="80"/>
              <w:jc w:val="center"/>
            </w:pPr>
            <w:r>
              <w:rPr>
                <w:sz w:val="16"/>
              </w:rPr>
              <w:t xml:space="preserve">Endeavour</w:t>
            </w:r>
          </w:p>
        </w:tc>
        <w:tc>
          <w:tcPr>
            <w:tcW w:type="dxa" w:w="986"/>
          </w:tcPr>
          <w:p>
            <w:pPr>
              <w:pStyle w:val="Compact"/>
              <w:spacing w:line="240" w:lineRule="auto" w:after="80"/>
              <w:jc w:val="center"/>
            </w:pPr>
            <w:r>
              <w:rPr>
                <w:sz w:val="16"/>
              </w:rPr>
              <w:t xml:space="preserve">ToppGene</w:t>
            </w:r>
          </w:p>
        </w:tc>
        <w:tc>
          <w:tcPr>
            <w:tcW w:type="dxa" w:w="986"/>
          </w:tcPr>
          <w:p>
            <w:pPr>
              <w:pStyle w:val="Compact"/>
              <w:spacing w:line="240" w:lineRule="auto" w:after="80"/>
              <w:jc w:val="center"/>
            </w:pPr>
            <w:r>
              <w:rPr>
                <w:sz w:val="16"/>
              </w:rPr>
              <w:t xml:space="preserve">Exomiser</w:t>
            </w:r>
          </w:p>
        </w:tc>
        <w:tc>
          <w:tcPr>
            <w:tcW w:type="dxa" w:w="986"/>
          </w:tcPr>
          <w:p>
            <w:pPr>
              <w:pStyle w:val="Compact"/>
              <w:spacing w:line="240" w:lineRule="auto" w:after="80"/>
              <w:jc w:val="center"/>
            </w:pPr>
            <w:r>
              <w:rPr>
                <w:sz w:val="16"/>
              </w:rPr>
              <w:t xml:space="preserve">AMELIE</w:t>
            </w:r>
          </w:p>
        </w:tc>
        <w:tc>
          <w:tcPr>
            <w:tcW w:type="dxa" w:w="986"/>
          </w:tcPr>
          <w:p>
            <w:pPr>
              <w:pStyle w:val="Compact"/>
              <w:spacing w:line="240" w:lineRule="auto" w:after="80"/>
              <w:jc w:val="center"/>
            </w:pPr>
            <w:r>
              <w:rPr>
                <w:sz w:val="16"/>
              </w:rPr>
              <w:t xml:space="preserve">CiliaCarta</w:t>
            </w:r>
          </w:p>
        </w:tc>
        <w:tc>
          <w:tcPr>
            <w:tcW w:type="dxa" w:w="986"/>
          </w:tcPr>
          <w:p>
            <w:pPr>
              <w:pStyle w:val="Compact"/>
              <w:spacing w:line="240" w:lineRule="auto" w:after="80"/>
              <w:jc w:val="center"/>
            </w:pPr>
            <w:r>
              <w:rPr>
                <w:sz w:val="16"/>
              </w:rPr>
              <w:t xml:space="preserve">CilioGenics</w:t>
            </w:r>
          </w:p>
        </w:tc>
        <w:tc>
          <w:tcPr>
            <w:tcW w:type="dxa" w:w="986"/>
          </w:tcPr>
          <w:p>
            <w:pPr>
              <w:pStyle w:val="Compact"/>
              <w:spacing w:line="240" w:lineRule="auto" w:after="80"/>
              <w:jc w:val="center"/>
            </w:pPr>
            <w:r>
              <w:rPr>
                <w:sz w:val="16"/>
              </w:rPr>
              <w:t xml:space="preserve">mantis-ml</w:t>
            </w:r>
          </w:p>
        </w:tc>
        <w:tc>
          <w:tcPr>
            <w:tcW w:type="dxa" w:w="986"/>
          </w:tcPr>
          <w:p>
            <w:pPr>
              <w:pStyle w:val="Compact"/>
              <w:spacing w:line="240" w:lineRule="auto" w:after="80"/>
              <w:jc w:val="center"/>
            </w:pPr>
            <w:r>
              <w:rPr>
                <w:b/>
                <w:bCs/>
                <w:sz w:val="16"/>
              </w:rPr>
              <w:t xml:space="preserve">UsherPipe</w:t>
            </w:r>
          </w:p>
        </w:tc>
      </w:tr>
      <w:tr>
        <w:trPr>
          <w:cantSplit/>
        </w:trPr>
        <w:tc>
          <w:tcPr>
            <w:tcW w:type="dxa" w:w="1944"/>
          </w:tcPr>
          <w:p>
            <w:pPr>
              <w:pStyle w:val="Compact"/>
              <w:spacing w:line="240" w:lineRule="auto" w:after="80"/>
            </w:pPr>
            <w:r>
              <w:rPr>
                <w:sz w:val="16"/>
              </w:rPr>
              <w:t xml:space="preserve">Genome-wide screening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No user-supplied disease seeds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Explicit retina/proxy expression layer</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Patient-variant (VCF) interpretation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Machine-learned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NULL-aware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Cilia/centrosome localization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gnomAD constraint</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Animal model phenotypes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Publication-volume normalization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bl>
    <w:p>
      <w:pPr>
        <w:pStyle w:val="FirstParagraph"/>
        <w:keepNext/>
      </w:pPr>
      <w:r>
        <w:t xml:space="preserve">Feature labels are intentionally narrow: Exomiser’s gnomAD allele-frequency features are not treated as gene-level constraint, and phenotype matching is not treated as a retina/proxy expression layer.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makes three explicit design choices: (1) genome-wide screening of protein-coding genes across six complementary evidence layers with cilia/sensory-related dimensions relevant to hypotheses in the Usher context (no training labels or similarity seeds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p>
      <w:pPr>
        <w:pStyle w:val="Heading2"/>
      </w:pPr>
      <w:bookmarkStart w:id="18" w:name="_methods"/>
      <w:r>
        <w:t xml:space="preserve">Methods</w:t>
      </w:r>
      <w:bookmarkEnd w:id="18"/>
    </w:p>
    <w:p>
      <w:pPr>
        <w:pStyle w:val="Heading3"/>
      </w:pPr>
      <w:bookmarkStart w:id="19" w:name="_3606897c8d2d3b8486b65c008588a3d3ce72eb7"/>
      <w:r>
        <w:t xml:space="preserve">Study design and setting</w:t>
      </w:r>
      <w:bookmarkEnd w:id="19"/>
    </w:p>
    <w:p>
      <w:pPr>
        <w:pStyle w:val="FirstParagraph"/>
      </w:pPr>
      <w:r>
        <w:t xml:space="preserve">This was a retrospective computational methods study asking whether transparent integration of publicly available biological annotations can prioritize genome-wide hypotheses for Usher syndrome and related ciliopathies. The production analysis used locally cached inputs and a fixed protein-coding gene universe. Optional analyses were evaluated after production tier assignment and did not change production scores or tiers. No participants were recruited, no new human specimens or animal experiments were performed, and no patient-level data are reported. A derived-input bundle supports numerical replay of the frozen scores; source-provenance limitations are described under Reproducibility.</w:t>
      </w:r>
    </w:p>
    <w:p>
      <w:pPr>
        <w:pStyle w:val="Heading3"/>
      </w:pPr>
      <w:bookmarkStart w:id="20" w:name="_architecture"/>
      <w:r>
        <w:t xml:space="preserve">Architecture</w:t>
      </w:r>
      <w:bookmarkEnd w:id="20"/>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p>
      <w:pPr>
        <w:pStyle w:val="Heading3"/>
      </w:pPr>
      <w:bookmarkStart w:id="21" w:name="_b992d21647cff4eed7d1fddf52c0d8516b7442d"/>
      <w:r>
        <w:t xml:space="preserve">Gene universe</w:t>
      </w:r>
      <w:bookmarkEnd w:id="21"/>
    </w:p>
    <w:p>
      <w:pPr>
        <w:pStyle w:val="FirstParagraph"/>
      </w:pPr>
      <w:r>
        <w:t xml:space="preserve">The gene universe is loaded from the locally cached Ensembl 113 GRCh38 GTF input; mygene.info [27] is used for identifier annotation rather than as the authoritative source of the protein-coding universe.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Additional file 1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p>
      <w:pPr>
        <w:pStyle w:val="BodyText"/>
      </w:pPr>
      <w:r>
        <w:t xml:space="preserve">Additional file 2 lists excluded labels; Additional file 3 provides supplementary methods; Additional file 4 records original production provenance. Additional file 5 supplies optional expression-shortlist candidates, Additional file 6 its report, Additional file 7 strategy summaries, Additional file 8 the fetal cochlear matrix, and Additional file 9 its local provenance. Additional file 10 checks actual delivered additional-file bytes; Additional file 11 supplies revision diagnostics and derived replay inputs; Additional file 12 supplies the historical temporal evaluation. These resources have distinct scopes, detailed below.</w:t>
      </w:r>
    </w:p>
    <w:p>
      <w:pPr>
        <w:pStyle w:val="Heading3"/>
      </w:pPr>
      <w:bookmarkStart w:id="22" w:name="_cbfb25a8d6ddb896e53ef2defe09e3831f3b0a8"/>
      <w:r>
        <w:t xml:space="preserve">Evidence layers</w:t>
      </w:r>
      <w:bookmarkEnd w:id="22"/>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(weight: 0.20).</w:t>
      </w:r>
      <w:r>
        <w:t xml:space="preserve"> </w:t>
      </w:r>
      <w:r>
        <w:t xml:space="preserve">The production layer uses a restricted panel of retina and cerebellum targets, with testis and fallopian tube as backgrounds, from HPA [29] and GTEx v8 [30], plus separately ranked Census photoreceptor expression [31]. To include neural expression context in the cilia-focused panel, we used cerebellum, which had measurements in both HPA and GTEx. This was a pragmatic proxy choice; it does not provide cochlear evidence. Quantitative enrichment and Tau are computed within source and restricted panel; ordinal HPA immunohistochemistry levels are not used as quantitative expression ratios or Tau inputs. The three components are enrichment percentile (0.4), mean available quantitative source Tau (0.3), and maximum target/source percentile (0.3), renormalized over available components. No production hair-cell measurements were available in the local Census inputs. Details and source coverage are in Supplementary Methods S3 and Results, “Expression dependence”.</w:t>
      </w:r>
    </w:p>
    <w:p>
      <w:pPr>
        <w:pStyle w:val="BodyText"/>
      </w:pPr>
      <w:r>
        <w:rPr>
          <w:b/>
          <w:bCs/>
        </w:rPr>
        <w:t xml:space="preserve">Functional annotation completeness (weight: 0.15).</w:t>
      </w:r>
      <w:r>
        <w:t xml:space="preserve"> </w:t>
      </w:r>
      <w:r>
        <w:t xml:space="preserve">The implemented score is 0.5 × normalized log₂(GO count + 1) [32] + 0.3 × UniProt annotation score/5 [33] + 0.2 × pathway presence from KEGG/Reactome through mygene.info [27, 34, 35]. Missing subcomponents contribute zero; only absence of all three produces NULL. This measures annotation depth.</w:t>
      </w:r>
    </w:p>
    <w:p>
      <w:pPr>
        <w:pStyle w:val="BodyText"/>
      </w:pPr>
      <w:r>
        <w:rPr>
          <w:b/>
          <w:bCs/>
        </w:rPr>
        <w:t xml:space="preserve">Subcellular localization (weight: 0.15).</w:t>
      </w:r>
      <w:r>
        <w:t xml:space="preserve"> </w:t>
      </w:r>
      <w:r>
        <w:t xml:space="preserve">HPA antibody-staining annotations are graded by ciliary proximity: direct cilia/centrosome/basal-body/transition-zone/stereocilia evidence scores 1.0, and recognized adjacent compartments score 0.5. Enhanced/Supported reliability receives a factor of 1.0; Approved/Uncertain receives 0.6. The latter are antibody-evidence categories, not computational predictions. Embedded curated cilia/centrosome lists supply a fallback proximity of 0.3. Recognized HPA reliability takes precedence for its evidence factor; compendium-only evidence receives 0.5. These are undated author-curated literal lists, not a downloaded CiliaCarta or proteomics dataset. Their original compilation dates, source assay tables and derivation from other ciliary lists are not documented. Exact symbols, alias rules and control overlaps are supplied in Additional file 11. Absence of usable localization evidence yields NULL; observed non-ciliary localization can be zero. The HIGH gate uses specific source flags, rather than any positive aggregate localization score.</w:t>
      </w:r>
    </w:p>
    <w:p>
      <w:pPr>
        <w:pStyle w:val="BodyText"/>
      </w:pPr>
      <w:r>
        <w:rPr>
          <w:b/>
          <w:bCs/>
        </w:rPr>
        <w:t xml:space="preserve">Animal model phenotypes (weight: 0.15).</w:t>
      </w:r>
      <w:r>
        <w:t xml:space="preserve"> </w:t>
      </w:r>
      <w:r>
        <w:t xml:space="preserve">HCOP [36] ortholog mappings link MGI/IMPC mouse [37, 38] and ZFIN zebrafish [39] sensory annotations. Distinct relevant mouse phenotype term names are unioned across MGI and IMPC. The score is (0.4 × mouse sensory-phenotype presence × mouse confidence + 0.3 × zebrafish sensory-phenotype presence × zebrafish confidence) multiplied by log₂(combined sensory count + 1)/log₂(global maximum combined count + 1), with confidence factors 1.0/0.7/0.4. The combined count sums distinct mouse terms and zebrafish counts. No ortholog yields NULL; a mapped ortholog with no relevant recorded phenotype can yield zero.</w:t>
      </w:r>
    </w:p>
    <w:p>
      <w:pPr>
        <w:pStyle w:val="BodyText"/>
      </w:pPr>
      <w:r>
        <w:rPr>
          <w:b/>
          <w:bCs/>
        </w:rPr>
        <w:t xml:space="preserve">Literature mining (weight: 0.15).</w:t>
      </w:r>
      <w:r>
        <w:t xml:space="preserve"> </w:t>
      </w:r>
      <w:r>
        <w:t xml:space="preserve">NCBI gene2pubmed [40] links genes to publications, intersected with cilia, sensory, cytoskeletal and polarity PubMed contexts (the sensory query includes Usher syndrome terms) (weights 2, 2, 1 and 1). Direct evidence requires a single PMID in both the experimental and cilia/sensory sets. Implemented tier precedence is direct experimental, high-throughput, functional, incidental, then none, with factors 1.0, 0.3, 0.6, 0.1 and 0. Raw contextual evidence is divided by log₂(total publications + 1), then positive values are rank-normalized. This adjusts one publication-volume dimension without removing ascertainment or research-intensity bias.</w:t>
      </w:r>
    </w:p>
    <w:p>
      <w:pPr>
        <w:pStyle w:val="BodyText"/>
      </w:pPr>
      <w:r>
        <w:t xml:space="preserve">These layers combine general gene importance, research coverage and sensory/ciliary annotations. They are not independent: animal, localization and literature records can draw on shared studies. Their contributions and dependence are examined in Results.</w:t>
      </w:r>
    </w:p>
    <w:p>
      <w:pPr>
        <w:pStyle w:val="Heading3"/>
      </w:pPr>
      <w:bookmarkStart w:id="23" w:name="_d89a69548dca4b6374c0779c1982a72e933e4f1"/>
      <w:r>
        <w:t xml:space="preserve">NULL-aware composite scoring</w:t>
      </w:r>
      <w:bookmarkEnd w:id="23"/>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The final weights are heuristic design choices, not fitted or demonstrated optimal values. Constraint and expression receive a modest five-percentage-point emphasis for general functional relevance and sensory-tissue plausibility; the other four layers receive equal weights. This rationale does not establish superiority over equal or animal-only weights. We retain the original configuration and report alternatives rather than select weights using the same controls. 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priority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positive recorded source flag for cilia, centrosome, basal body, transition zone or stereocilia, membership in either embedded cilia/centrosome compendium, or an animal-model score at least 0.1276571325. The animal threshold is the nearest-method 75th percentile of positive animal scores among the 20,081 retained labels. Adjacent-compartment evidence alone does not pass. The broader reporting flag</w:t>
      </w:r>
      <w:r>
        <w:t xml:space="preserve"> </w:t>
      </w:r>
      <w:r>
        <w:rPr>
          <w:rStyle w:val="VerbatimChar"/>
        </w:rPr>
        <w:t xml:space="preserve">has_cilia_signal</w:t>
      </w:r>
      <w:r>
        <w:t xml:space="preserve"> </w:t>
      </w:r>
      <w:r>
        <w:t xml:space="preserve">is not equivalent to this gate.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or similarity seeds. It does not mean that every downstream decision was independent of the controls: the cilia-signal gate was selected after inspection of control and negative-control behavior. Known-gene annotations nevertheless enter the score: 26 of 28 SYSCILIA controls occur in the embedded ciliary compendium, which contributes both localization score and gate passage; none of the nine Usher controls occurs there. SYSCILIA recovery is therefore partly circular. Literature contexts also include the disease name. Accordingly, seed-free here does not mean knowledge-free or control-independent.</w:t>
      </w:r>
    </w:p>
    <w:p>
      <w:pPr>
        <w:pStyle w:val="Heading3"/>
      </w:pPr>
      <w:bookmarkStart w:id="24" w:name="_2349af59175be1631f5237df840da78240b0fb7"/>
      <w:r>
        <w:t xml:space="preserve">Optional post-hoc shortlist refinement</w:t>
      </w:r>
      <w:bookmarkEnd w:id="24"/>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uses a different missing-data policy from tools that impute missing values. In mantis-ml, features with &gt;25% missingness are discarded entirely, and remaining gaps are filled with zero or median values [26]. Zero imputation treats</w:t>
      </w:r>
      <w:r>
        <w:t xml:space="preserve"> </w:t>
      </w:r>
      <w:r>
        <w:t xml:space="preserve">“unknown”</w:t>
      </w:r>
      <w:r>
        <w:t xml:space="preserve"> </w:t>
      </w:r>
      <w:r>
        <w:t xml:space="preserve">as</w:t>
      </w:r>
      <w:r>
        <w:t xml:space="preserve"> </w:t>
      </w:r>
      <w:r>
        <w:t xml:space="preserve">“no evidence,”</w:t>
      </w:r>
      <w:r>
        <w:t xml:space="preserve"> </w:t>
      </w:r>
      <w:r>
        <w:t xml:space="preserve">which can lower the rank of genes with incomplete measurements. Our NULL-preservation approach instead acknowledges epistemic uncertainty: a missing localization score means the protein’s location has not been determined, not that it is absent from cilia.</w:t>
      </w:r>
    </w:p>
    <w:p>
      <w:pPr>
        <w:pStyle w:val="Heading3"/>
      </w:pPr>
      <w:bookmarkStart w:id="25" w:name="_b149eb1496e7f56a9288a14e7668f5dd72b78de"/>
      <w:r>
        <w:t xml:space="preserve">Retrospective evaluation of historical analogues</w:t>
      </w:r>
      <w:bookmarkEnd w:id="25"/>
    </w:p>
    <w:p>
      <w:pPr>
        <w:pStyle w:val="FirstParagraph"/>
      </w:pPr>
      <w:r>
        <w:t xml:space="preserve">We evaluated whether reconstructed pre-2021 evidence ranks genes with later human sensory or ciliopathy associations. The evidence cutoff was 31 December 2020, selected as the common boundary for the available dated archives; clinical ascertainment extended through 6 October 2026. The score design and control-calibrated gate were developed after the cutoff, so this is a retrospective temporal stress test rather than a prospectively developed predictor. Historical substitutions also prevent interpreting it as an exact production replay.</w:t>
      </w:r>
    </w:p>
    <w:p>
      <w:pPr>
        <w:pStyle w:val="BodyText"/>
      </w:pPr>
      <w:r>
        <w:t xml:space="preserve">RetNet [42] and ten relevant PanelApp panels [43] supplied a catalog-based ascertainment frame. The Europe PMC REST API [44] supported gene/alias searches; primary reports were reviewed for the earliest public proposed target association, including preprints and online publication. Principal eligibility required a post-cutoff first proposed target association, genotype/phenotype evidence in at least two unrelated target-phenotype families, consistent inheritance, and functional support or replication in a new family. Cases with no earlier human disease report located in the adopted audit (category A) were distinguished from first target associations after another disease phenotype (category B); earlier target candidates subsequently confirmed were classified as maturation. Original Usher/SYSCILIA development controls and three previously inspected pilot examples were excluded from principal recovery. Source files, implementation, rules and 45 principal cases were fixed in Git before new ranking calculation. Cases were not selected using their scores, but modern production outputs were accessible in the workspace and the assessment was not blinded. The 45 principal clinical/date classifications were initially screened with AI assistance. After the frozen analysis, a human author reviewed primary reports and reported family/pedigree information for every case, together with phenotype, inheritance, function and publication chronology. This review did not constitute blinded pre-outcome adjudication. Family-evidence concerns and the retained original denominators are described in Results and S6.6. This was not registered prospectively, and the adopted searches do not establish exhaustive clinical ascertainment.</w:t>
      </w:r>
    </w:p>
    <w:p>
      <w:pPr>
        <w:pStyle w:val="BodyText"/>
      </w:pPr>
      <w:r>
        <w:t xml:space="preserve">The historical universe comprised 19,167 Approved protein-coding genes with unique nonempty Ensembl IDs in the 1 October 2020 HGNC archive. Sources were gnomAD v2.1.1, HPA v20, GTEx v8, GO December 2020, archived MGI/IMPC/ZFIN and June 2020 gene2pubmed. The photoreceptor feature was reconstructed from original 2019 retinal matrices and author labels [45], replacing modern Census. Undated compendia were excluded; historical HCOP confidence votes and complete UniProt/pathway channels were unavailable. We evaluated two co-primary variants: five available families without literature, and six families with date-bounded literature context sets queried from modern title/abstract text. The latter uses Europe PMC MEDLINE records (SRC:MED), with FIRST_PDATE (earliest electronic/print publication) and FIRST_IDATE (first indexing in Europe PMC search) both at or before the cutoff. Preprints enter clinical date screening separately but not these MEDLINE context sets. Modern text retains possible post-cutoff revision bias. A guarded GTEx identifier repair preserved distinct canonical and _PAR_Y keys and was committed at 53da295 before the successful outcome run; the original freeze remains preserved. We used the production weights without fitting and executed 21 additional specified comparisons. Supplementary Methods S6 and Additional file 12 provide source differences, clinical/date decisions, all endpoints and sensitivities.</w:t>
      </w:r>
    </w:p>
    <w:p>
      <w:pPr>
        <w:pStyle w:val="BodyText"/>
      </w:pPr>
      <w:r>
        <w:t xml:space="preserve">Top-K recovery used each scheme’s full scored ranking, with deterministic Ensembl tie-breaking and separate tie-inclusive and whole-tie boundary results. The historical-universe denominator included any unscored eligible case as a failure; the all-eligible denominator additionally retained out-of-universe cases as failures. HIGH was evaluated separately at score ≥0.7, at least three observed families, including zero, with weight &gt; 0, and direct historical HPA signal or positive-animal Q75 using production-compatible nearest interpolation. Gate design remained control-informed. No verified clinical negative cohort was constructed, so clinical specificity, precision and false-positive rates were not estimated.</w:t>
      </w:r>
    </w:p>
    <w:p>
      <w:pPr>
        <w:pStyle w:val="Heading3"/>
      </w:pPr>
      <w:bookmarkStart w:id="26" w:name="_d5249b3a2e3f62adee575876c26009231d87b92"/>
      <w:r>
        <w:t xml:space="preserve">Statistical analysis</w:t>
      </w:r>
      <w:bookmarkEnd w:id="26"/>
    </w:p>
    <w:p>
      <w:pPr>
        <w:pStyle w:val="FirstParagraph"/>
      </w:pPr>
      <w:r>
        <w:t xml:space="preserve">Control/robustness diagnostics, comparator matching and historical outcomes used separately frozen protocols before their respective new outcome calculations. Matched comparator concordance is descriptive; the subsequent common-layer and joint-omission diagnostics are explicitly post-outcome. Comparator selection and exact covariates are detailed in S5.</w:t>
      </w:r>
    </w:p>
    <w:p>
      <w:pPr>
        <w:pStyle w:val="BodyText"/>
      </w:pPr>
      <w:r>
        <w:t xml:space="preserve">All reported statistics are descriptive summaries of the stated gene universes and ascertained sets. Temporal score percentiles use ascending average tied ranks scaled as 100 × (rank−1)/(n−1); production/revision diagnostics using minimum tied ranks remain separately defined in S4. Temporal Spearman correlations use shared scored genes, while top-K overlap uses each complete ranking. Wilson 95% intervals summarize observed recovery within the nonrandom temporal cohort and are not population-level validation intervals.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The separate post-hoc GO over-representation analysis used one-sided tests with pooled Benjamini–Hochberg adjustment within each analysis; its methods and complete nonsignificant results are reported in S8. A prospective power calculation was not applicable to this computational ranking and internal-control analysis because the evaluated gene universe and control sets were defined by the study design rather than sampled participants.</w:t>
      </w:r>
    </w:p>
    <w:p>
      <w:pPr>
        <w:pStyle w:val="Heading3"/>
      </w:pPr>
      <w:bookmarkStart w:id="27" w:name="_reproducibility"/>
      <w:r>
        <w:t xml:space="preserve">Reproducibility</w:t>
      </w:r>
      <w:bookmarkEnd w:id="27"/>
    </w:p>
    <w:p>
      <w:pPr>
        <w:pStyle w:val="FirstParagraph"/>
      </w:pPr>
      <w:r>
        <w:t xml:space="preserve">We supply four canonical derived-input tables with schemas and SHA-256 hashes, an exact dependency lock tested on Python 3.13.1/macOS arm64, immutable baseline prose, explicit database/cache/output options and commands for numerical replay. Control/robustness diagnostics, matched-comparator outcomes and the restricted pilot were replayed alongside the database rebuilt from the bundle; the expanded temporal analogues were reconstructed separately from their historical raw sources. Original retrieval dates remain unknown where not recorded. Live ClinGen/HGNC comparator exports are frozen separately; dated historical resources have URLs and hashes. These facilities reproduce reported numerical analyses, not the entire original raw acquisition. Supplementary Methods S7 and the revision replay guide document scope and commands.</w:t>
      </w:r>
    </w:p>
    <w:p>
      <w:pPr>
        <w:pStyle w:val="BodyText"/>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original production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p>
      <w:pPr>
        <w:pStyle w:val="Heading3"/>
      </w:pPr>
      <w:bookmarkStart w:id="28" w:name="_9da9bb6f2969735a597337fa1020ab859efbea8"/>
      <w:r>
        <w:t xml:space="preserve">Use of artificial intelligence tools</w:t>
      </w:r>
      <w:bookmarkEnd w:id="28"/>
    </w:p>
    <w:p>
      <w:pPr>
        <w:pStyle w:val="FirstParagraph"/>
      </w:pPr>
      <w:r>
        <w:t xml:space="preserve">OpenAI Codex (GPT-6) assisted code review, source acquisition, literature screening, clinical case/date classification, analysis implementation, integrity checks and document preparation. OpenAI gpt-6-astra (high reasoning) performed additional protocol, clinical/date and numerical AI-agent audits. Anthropic Claude Opus 5.5 and Fable 5.1 performed internal revision audits. These are AI-agent checks, not human clinical adjudication or external peer review. Human author review subsequently covered primary reports for all 45 temporal cases, including reported family/pedigree evidence and publication chronology. This post-analysis review is described separately from the AI-assisted initial ascertainment; final eligibility of flagged cases remains under review. The authors retain responsibility for all content, analyses and interpretation; no AI system is an author.</w:t>
      </w:r>
    </w:p>
    <w:p>
      <w:pPr>
        <w:pStyle w:val="Heading3"/>
      </w:pPr>
      <w:bookmarkStart w:id="29" w:name="_usage"/>
      <w:r>
        <w:t xml:space="preserve">Usage</w:t>
      </w:r>
      <w:bookmarkEnd w:id="29"/>
    </w:p>
    <w:p>
      <w:pPr>
        <w:pStyle w:val="FirstParagraph"/>
      </w:pPr>
      <w:r>
        <w:t xml:space="preserve">UsherPipe is installed from source and executed as a sequential CLI pipeline:</w:t>
      </w:r>
    </w:p>
    <w:p>
      <w:pPr>
        <w:pStyle w:val="SourceCode"/>
      </w:pPr>
      <w:r>
        <w:rPr>
          <w:rStyle w:val="VerbatimChar"/>
        </w:rPr>
        <w:t xml:space="preserve">pip install -e ".[dev,expression]"    # Include the optional CELLxGENE integration</w:t>
      </w:r>
      <w:r>
        <w:br/>
      </w:r>
      <w:r>
        <w:rPr>
          <w:rStyle w:val="VerbatimChar"/>
        </w:rPr>
        <w:t xml:space="preserve">usher-pipeline setup                  # Build gene universe (~2 min)</w:t>
      </w:r>
      <w:r>
        <w:br/>
      </w:r>
      <w:r>
        <w:rPr>
          <w:rStyle w:val="VerbatimChar"/>
        </w:rPr>
        <w:t xml:space="preserve">usher-pipeline evidence gnomad        # gnomAD constraint (~5 min)</w:t>
      </w:r>
      <w:r>
        <w:br/>
      </w:r>
      <w:r>
        <w:rPr>
          <w:rStyle w:val="VerbatimChar"/>
        </w:rPr>
        <w:t xml:space="preserve">usher-pipeline evidence expression    # HPA + GTEx expression (~10 min)</w:t>
      </w:r>
      <w:r>
        <w:br/>
      </w:r>
      <w:r>
        <w:rPr>
          <w:rStyle w:val="VerbatimChar"/>
        </w:rPr>
        <w:t xml:space="preserve">usher-pipeline evidence annotation    # GO/UniProt/pathway (~3 min)</w:t>
      </w:r>
      <w:r>
        <w:br/>
      </w:r>
      <w:r>
        <w:rPr>
          <w:rStyle w:val="VerbatimChar"/>
        </w:rPr>
        <w:t xml:space="preserve">usher-pipeline evidence localization  # Subcellular localization (~5 min)</w:t>
      </w:r>
      <w:r>
        <w:br/>
      </w:r>
      <w:r>
        <w:rPr>
          <w:rStyle w:val="VerbatimChar"/>
        </w:rPr>
        <w:t xml:space="preserve">usher-pipeline evidence animal-models # MGI/ZFIN/IMPC phenotypes (~8 min)</w:t>
      </w:r>
      <w:r>
        <w:br/>
      </w:r>
      <w:r>
        <w:rPr>
          <w:rStyle w:val="VerbatimChar"/>
        </w:rPr>
        <w:t xml:space="preserve">usher-pipeline evidence literature \</w:t>
      </w:r>
      <w:r>
        <w:br/>
      </w:r>
      <w:r>
        <w:rPr>
          <w:rStyle w:val="VerbatimChar"/>
        </w:rPr>
        <w:t xml:space="preserve">  --email user@example.com            # Bulk literature mining (~5 min)</w:t>
      </w:r>
      <w:r>
        <w:br/>
      </w:r>
      <w:r>
        <w:rPr>
          <w:rStyle w:val="VerbatimChar"/>
        </w:rPr>
        <w:t xml:space="preserve">usher-pipeline score                  # Composite scoring (&lt;1 min)</w:t>
      </w:r>
      <w:r>
        <w:br/>
      </w:r>
      <w:r>
        <w:rPr>
          <w:rStyle w:val="VerbatimChar"/>
        </w:rPr>
        <w:t xml:space="preserve">usher-pipeline report                 # TSV/Parquet + figures (&lt;1 min)</w:t>
      </w:r>
      <w:r>
        <w:br/>
      </w:r>
      <w:r>
        <w:rPr>
          <w:rStyle w:val="VerbatimChar"/>
        </w:rPr>
        <w:t xml:space="preserve">usher-pipeline validate               #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p>
      <w:pPr>
        <w:pStyle w:val="Heading2"/>
      </w:pPr>
      <w:bookmarkStart w:id="30" w:name="_f6b45717e9ad8d61d768edd1849ff255f3fa9eb"/>
      <w:r>
        <w:t xml:space="preserve">Results</w:t>
      </w:r>
      <w:bookmarkEnd w:id="30"/>
    </w:p>
    <w:p>
      <w:pPr>
        <w:pStyle w:val="Heading3"/>
      </w:pPr>
      <w:bookmarkStart w:id="31" w:name="_f78088642f9298705ea40f78df310470c700c94"/>
      <w:r>
        <w:t xml:space="preserve">Pipeline output</w:t>
      </w:r>
      <w:bookmarkEnd w:id="31"/>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 xml:space="preserve">Evidence-layer coverage is reported in the tracked score table and remains layer-specific (Fig. 3);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p>
      <w:pPr>
        <w:pStyle w:val="Heading3"/>
      </w:pPr>
      <w:bookmarkStart w:id="32" w:name="_a87614066ac34cd82bda1c8f977f5948d00d95b"/>
      <w:r>
        <w:t xml:space="preserve">Optional refinement of the HIGH-tier shortlist</w:t>
      </w:r>
      <w:bookmarkEnd w:id="32"/>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matrix and local-input provenance are Additional files 8 and 9. Additional file 10 records artifact checksums.</w:t>
      </w:r>
    </w:p>
    <w:p>
      <w:pPr>
        <w:pStyle w:val="BodyText"/>
        <w:keepNext/>
      </w:pPr>
      <w:r>
        <w:rPr>
          <w:b/>
          <w:bCs/>
        </w:rPr>
        <w:t xml:space="preserve">Table 2. Optional post-hoc refinement of the 62-gene HIGH tier.</w:t>
      </w:r>
    </w:p>
    <w:p>
      <w:pPr>
        <w:pStyle w:val="BodyText"/>
        <w:keepNext/>
      </w:pPr>
      <w:r>
        <w:t xml:space="preserve">These are alternative, non-nested strategies rather than a sequential filtering cascade (although the Tau thresholds are nested within their own group).</w:t>
      </w:r>
    </w:p>
    <w:tbl>
      <w:tblPr>
        <w:tblStyle w:val="Table"/>
        <w:tblW w:type="pct" w:w="5000"/>
        <w:tblLayout w:type="autofit"/>
        <w:tblLook w:firstRow="1" w:lastRow="0" w:firstColumn="0" w:lastColumn="0" w:noHBand="0" w:noVBand="0" w:val="0020"/>
      </w:tblPr>
      <w:tblGrid>
        <w:gridCol w:w="1320"/>
        <w:gridCol w:w="1320"/>
        <w:gridCol w:w="1760"/>
        <w:gridCol w:w="1760"/>
        <w:gridCol w:w="1760"/>
      </w:tblGrid>
      <w:tr>
        <w:trPr>
          <w:tblHeader w:val="on"/>
          <w:cantSplit/>
          <w:tblHeader/>
        </w:trPr>
        <w:tc>
          <w:tcPr/>
          <w:p>
            <w:pPr>
              <w:pStyle w:val="Compact"/>
              <w:spacing w:line="240" w:lineRule="auto" w:after="80"/>
            </w:pPr>
            <w:r>
              <w:rPr>
                <w:sz w:val="18"/>
              </w:rPr>
              <w:t xml:space="preserve">Refinement family</w:t>
            </w:r>
          </w:p>
        </w:tc>
        <w:tc>
          <w:tcPr/>
          <w:p>
            <w:pPr>
              <w:pStyle w:val="Compact"/>
              <w:spacing w:line="240" w:lineRule="auto" w:after="80"/>
            </w:pPr>
            <w:r>
              <w:rPr>
                <w:sz w:val="18"/>
              </w:rPr>
              <w:t xml:space="preserve">Alternative strategy</w:t>
            </w:r>
          </w:p>
        </w:tc>
        <w:tc>
          <w:tcPr/>
          <w:p>
            <w:pPr>
              <w:pStyle w:val="Compact"/>
              <w:spacing w:line="240" w:lineRule="auto" w:after="80"/>
              <w:jc w:val="right"/>
            </w:pPr>
            <w:r>
              <w:rPr>
                <w:sz w:val="18"/>
              </w:rPr>
              <w:t xml:space="preserve">Genes retained</w:t>
            </w:r>
          </w:p>
        </w:tc>
        <w:tc>
          <w:tcPr/>
          <w:p>
            <w:pPr>
              <w:pStyle w:val="Compact"/>
              <w:spacing w:line="240" w:lineRule="auto" w:after="80"/>
              <w:jc w:val="right"/>
            </w:pPr>
            <w:r>
              <w:rPr>
                <w:sz w:val="18"/>
              </w:rPr>
              <w:t xml:space="preserve">Established Usher controls retained among 2 present in HIGH</w:t>
            </w:r>
          </w:p>
        </w:tc>
        <w:tc>
          <w:tcPr/>
          <w:p>
            <w:pPr>
              <w:pStyle w:val="Compact"/>
              <w:spacing w:line="240" w:lineRule="auto" w:after="80"/>
              <w:jc w:val="right"/>
            </w:pPr>
            <w:r>
              <w:rPr>
                <w:sz w:val="18"/>
              </w:rPr>
              <w:t xml:space="preserve">SYSCILIA controls retained among 1 present in HIGH</w:t>
            </w:r>
          </w:p>
        </w:tc>
      </w:tr>
      <w:tr>
        <w:trPr>
          <w:cantSplit/>
        </w:trPr>
        <w:tc>
          <w:tcPr/>
          <w:p>
            <w:pPr>
              <w:pStyle w:val="Compact"/>
              <w:spacing w:line="240" w:lineRule="auto" w:after="80"/>
            </w:pPr>
            <w:r>
              <w:rPr>
                <w:sz w:val="18"/>
              </w:rPr>
              <w:t xml:space="preserve">Baseline</w:t>
            </w:r>
          </w:p>
        </w:tc>
        <w:tc>
          <w:tcPr/>
          <w:p>
            <w:pPr>
              <w:pStyle w:val="Compact"/>
              <w:spacing w:line="240" w:lineRule="auto" w:after="80"/>
            </w:pPr>
            <w:r>
              <w:rPr>
                <w:sz w:val="18"/>
              </w:rPr>
              <w:t xml:space="preserve">None (production HIGH tier)</w:t>
            </w:r>
          </w:p>
        </w:tc>
        <w:tc>
          <w:tcPr/>
          <w:p>
            <w:pPr>
              <w:pStyle w:val="Compact"/>
              <w:spacing w:line="240" w:lineRule="auto" w:after="80"/>
              <w:jc w:val="right"/>
            </w:pPr>
            <w:r>
              <w:rPr>
                <w:sz w:val="18"/>
              </w:rPr>
              <w:t xml:space="preserve">62</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Fetal cochlear hair-cell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Hair-cell and photoreceptor expression ≥ Q75</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and HPA retina ≥ Q75</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Direct cilia/centrosome protein evidence</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OR direct protein</w:t>
            </w:r>
          </w:p>
        </w:tc>
        <w:tc>
          <w:tcPr/>
          <w:p>
            <w:pPr>
              <w:pStyle w:val="Compact"/>
              <w:spacing w:line="240" w:lineRule="auto" w:after="80"/>
              <w:jc w:val="right"/>
            </w:pPr>
            <w:r>
              <w:rPr>
                <w:sz w:val="18"/>
              </w:rPr>
              <w:t xml:space="preserve">34</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AND direct protein</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bl>
    <w:p>
      <w:pPr>
        <w:pStyle w:val="Heading3"/>
      </w:pPr>
      <w:bookmarkStart w:id="33" w:name="_18e753148650cf20589a25441b87c92102dc7e0"/>
      <w:r>
        <w:t xml:space="preserve">Top candidate genes</w:t>
      </w:r>
      <w:bookmarkEnd w:id="33"/>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[46, 47].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[48].</w:t>
      </w:r>
    </w:p>
    <w:p>
      <w:pPr>
        <w:pStyle w:val="BodyText"/>
      </w:pPr>
      <w:r>
        <w:rPr>
          <w:b/>
          <w:bCs/>
        </w:rPr>
        <w:t xml:space="preserve">DYNC1H1</w:t>
      </w:r>
      <w:r>
        <w:t xml:space="preserve"> </w:t>
      </w:r>
      <w:r>
        <w:t xml:space="preserve">encodes the cytoplasmic dynein heavy chain and has established neurodevelopmental and neuromuscular disease associations [49, 50]. Its score (0.8001) is supported across all six layers, including a localization score of 1.0 and literature score of 0.998. The animal-model signal is modest.</w:t>
      </w:r>
      <w:r>
        <w:t xml:space="preserve"> </w:t>
      </w:r>
      <w:r>
        <w:rPr>
          <w:b/>
          <w:bCs/>
        </w:rPr>
        <w:t xml:space="preserve">ATP2B2</w:t>
      </w:r>
      <w:r>
        <w:t xml:space="preserve"> </w:t>
      </w:r>
      <w:r>
        <w:t xml:space="preserve">(0.7853, five layers) is already associated with human progressive hearing impairment [51], as well as hearing/vestibular phenotypes in mutant mice [52]. Its possible combined auditory–retinal involvement is a phenotype-extension hypothesis, not a novel hearing-loss-gene prediction or an established human Usher relationship.</w:t>
      </w:r>
    </w:p>
    <w:p>
      <w:pPr>
        <w:pStyle w:val="BodyText"/>
      </w:pPr>
      <w:r>
        <w:t xml:space="preserve">The appearance of ATP1B1 and ATP1A1 among the top entries is likewise an exploratory pathway-level observation. Candidate-specific experimental validation—especially localization and sensory-cell perturbation assays—would be required before assigning disease relevance.</w:t>
      </w:r>
    </w:p>
    <w:p>
      <w:pPr>
        <w:pStyle w:val="Heading3"/>
      </w:pPr>
      <w:bookmarkStart w:id="34" w:name="_289fdbdb1df54adaab71c46f4c6bce5ae541740"/>
      <w:r>
        <w:t xml:space="preserve">Internal control recovery</w:t>
      </w:r>
      <w:bookmarkEnd w:id="34"/>
    </w:p>
    <w:p>
      <w:pPr>
        <w:pStyle w:val="FirstParagraph"/>
      </w:pPr>
      <w:r>
        <w:t xml:space="preserve">To assess internal recovery of biologically established genes (Figure 5),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[53].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nine Usher controls had a median raw percentile rank of 97.77%, with 9/9 in the top quartile; the 28 SYSCILIA controls had a median of 91.93%, with 26/28 in the top quartile (20,053 non-NULL labels). Final tiers were Usher: 2 HIGH/7 MEDIUM; SYSCILIA: 1 HIGH (</w:t>
      </w:r>
      <w:r>
        <w:rPr>
          <w:i/>
          <w:iCs/>
        </w:rPr>
        <w:t xml:space="preserve">CEP290</w:t>
      </w:r>
      <w:r>
        <w:t xml:space="preserve">)/27 MEDIUM. Neither group had LOW or excluded controls. All seven non-HIGH Usher genes failed composite ≥0.70;</w:t>
      </w:r>
      <w:r>
        <w:t xml:space="preserve"> </w:t>
      </w:r>
      <w:r>
        <w:rPr>
          <w:i/>
          <w:iCs/>
        </w:rPr>
        <w:t xml:space="preserve">WHRN</w:t>
      </w:r>
      <w:r>
        <w:t xml:space="preserve"> </w:t>
      </w:r>
      <w:r>
        <w:t xml:space="preserve">and</w:t>
      </w:r>
      <w:r>
        <w:t xml:space="preserve"> </w:t>
      </w:r>
      <w:r>
        <w:rPr>
          <w:i/>
          <w:iCs/>
        </w:rPr>
        <w:t xml:space="preserve">USH1G</w:t>
      </w:r>
      <w:r>
        <w:t xml:space="preserve"> </w:t>
      </w:r>
      <w:r>
        <w:t xml:space="preserve">additionally failed the gate. None failed the minimum three-layer criterion. Table 3 gives the complete Usher trace; the frozen control-trace table provides all 28 SYSCILIA traces.</w:t>
      </w:r>
    </w:p>
    <w:p>
      <w:pPr>
        <w:pStyle w:val="BodyText"/>
        <w:keepNext/>
      </w:pPr>
      <w:r>
        <w:rPr>
          <w:b/>
          <w:bCs/>
        </w:rPr>
        <w:t xml:space="preserve">Table 3. Established Usher control recovery and final priority tiers.</w:t>
      </w:r>
      <w:r>
        <w:t xml:space="preserve"> </w:t>
      </w:r>
      <w:r>
        <w:t xml:space="preserve">Percentiles describe raw scores; passing the gate alone is insufficient for HIGH.</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line="240" w:lineRule="auto" w:after="80"/>
            </w:pPr>
            <w:r>
              <w:rPr>
                <w:sz w:val="16"/>
              </w:rPr>
              <w:t xml:space="preserve">Gene</w:t>
            </w:r>
          </w:p>
        </w:tc>
        <w:tc>
          <w:tcPr/>
          <w:p>
            <w:pPr>
              <w:pStyle w:val="Compact"/>
              <w:spacing w:line="240" w:lineRule="auto" w:after="80"/>
              <w:jc w:val="right"/>
            </w:pPr>
            <w:r>
              <w:rPr>
                <w:sz w:val="16"/>
              </w:rPr>
              <w:t xml:space="preserve">Composite</w:t>
            </w:r>
          </w:p>
        </w:tc>
        <w:tc>
          <w:tcPr/>
          <w:p>
            <w:pPr>
              <w:pStyle w:val="Compact"/>
              <w:spacing w:line="240" w:lineRule="auto" w:after="80"/>
              <w:jc w:val="right"/>
            </w:pPr>
            <w:r>
              <w:rPr>
                <w:sz w:val="16"/>
              </w:rPr>
              <w:t xml:space="preserve">Raw percentile</w:t>
            </w:r>
          </w:p>
        </w:tc>
        <w:tc>
          <w:tcPr/>
          <w:p>
            <w:pPr>
              <w:pStyle w:val="Compact"/>
              <w:spacing w:line="240" w:lineRule="auto" w:after="80"/>
              <w:jc w:val="right"/>
            </w:pPr>
            <w:r>
              <w:rPr>
                <w:sz w:val="16"/>
              </w:rPr>
              <w:t xml:space="preserve">Layers</w:t>
            </w:r>
          </w:p>
        </w:tc>
        <w:tc>
          <w:tcPr/>
          <w:p>
            <w:pPr>
              <w:pStyle w:val="Compact"/>
              <w:spacing w:line="240" w:lineRule="auto" w:after="80"/>
              <w:jc w:val="center"/>
            </w:pPr>
            <w:r>
              <w:rPr>
                <w:sz w:val="16"/>
              </w:rPr>
              <w:t xml:space="preserve">Gate passes</w:t>
            </w:r>
          </w:p>
        </w:tc>
        <w:tc>
          <w:tcPr/>
          <w:p>
            <w:pPr>
              <w:pStyle w:val="Compact"/>
              <w:spacing w:line="240" w:lineRule="auto" w:after="80"/>
            </w:pPr>
            <w:r>
              <w:rPr>
                <w:sz w:val="16"/>
              </w:rPr>
              <w:t xml:space="preserve">Tier</w:t>
            </w:r>
          </w:p>
        </w:tc>
      </w:tr>
      <w:tr>
        <w:trPr>
          <w:cantSplit/>
        </w:trPr>
        <w:tc>
          <w:tcPr/>
          <w:p>
            <w:pPr>
              <w:pStyle w:val="Compact"/>
              <w:spacing w:line="240" w:lineRule="auto" w:after="80"/>
            </w:pPr>
            <w:r>
              <w:rPr>
                <w:sz w:val="16"/>
              </w:rPr>
              <w:t xml:space="preserve">ADGRV1</w:t>
            </w:r>
          </w:p>
        </w:tc>
        <w:tc>
          <w:tcPr/>
          <w:p>
            <w:pPr>
              <w:pStyle w:val="Compact"/>
              <w:spacing w:line="240" w:lineRule="auto" w:after="80"/>
              <w:jc w:val="right"/>
            </w:pPr>
            <w:r>
              <w:rPr>
                <w:sz w:val="16"/>
              </w:rPr>
              <w:t xml:space="preserve">0.634564</w:t>
            </w:r>
          </w:p>
        </w:tc>
        <w:tc>
          <w:tcPr/>
          <w:p>
            <w:pPr>
              <w:pStyle w:val="Compact"/>
              <w:spacing w:line="240" w:lineRule="auto" w:after="80"/>
              <w:jc w:val="right"/>
            </w:pPr>
            <w:r>
              <w:rPr>
                <w:sz w:val="16"/>
              </w:rPr>
              <w:t xml:space="preserve">97.67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CDH23</w:t>
            </w:r>
          </w:p>
        </w:tc>
        <w:tc>
          <w:tcPr/>
          <w:p>
            <w:pPr>
              <w:pStyle w:val="Compact"/>
              <w:spacing w:line="240" w:lineRule="auto" w:after="80"/>
              <w:jc w:val="right"/>
            </w:pPr>
            <w:r>
              <w:rPr>
                <w:sz w:val="16"/>
              </w:rPr>
              <w:t xml:space="preserve">0.712617</w:t>
            </w:r>
          </w:p>
        </w:tc>
        <w:tc>
          <w:tcPr/>
          <w:p>
            <w:pPr>
              <w:pStyle w:val="Compact"/>
              <w:spacing w:line="240" w:lineRule="auto" w:after="80"/>
              <w:jc w:val="right"/>
            </w:pPr>
            <w:r>
              <w:rPr>
                <w:sz w:val="16"/>
              </w:rPr>
              <w:t xml:space="preserve">99.64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CLRN1</w:t>
            </w:r>
          </w:p>
        </w:tc>
        <w:tc>
          <w:tcPr/>
          <w:p>
            <w:pPr>
              <w:pStyle w:val="Compact"/>
              <w:spacing w:line="240" w:lineRule="auto" w:after="80"/>
              <w:jc w:val="right"/>
            </w:pPr>
            <w:r>
              <w:rPr>
                <w:sz w:val="16"/>
              </w:rPr>
              <w:t xml:space="preserve">0.526886</w:t>
            </w:r>
          </w:p>
        </w:tc>
        <w:tc>
          <w:tcPr/>
          <w:p>
            <w:pPr>
              <w:pStyle w:val="Compact"/>
              <w:spacing w:line="240" w:lineRule="auto" w:after="80"/>
              <w:jc w:val="right"/>
            </w:pPr>
            <w:r>
              <w:rPr>
                <w:sz w:val="16"/>
              </w:rPr>
              <w:t xml:space="preserve">84.54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MYO7A</w:t>
            </w:r>
          </w:p>
        </w:tc>
        <w:tc>
          <w:tcPr/>
          <w:p>
            <w:pPr>
              <w:pStyle w:val="Compact"/>
              <w:spacing w:line="240" w:lineRule="auto" w:after="80"/>
              <w:jc w:val="right"/>
            </w:pPr>
            <w:r>
              <w:rPr>
                <w:sz w:val="16"/>
              </w:rPr>
              <w:t xml:space="preserve">0.671676</w:t>
            </w:r>
          </w:p>
        </w:tc>
        <w:tc>
          <w:tcPr/>
          <w:p>
            <w:pPr>
              <w:pStyle w:val="Compact"/>
              <w:spacing w:line="240" w:lineRule="auto" w:after="80"/>
              <w:jc w:val="right"/>
            </w:pPr>
            <w:r>
              <w:rPr>
                <w:sz w:val="16"/>
              </w:rPr>
              <w:t xml:space="preserve">98.94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PCDH15</w:t>
            </w:r>
          </w:p>
        </w:tc>
        <w:tc>
          <w:tcPr/>
          <w:p>
            <w:pPr>
              <w:pStyle w:val="Compact"/>
              <w:spacing w:line="240" w:lineRule="auto" w:after="80"/>
              <w:jc w:val="right"/>
            </w:pPr>
            <w:r>
              <w:rPr>
                <w:sz w:val="16"/>
              </w:rPr>
              <w:t xml:space="preserve">0.717960</w:t>
            </w:r>
          </w:p>
        </w:tc>
        <w:tc>
          <w:tcPr/>
          <w:p>
            <w:pPr>
              <w:pStyle w:val="Compact"/>
              <w:spacing w:line="240" w:lineRule="auto" w:after="80"/>
              <w:jc w:val="right"/>
            </w:pPr>
            <w:r>
              <w:rPr>
                <w:sz w:val="16"/>
              </w:rPr>
              <w:t xml:space="preserve">99.72</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USH1C</w:t>
            </w:r>
          </w:p>
        </w:tc>
        <w:tc>
          <w:tcPr/>
          <w:p>
            <w:pPr>
              <w:pStyle w:val="Compact"/>
              <w:spacing w:line="240" w:lineRule="auto" w:after="80"/>
              <w:jc w:val="right"/>
            </w:pPr>
            <w:r>
              <w:rPr>
                <w:sz w:val="16"/>
              </w:rPr>
              <w:t xml:space="preserve">0.527641</w:t>
            </w:r>
          </w:p>
        </w:tc>
        <w:tc>
          <w:tcPr/>
          <w:p>
            <w:pPr>
              <w:pStyle w:val="Compact"/>
              <w:spacing w:line="240" w:lineRule="auto" w:after="80"/>
              <w:jc w:val="right"/>
            </w:pPr>
            <w:r>
              <w:rPr>
                <w:sz w:val="16"/>
              </w:rPr>
              <w:t xml:space="preserve">84.67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USH1G</w:t>
            </w:r>
          </w:p>
        </w:tc>
        <w:tc>
          <w:tcPr/>
          <w:p>
            <w:pPr>
              <w:pStyle w:val="Compact"/>
              <w:spacing w:line="240" w:lineRule="auto" w:after="80"/>
              <w:jc w:val="right"/>
            </w:pPr>
            <w:r>
              <w:rPr>
                <w:sz w:val="16"/>
              </w:rPr>
              <w:t xml:space="preserve">0.527175</w:t>
            </w:r>
          </w:p>
        </w:tc>
        <w:tc>
          <w:tcPr/>
          <w:p>
            <w:pPr>
              <w:pStyle w:val="Compact"/>
              <w:spacing w:line="240" w:lineRule="auto" w:after="80"/>
              <w:jc w:val="right"/>
            </w:pPr>
            <w:r>
              <w:rPr>
                <w:sz w:val="16"/>
              </w:rPr>
              <w:t xml:space="preserve">84.61</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USH2A</w:t>
            </w:r>
          </w:p>
        </w:tc>
        <w:tc>
          <w:tcPr/>
          <w:p>
            <w:pPr>
              <w:pStyle w:val="Compact"/>
              <w:spacing w:line="240" w:lineRule="auto" w:after="80"/>
              <w:jc w:val="right"/>
            </w:pPr>
            <w:r>
              <w:rPr>
                <w:sz w:val="16"/>
              </w:rPr>
              <w:t xml:space="preserve">0.688831</w:t>
            </w:r>
          </w:p>
        </w:tc>
        <w:tc>
          <w:tcPr/>
          <w:p>
            <w:pPr>
              <w:pStyle w:val="Compact"/>
              <w:spacing w:line="240" w:lineRule="auto" w:after="80"/>
              <w:jc w:val="right"/>
            </w:pPr>
            <w:r>
              <w:rPr>
                <w:sz w:val="16"/>
              </w:rPr>
              <w:t xml:space="preserve">99.29</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WHRN</w:t>
            </w:r>
          </w:p>
        </w:tc>
        <w:tc>
          <w:tcPr/>
          <w:p>
            <w:pPr>
              <w:pStyle w:val="Compact"/>
              <w:spacing w:line="240" w:lineRule="auto" w:after="80"/>
              <w:jc w:val="right"/>
            </w:pPr>
            <w:r>
              <w:rPr>
                <w:sz w:val="16"/>
              </w:rPr>
              <w:t xml:space="preserve">0.637145</w:t>
            </w:r>
          </w:p>
        </w:tc>
        <w:tc>
          <w:tcPr/>
          <w:p>
            <w:pPr>
              <w:pStyle w:val="Compact"/>
              <w:spacing w:line="240" w:lineRule="auto" w:after="80"/>
              <w:jc w:val="right"/>
            </w:pPr>
            <w:r>
              <w:rPr>
                <w:sz w:val="16"/>
              </w:rPr>
              <w:t xml:space="preserve">97.77</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bl>
    <w:p>
      <w:pPr>
        <w:pStyle w:val="FirstParagraph"/>
        <w:keepNext/>
      </w:pPr>
      <w:r>
        <w:t xml:space="preserve">With the gate and minimum three-layer requirement fixed, score thresholds 0.60/0.65/0.70/0.75/0.80 yielded 366/170/62/11/1 HIGH labels, retaining 5/4/2/0/0 Usher and 6/1/1/0/0 SYSCILIA controls. These are descriptive threshold sensitivities, not selection of a revised optimum.</w:t>
      </w:r>
    </w:p>
    <w:p>
      <w:pPr>
        <w:pStyle w:val="Heading3"/>
      </w:pPr>
      <w:bookmarkStart w:id="35" w:name="_aaf6160028a29687ae58875be8d096f2786e4a3"/>
      <w:r>
        <w:t xml:space="preserve">Negative controls</w:t>
      </w:r>
      <w:bookmarkEnd w:id="35"/>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and cannot recover genes for which such evidence is unavailable.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p>
      <w:pPr>
        <w:pStyle w:val="Heading3"/>
      </w:pPr>
      <w:bookmarkStart w:id="36" w:name="_72ad8aa59a790eb59d12ce89e15fc197cd5a79d"/>
      <w:r>
        <w:t xml:space="preserve">Matched unrelated-disease comparators</w:t>
      </w:r>
      <w:bookmarkEnd w:id="36"/>
    </w:p>
    <w:p>
      <w:pPr>
        <w:pStyle w:val="FirstParagraph"/>
      </w:pPr>
      <w:r>
        <w:t xml:space="preserve">Before outcome inspection, we froze a ClinGen Strong/Definitive disease-gene pool [54] with unambiguous HGNC mappings [55] and excluded curated auditory, ocular and ciliary disease/phenotype annotations using HPO [56]. Of 420 eligible genes, 418 had both matching covariates. Three unique comparators per control were assigned by maximum-cardinality/minimum-distance matching on standardized log(1+x)-transformed publication and GO counts, with a 0.75-SD caliper per covariate and no comparator reuse. The frozen 111 pairs comprise 27 comparators for nine Usher controls and 84 for 28 SYSCILIA controls (Supplementary Methods S5).</w:t>
      </w:r>
    </w:p>
    <w:p>
      <w:pPr>
        <w:pStyle w:val="BodyText"/>
      </w:pPr>
      <w:r>
        <w:t xml:space="preserve">Comparator median raw percentiles were 64.21% and 60.30%, respectively, versus control medians 97.77% and 91.93%. Controls outranked comparators in 24/27 Usher pairs (88.9%) and 72/84 SYSCILIA pairs (85.7%). None of the 111 comparators entered HIGH, but 110 already failed the raw ≥0.70 threshold; only</w:t>
      </w:r>
      <w:r>
        <w:t xml:space="preserve"> </w:t>
      </w:r>
      <w:r>
        <w:rPr>
          <w:i/>
          <w:iCs/>
        </w:rPr>
        <w:t xml:space="preserve">GRIA2</w:t>
      </w:r>
      <w:r>
        <w:t xml:space="preserve"> </w:t>
      </w:r>
      <w:r>
        <w:t xml:space="preserve">was removed solely by the gate. Thus this comparison does not independently validate gate specificity. The full 420-gene pool contained three HIGH genes (</w:t>
      </w:r>
      <w:r>
        <w:rPr>
          <w:i/>
          <w:iCs/>
        </w:rPr>
        <w:t xml:space="preserve">CRB2, ATP1A1, DYNC1H1</w:t>
      </w:r>
      <w:r>
        <w:t xml:space="preserve">), retained after outcome inspection; a subsequent source audit identified sensory overlap absent from eligibility annotations. Eligibility-negative disease annotations are not biological negatives, and these counts are not a clinical false-positive rate.</w:t>
      </w:r>
    </w:p>
    <w:p>
      <w:pPr>
        <w:pStyle w:val="BodyText"/>
      </w:pPr>
      <w:r>
        <w:t xml:space="preserve">A post-outcome diagnostic retained every frozen pair without rematching. Pair-specific common-observed-layer means preserved control advantage in 23/27 and 75/84 pairs. Leaving out animal evidence reduced concordance to 21/27 and 64/84; leaving out literature to 18/27 and 55/84; joint omission to 15/27 (55.6%) and 48/84 (57.1%). This demonstrates dependence on sensory-model/literature features and their curation, rather than independent novel-gene validity. All six leave-one-layer-out results and source-observation balances are reported in S5; common-layer comparisons are pair-dependent scores, not genome-wide ranks or AUCs.</w:t>
      </w:r>
    </w:p>
    <w:p>
      <w:pPr>
        <w:pStyle w:val="Heading3"/>
      </w:pPr>
      <w:bookmarkStart w:id="37" w:name="_febfedb3589c64362c25c41481b869e6b1c2a16"/>
      <w:r>
        <w:t xml:space="preserve">Impact of missing data handling</w:t>
      </w:r>
      <w:bookmarkEnd w:id="37"/>
    </w:p>
    <w:p>
      <w:pPr>
        <w:pStyle w:val="FirstParagraph"/>
      </w:pPr>
      <w:r>
        <w:t xml:space="preserve">To empirically assess the impact of NULL-aware scoring (Figure 6A–B),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analysis,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±1.0 percentile point in the numerical replay). This is a descriptive robustness result for the current data snapshot, not evidence that the same behavior will hold after future source updates.</w:t>
      </w:r>
    </w:p>
    <w:p>
      <w:pPr>
        <w:pStyle w:val="BodyText"/>
      </w:pPr>
      <w:r>
        <w:t xml:space="preserve">All 62 HIGH labels had five or six observed layers (33 and 29, respectively); raising the minimum to four or five therefore changed none, whereas six retained 29. Eight one-layer genes appeared in the raw top 100, all classified LOW. Composite score correlated positively with layer count (Spearman ρ=0.2402; n=20,053). These checks do not establish that sparse means are unbiased. The largest observed layer correlation was annotation–literature (ρ=0.3704; n=19,114), followed by constraint–expression (0.3417) and constraint–literature (0.3341); modest correlations do not imply biological independence (S4).</w:t>
      </w:r>
    </w:p>
    <w:p>
      <w:pPr>
        <w:pStyle w:val="Heading3"/>
      </w:pPr>
      <w:bookmarkStart w:id="38" w:name="_042c959a1edbfb15a27d2d7a19b2a82784fa44e"/>
      <w:r>
        <w:t xml:space="preserve">Sensitivity analysis</w:t>
      </w:r>
      <w:bookmarkEnd w:id="38"/>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On this conditional top-100 correlation, animal-model perturbation was the most sensitive and annotation the least sensitive. Whole-universe correlation was instead lowest for the -0.10 literature perturbation (ρ=0.9598), and top-100 membership was lowest for the -0.10 localization perturbation (59 shared genes).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p>
      <w:pPr>
        <w:pStyle w:val="BodyText"/>
      </w:pPr>
      <w:r>
        <w:t xml:space="preserve">Across equal weights plus the 24 perturbations, whole-universe rank correlations ranged from 0.9598 to 0.9994, yet only 8/25, 17/50 and 41/100 members of the corresponding default shortlists persisted in all 25 configurations. These are frequencies over a finite configuration family, not inclusion probabilities. Equal weighting gave whole-ranking ρ=0.9952 and 86/100 default top-100 members. Six leave-one-layer-out rankings gave ρ=0.8867–0.9928 and 37–83 shared top-100 members. High global correlations therefore coexist with substantial shortlist movement.</w:t>
      </w:r>
    </w:p>
    <w:p>
      <w:pPr>
        <w:pStyle w:val="BodyText"/>
      </w:pPr>
      <w:r>
        <w:t xml:space="preserve">Simple baselines also limit interpretation: the default top 100 recovered two Usher and one SYSCILIA control; animal-only recovered four and eleven, respectively. Expression-only recovered neither group in the top 100; localization-only recovered no Usher and one SYSCILIA control, with only two Usher controls observed in that layer. Literature-only recovered two Usher and 21 SYSCILIA controls in the top 100, with median percentiles 99.13%/99.78% and all nine Usher controls in its top 10%. Thus it gave the strongest SYSCILIA recovery, while animal-only gave the strongest Usher recovery. Disease-term/curation dependence can explain this internal recovery; neither baseline independently predicts novel Usher genes. Logistic-regression weights changed the full ranking substantially (ρ=0.646) and concentrated 90.3% weight on animal evidence; these were not adopted because fitting and evaluation reuse the selected controls (S2).</w:t>
      </w:r>
    </w:p>
    <w:p>
      <w:pPr>
        <w:pStyle w:val="Heading3"/>
      </w:pPr>
      <w:bookmarkStart w:id="39" w:name="_81de00d8d3308929f14ae23f64f7f9e636036eb"/>
      <w:r>
        <w:t xml:space="preserve">Expression dependence</w:t>
      </w:r>
      <w:bookmarkEnd w:id="39"/>
    </w:p>
    <w:p>
      <w:pPr>
        <w:pStyle w:val="FirstParagraph"/>
      </w:pPr>
      <w:r>
        <w:t xml:space="preserve">Expression supplied 15.5–27.5% of the weighted contribution for individual Usher controls. The stored source table contained no usable HPA quantitative-retina or GTEx-retina observations; HPA retinal protein measurements were observed for 112 universe IDs. Census photoreceptor values were observed for 20,078 of 20,116 IDs, including zeros. The production layer therefore does not provide balanced evidence from both affected sensory systems.</w:t>
      </w:r>
    </w:p>
    <w:p>
      <w:pPr>
        <w:pStyle w:val="BodyText"/>
      </w:pPr>
      <w:r>
        <w:t xml:space="preserve">Removing cerebellum and recomputing the implemented within-source transforms yielded whole-ranking ρ=0.9496 and a median absolute shift of 4.92 percentile points. HIGH decreased from 62 to 60 but shared only 37 genes: 25 left and 23 entered.</w:t>
      </w:r>
      <w:r>
        <w:t xml:space="preserve"> </w:t>
      </w:r>
      <w:r>
        <w:rPr>
          <w:i/>
          <w:iCs/>
        </w:rPr>
        <w:t xml:space="preserve">USH2A</w:t>
      </w:r>
      <w:r>
        <w:t xml:space="preserve"> </w:t>
      </w:r>
      <w:r>
        <w:t xml:space="preserve">and</w:t>
      </w:r>
      <w:r>
        <w:t xml:space="preserve"> </w:t>
      </w:r>
      <w:r>
        <w:rPr>
          <w:i/>
          <w:iCs/>
        </w:rPr>
        <w:t xml:space="preserve">MYO7A</w:t>
      </w:r>
      <w:r>
        <w:t xml:space="preserve"> </w:t>
      </w:r>
      <w:r>
        <w:t xml:space="preserve">entered,</w:t>
      </w:r>
      <w:r>
        <w:t xml:space="preserve"> </w:t>
      </w:r>
      <w:r>
        <w:rPr>
          <w:i/>
          <w:iCs/>
        </w:rPr>
        <w:t xml:space="preserve">CDH23</w:t>
      </w:r>
      <w:r>
        <w:t xml:space="preserve"> </w:t>
      </w:r>
      <w:r>
        <w:t xml:space="preserve">left and</w:t>
      </w:r>
      <w:r>
        <w:t xml:space="preserve"> </w:t>
      </w:r>
      <w:r>
        <w:rPr>
          <w:i/>
          <w:iCs/>
        </w:rPr>
        <w:t xml:space="preserve">PCDH15</w:t>
      </w:r>
      <w:r>
        <w:t xml:space="preserve"> </w:t>
      </w:r>
      <w:r>
        <w:t xml:space="preserve">remained. Background-only quantitative observations can still supply restricted-panel Tau when no retinal target is measured. Proxy choice thus affects both scores and shortlist membership; this is not evidence that either version better predicts Usher disease.</w:t>
      </w:r>
    </w:p>
    <w:p>
      <w:pPr>
        <w:pStyle w:val="Heading3"/>
      </w:pPr>
      <w:bookmarkStart w:id="40" w:name="_7cc84473a7797356785ae9a8c7eece2857b3da9"/>
      <w:r>
        <w:t xml:space="preserve">Retrospective temporal evaluation</w:t>
      </w:r>
      <w:bookmarkEnd w:id="40"/>
    </w:p>
    <w:p>
      <w:pPr>
        <w:pStyle w:val="FirstParagraph"/>
      </w:pPr>
      <w:r>
        <w:t xml:space="preserve">The expanded evaluation fixed 45 AI-assisted literature-screened later target associations before ranking. Subsequent human author review examined primary reports for every case, including families/pedigrees, phenotypes, inheritance, functional mechanisms and publication chronology. It identified family-evidence concerns involving</w:t>
      </w:r>
      <w:r>
        <w:t xml:space="preserve"> </w:t>
      </w:r>
      <w:r>
        <w:rPr>
          <w:i/>
          <w:iCs/>
        </w:rPr>
        <w:t xml:space="preserve">PDIA6</w:t>
      </w:r>
      <w:r>
        <w:t xml:space="preserve"> </w:t>
      </w:r>
      <w:r>
        <w:t xml:space="preserve">[57],</w:t>
      </w:r>
      <w:r>
        <w:t xml:space="preserve"> </w:t>
      </w:r>
      <w:r>
        <w:rPr>
          <w:i/>
          <w:iCs/>
        </w:rPr>
        <w:t xml:space="preserve">VWA8</w:t>
      </w:r>
      <w:r>
        <w:t xml:space="preserve"> </w:t>
      </w:r>
      <w:r>
        <w:t xml:space="preserve">[58] and</w:t>
      </w:r>
      <w:r>
        <w:t xml:space="preserve"> </w:t>
      </w:r>
      <w:r>
        <w:rPr>
          <w:i/>
          <w:iCs/>
        </w:rPr>
        <w:t xml:space="preserve">PLCG1</w:t>
      </w:r>
      <w:r>
        <w:t xml:space="preserve"> </w:t>
      </w:r>
      <w:r>
        <w:t xml:space="preserve">[59, 60], detailed in S6.6; eligibility of these flagged cases remains under review, and the original cohort and results are retained. Forty-one cases were in the historical protein-coding universe and all were scored; four noncoding genes (</w:t>
      </w:r>
      <w:r>
        <w:rPr>
          <w:i/>
          <w:iCs/>
        </w:rPr>
        <w:t xml:space="preserve">RNU4-2, RNU6-2, RNU6-8, RNU6-9</w:t>
      </w:r>
      <w:r>
        <w:t xml:space="preserve">) remained nonrecoveries in the 45-case end-to-end denominator. The five-layer version scored 19,157 of 19,167 historical genes; adding observed literature evidence, including zero, yielded 19,167 scored genes. These variants reconstruct historical analogues under a disclosed source contract (S6), not the complete modern production inputs.</w:t>
      </w:r>
    </w:p>
    <w:p>
      <w:pPr>
        <w:pStyle w:val="BodyText"/>
      </w:pPr>
      <w:r>
        <w:t xml:space="preserve">Neither co-primary version recovered a principal case in the top 100 or HIGH tier (0/41, and 0/45 end-to-end); the descriptive Wilson 95% interval for 0/41 is 0–8.6%. Five-/six-layer top 1,000 recovery was 2/41 (4.9%)/3/41 (7.3%), and top 10% recovery was 5/41 (12.2%)/6/41 (14.6%) (Table 4; Figure 8). Median ascending score percentiles were 46.23/44.95. The five-layer top 1,000 cases were</w:t>
      </w:r>
      <w:r>
        <w:t xml:space="preserve"> </w:t>
      </w:r>
      <w:r>
        <w:rPr>
          <w:i/>
          <w:iCs/>
        </w:rPr>
        <w:t xml:space="preserve">TP73</w:t>
      </w:r>
      <w:r>
        <w:t xml:space="preserve"> </w:t>
      </w:r>
      <w:r>
        <w:t xml:space="preserve">(662) and</w:t>
      </w:r>
      <w:r>
        <w:t xml:space="preserve"> </w:t>
      </w:r>
      <w:r>
        <w:rPr>
          <w:i/>
          <w:iCs/>
        </w:rPr>
        <w:t xml:space="preserve">PLCG1</w:t>
      </w:r>
      <w:r>
        <w:t xml:space="preserve"> </w:t>
      </w:r>
      <w:r>
        <w:t xml:space="preserve">(879); the six-layer cases were</w:t>
      </w:r>
      <w:r>
        <w:t xml:space="preserve"> </w:t>
      </w:r>
      <w:r>
        <w:rPr>
          <w:i/>
          <w:iCs/>
        </w:rPr>
        <w:t xml:space="preserve">PLCG1</w:t>
      </w:r>
      <w:r>
        <w:t xml:space="preserve"> </w:t>
      </w:r>
      <w:r>
        <w:t xml:space="preserve">(474),</w:t>
      </w:r>
      <w:r>
        <w:t xml:space="preserve"> </w:t>
      </w:r>
      <w:r>
        <w:rPr>
          <w:i/>
          <w:iCs/>
        </w:rPr>
        <w:t xml:space="preserve">TP73</w:t>
      </w:r>
      <w:r>
        <w:t xml:space="preserve"> </w:t>
      </w:r>
      <w:r>
        <w:t xml:space="preserve">(629) and</w:t>
      </w:r>
      <w:r>
        <w:t xml:space="preserve"> </w:t>
      </w:r>
      <w:r>
        <w:rPr>
          <w:i/>
          <w:iCs/>
        </w:rPr>
        <w:t xml:space="preserve">SAXO6</w:t>
      </w:r>
      <w:r>
        <w:t xml:space="preserve"> </w:t>
      </w:r>
      <w:r>
        <w:t xml:space="preserve">(historical</w:t>
      </w:r>
      <w:r>
        <w:t xml:space="preserve"> </w:t>
      </w:r>
      <w:r>
        <w:rPr>
          <w:i/>
          <w:iCs/>
        </w:rPr>
        <w:t xml:space="preserve">MDM1</w:t>
      </w:r>
      <w:r>
        <w:t xml:space="preserve">; 646).</w:t>
      </w:r>
      <w:r>
        <w:t xml:space="preserve"> </w:t>
      </w:r>
      <w:r>
        <w:rPr>
          <w:i/>
          <w:iCs/>
        </w:rPr>
        <w:t xml:space="preserve">PLCG1</w:t>
      </w:r>
      <w:r>
        <w:t xml:space="preserve"> </w:t>
      </w:r>
      <w:r>
        <w:t xml:space="preserve">represents a first target-domain association after another phenotype, not first-ever human disease association.</w:t>
      </w:r>
    </w:p>
    <w:p>
      <w:pPr>
        <w:pStyle w:val="BodyText"/>
      </w:pPr>
      <w:r>
        <w:t xml:space="preserve">Genome-wide historical HIGH counts were zero/five in the five-/six-layer versions, limiting the information provided by that endpoint. Historical source substitutions affect score scale (S6). All 41 scored cases had at least four observed weighted families, but none met composite ≥0.7 (maximum 0.506/0.562); zero HIGH recovery therefore cannot be attributed solely to the gate or evidence-count requirement. No principal case reached HIGH under any of the 23 schemes. Single-localization and localization-weight-omission sensitivities each recovered one case at top 100; these remained sensitivity analyses. Full-ranking correlation between the two principal versions was 0.870708, with 57 shared top-100 genes. Detailed gate traces, control recovery and category A/B outcomes are provided in S6 and Additional file 12.</w:t>
      </w:r>
    </w:p>
    <w:p>
      <w:pPr>
        <w:pStyle w:val="BodyText"/>
        <w:keepNext/>
      </w:pPr>
      <w:r>
        <w:rPr>
          <w:b/>
          <w:bCs/>
        </w:rPr>
        <w:t xml:space="preserve">Table 4. Later target-association recovery under historical analogues.</w:t>
      </w:r>
      <w:r>
        <w:t xml:space="preserve"> </w:t>
      </w:r>
      <w:r>
        <w:t xml:space="preserve">In-universe counts use 41 principal cases; end-to-end counts retain all 45. The four out-of-universe noncoding genes fail every endpoint. Top-percent cutoffs are rounded upward within each scheme’s scored universe.</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on"/>
          <w:cantSplit/>
          <w:tblHeader/>
        </w:trPr>
        <w:tc>
          <w:tcPr/>
          <w:p>
            <w:pPr>
              <w:pStyle w:val="Compact"/>
              <w:spacing w:line="240" w:lineRule="auto" w:after="80"/>
            </w:pPr>
            <w:r>
              <w:rPr>
                <w:sz w:val="18"/>
              </w:rPr>
              <w:t xml:space="preserve">Endpoint</w:t>
            </w:r>
          </w:p>
        </w:tc>
        <w:tc>
          <w:tcPr/>
          <w:p>
            <w:pPr>
              <w:pStyle w:val="Compact"/>
              <w:spacing w:line="240" w:lineRule="auto" w:after="80"/>
              <w:jc w:val="right"/>
            </w:pPr>
            <w:r>
              <w:rPr>
                <w:sz w:val="18"/>
              </w:rPr>
              <w:t xml:space="preserve">Five layers, in universe</w:t>
            </w:r>
          </w:p>
        </w:tc>
        <w:tc>
          <w:tcPr/>
          <w:p>
            <w:pPr>
              <w:pStyle w:val="Compact"/>
              <w:spacing w:line="240" w:lineRule="auto" w:after="80"/>
              <w:jc w:val="right"/>
            </w:pPr>
            <w:r>
              <w:rPr>
                <w:sz w:val="18"/>
              </w:rPr>
              <w:t xml:space="preserve">Six layers, in universe</w:t>
            </w:r>
          </w:p>
        </w:tc>
        <w:tc>
          <w:tcPr/>
          <w:p>
            <w:pPr>
              <w:pStyle w:val="Compact"/>
              <w:spacing w:line="240" w:lineRule="auto" w:after="80"/>
              <w:jc w:val="right"/>
            </w:pPr>
            <w:r>
              <w:rPr>
                <w:sz w:val="18"/>
              </w:rPr>
              <w:t xml:space="preserve">Five layers, all eligible</w:t>
            </w:r>
          </w:p>
        </w:tc>
        <w:tc>
          <w:tcPr/>
          <w:p>
            <w:pPr>
              <w:pStyle w:val="Compact"/>
              <w:spacing w:line="240" w:lineRule="auto" w:after="80"/>
              <w:jc w:val="right"/>
            </w:pPr>
            <w:r>
              <w:rPr>
                <w:sz w:val="18"/>
              </w:rPr>
              <w:t xml:space="preserve">Six layers, all eligible</w:t>
            </w:r>
          </w:p>
        </w:tc>
      </w:tr>
      <w:tr>
        <w:trPr>
          <w:cantSplit/>
        </w:trPr>
        <w:tc>
          <w:tcPr/>
          <w:p>
            <w:pPr>
              <w:pStyle w:val="Compact"/>
              <w:spacing w:line="240" w:lineRule="auto" w:after="80"/>
            </w:pPr>
            <w:r>
              <w:rPr>
                <w:sz w:val="18"/>
              </w:rPr>
              <w:t xml:space="preserve">Top100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1/41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1/45</w:t>
            </w:r>
          </w:p>
        </w:tc>
      </w:tr>
      <w:tr>
        <w:trPr>
          <w:cantSplit/>
        </w:trPr>
        <w:tc>
          <w:tcPr/>
          <w:p>
            <w:pPr>
              <w:pStyle w:val="Compact"/>
              <w:spacing w:line="240" w:lineRule="auto" w:after="80"/>
            </w:pPr>
            <w:r>
              <w:rPr>
                <w:sz w:val="18"/>
              </w:rPr>
              <w:t xml:space="preserve">Top1000</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Top10%</w:t>
            </w:r>
          </w:p>
        </w:tc>
        <w:tc>
          <w:tcPr/>
          <w:p>
            <w:pPr>
              <w:pStyle w:val="Compact"/>
              <w:spacing w:line="240" w:lineRule="auto" w:after="80"/>
              <w:jc w:val="right"/>
            </w:pPr>
            <w:r>
              <w:rPr>
                <w:sz w:val="18"/>
              </w:rPr>
              <w:t xml:space="preserve">5/41</w:t>
            </w:r>
          </w:p>
        </w:tc>
        <w:tc>
          <w:tcPr/>
          <w:p>
            <w:pPr>
              <w:pStyle w:val="Compact"/>
              <w:spacing w:line="240" w:lineRule="auto" w:after="80"/>
              <w:jc w:val="right"/>
            </w:pPr>
            <w:r>
              <w:rPr>
                <w:sz w:val="18"/>
              </w:rPr>
              <w:t xml:space="preserve">6/41</w:t>
            </w:r>
          </w:p>
        </w:tc>
        <w:tc>
          <w:tcPr/>
          <w:p>
            <w:pPr>
              <w:pStyle w:val="Compact"/>
              <w:spacing w:line="240" w:lineRule="auto" w:after="80"/>
              <w:jc w:val="right"/>
            </w:pPr>
            <w:r>
              <w:rPr>
                <w:sz w:val="18"/>
              </w:rPr>
              <w:t xml:space="preserve">5/45</w:t>
            </w:r>
          </w:p>
        </w:tc>
        <w:tc>
          <w:tcPr/>
          <w:p>
            <w:pPr>
              <w:pStyle w:val="Compact"/>
              <w:spacing w:line="240" w:lineRule="auto" w:after="80"/>
              <w:jc w:val="right"/>
            </w:pPr>
            <w:r>
              <w:rPr>
                <w:sz w:val="18"/>
              </w:rPr>
              <w:t xml:space="preserve">6/45</w:t>
            </w:r>
          </w:p>
        </w:tc>
      </w:tr>
      <w:tr>
        <w:trPr>
          <w:cantSplit/>
        </w:trPr>
        <w:tc>
          <w:tcPr/>
          <w:p>
            <w:pPr>
              <w:pStyle w:val="Compact"/>
              <w:spacing w:line="240" w:lineRule="auto" w:after="80"/>
            </w:pPr>
            <w:r>
              <w:rPr>
                <w:sz w:val="18"/>
              </w:rPr>
              <w:t xml:space="preserve">HIGH</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bl>
    <w:p>
      <w:pPr>
        <w:pStyle w:val="FirstParagraph"/>
        <w:keepNext/>
      </w:pPr>
      <w:r>
        <w:t xml:space="preserve">An earlier four-layer pilot used three manually selected examples (</w:t>
      </w:r>
      <w:r>
        <w:rPr>
          <w:i/>
          <w:iCs/>
        </w:rPr>
        <w:t xml:space="preserve">CEP162, CFAP20, LRRC45</w:t>
      </w:r>
      <w:r>
        <w:t xml:space="preserve">), ranked 8,289/11,004/253, with unavailable animal/literature and no historical HIGH evaluation. Those previously inspected examples were not reused as principal cases in the expanded assessment. Its original protocol and outputs remain preserved, with subsequent date clarifications documented in S6.</w:t>
      </w:r>
    </w:p>
    <w:p>
      <w:pPr>
        <w:pStyle w:val="Heading3"/>
      </w:pPr>
      <w:bookmarkStart w:id="41" w:name="_c5f704735b29cd3da51ab465ef7b8d149213b53"/>
      <w:r>
        <w:t xml:space="preserve">Biological scope of the temporal cohort</w:t>
      </w:r>
      <w:bookmarkEnd w:id="41"/>
    </w:p>
    <w:p>
      <w:pPr>
        <w:pStyle w:val="FirstParagraph"/>
      </w:pPr>
      <w:r>
        <w:t xml:space="preserve">Human author review distinguished sensory involvement from a demonstrated ciliary disease mechanism. Examples include mitochondrial cardiolipin deficiency associated with</w:t>
      </w:r>
      <w:r>
        <w:t xml:space="preserve"> </w:t>
      </w:r>
      <w:r>
        <w:rPr>
          <w:i/>
          <w:iCs/>
        </w:rPr>
        <w:t xml:space="preserve">CRLS1</w:t>
      </w:r>
      <w:r>
        <w:t xml:space="preserve"> </w:t>
      </w:r>
      <w:r>
        <w:t xml:space="preserve">[61], retinal vascular disease associated with</w:t>
      </w:r>
      <w:r>
        <w:t xml:space="preserve"> </w:t>
      </w:r>
      <w:r>
        <w:rPr>
          <w:i/>
          <w:iCs/>
        </w:rPr>
        <w:t xml:space="preserve">CTNND1</w:t>
      </w:r>
      <w:r>
        <w:t xml:space="preserve"> </w:t>
      </w:r>
      <w:r>
        <w:t xml:space="preserve">[62], a dolichol-biosynthesis/glycosylation disorder associated with</w:t>
      </w:r>
      <w:r>
        <w:t xml:space="preserve"> </w:t>
      </w:r>
      <w:r>
        <w:rPr>
          <w:i/>
          <w:iCs/>
        </w:rPr>
        <w:t xml:space="preserve">DHRSX</w:t>
      </w:r>
      <w:r>
        <w:t xml:space="preserve"> </w:t>
      </w:r>
      <w:r>
        <w:t xml:space="preserve">[63], and spliceosomal RNA-associated retinal disease involving the RNU genes [64]. These cases reflect the prespecified broader sensory/ciliopathy target, rather than a cohort consisting entirely of new ciliopathy or Usher genes. Publication-version checks in a bounded audit supported first-target publicity intervals wholly after the cutoff; submission, acceptance and issue dates were distinguished from public reports (S6.6).</w:t>
      </w:r>
    </w:p>
    <w:p>
      <w:pPr>
        <w:pStyle w:val="BodyText"/>
      </w:pPr>
      <w:r>
        <w:t xml:space="preserve">A separate post-hoc classification used contemporary GO annotations without changing historical scores. All 45 cases had at least one usable annotation; BP/MF/CC coverage was 41/42/44 cases. Overlapping generic-slim categories included cilium and mitochondrion (eight cases each), cilium organization (four) and mRNA metabolic process (five). These are functional descriptions, not clinical ciliopathy assignments. No term passed pooled Benjamini–Hochberg FDR &lt; 0.05 in the primary coding-case enrichment analysis or either protocol-specified secondary analysis (S8; Additional file 13, including Figure S1). Contemporary GO information was not imported into the temporal scores.</w:t>
      </w:r>
    </w:p>
    <w:p>
      <w:pPr>
        <w:pStyle w:val="Heading3"/>
      </w:pPr>
      <w:bookmarkStart w:id="42" w:name="_21a80b4352639e137c7059634120f91eba40a1f"/>
      <w:r>
        <w:t xml:space="preserve">Old-versus-new impact audit</w:t>
      </w:r>
      <w:bookmarkEnd w:id="42"/>
    </w:p>
    <w:p>
      <w:pPr>
        <w:pStyle w:val="FirstParagraph"/>
      </w:pPr>
      <w:r>
        <w:t xml:space="preserve">The pre-rebuild output was compared with the current output only to quantify shortlist impact. HIGH overlap: 54 genes; old-only: 14; new-only: 8; shared-candidate rank Spearman correlation: 0.9881. The pre-rebuild run contained mismatched cached evidence and was therefore contaminated and is not treated as a valid benchmark or validation reference. These figures are an audit of artifact change, not evidence that either run is biologically superior.</w:t>
      </w:r>
    </w:p>
    <w:p>
      <w:pPr>
        <w:pStyle w:val="Heading3"/>
      </w:pPr>
      <w:bookmarkStart w:id="43" w:name="_00d0627865898814df76d404307b1d210ef67d4"/>
      <w:r>
        <w:t xml:space="preserve">Comparison with mantis-ml</w:t>
      </w:r>
      <w:bookmarkEnd w:id="43"/>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The original training procedure was not rerun and its complete configuration is unavailable; this is a comparison of cached predictions.</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Of the shared controls, 33 were mantis-ml training seeds, leaving only two non-seeds for any held-out comparison. UsherPipe uses no training labels or similarity seeds, but its curated localization and literature annotations reuse known biology and its gate was control-calibrated; recovery remains an internal diagnostic.</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9). Both shared-universe medians remain in the upper tail. This comparison identifies a limitation of the six-layer score in the housekeeping set.</w:t>
      </w:r>
    </w:p>
    <w:p>
      <w:pPr>
        <w:pStyle w:val="BodyText"/>
      </w:pPr>
      <w:r>
        <w:t xml:space="preserve">Neither this cached-output comparison nor the separate temporal assessment provides a harmonized, seed-independent benchmark of the two tools.</w:t>
      </w:r>
    </w:p>
    <w:p>
      <w:r>
        <w:pict>
          <v:rect style="width:0;height:1.5pt" o:hralign="center" o:hrstd="t" o:hr="t"/>
        </w:pict>
      </w:r>
    </w:p>
    <w:p>
      <w:pPr>
        <w:pStyle w:val="Heading2"/>
      </w:pPr>
      <w:bookmarkStart w:id="44" w:name="_discussion"/>
      <w:r>
        <w:t xml:space="preserve">Discussion</w:t>
      </w:r>
      <w:bookmarkEnd w:id="44"/>
    </w:p>
    <w:p>
      <w:pPr>
        <w:pStyle w:val="Heading3"/>
      </w:pPr>
      <w:bookmarkStart w:id="45" w:name="_86623667b9fc4b39fb3fc20b05d66db2167cd40"/>
      <w:r>
        <w:t xml:space="preserve">Comparison with existing approaches</w:t>
      </w:r>
      <w:bookmarkEnd w:id="45"/>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the protein-coding universe without disease similarity seeds. Unlike patient-variant-centric tools (Exomiser, AMELIE), it operates without patient sequencing data, enabling hypothesis generation prior to cohort studies. And unlike cilia-specific databases (CiliaCarta, CilioGenics), it combines retina/proxy expression and genetic constraint with cilia/sensory evidence to organize hypotheses for follow-up. These additions do not establish Usher-specific discrimination.</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w:t>
      </w:r>
      <w:r>
        <w:t xml:space="preserve"> </w:t>
      </w:r>
      <w:r>
        <w:t xml:space="preserve">“Comparison with mantis-ml”</w:t>
      </w:r>
      <w:r>
        <w:t xml:space="preserve">), while recognizing that the seed-based comparator has limited held-out evaluation in this disease space. The comparisons against the remaining tools in Table 1 are conceptual, grounded in documented tool design.</w:t>
      </w:r>
    </w:p>
    <w:p>
      <w:pPr>
        <w:pStyle w:val="Heading3"/>
      </w:pPr>
      <w:bookmarkStart w:id="46" w:name="_6466f29f36671615520eefdfd5f07f7a082e33f"/>
      <w:r>
        <w:t xml:space="preserve">The NULL-aware design</w:t>
      </w:r>
      <w:bookmarkEnd w:id="46"/>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p>
      <w:pPr>
        <w:pStyle w:val="Heading3"/>
      </w:pPr>
      <w:bookmarkStart w:id="47" w:name="_67e075ea28d5fb60c9f974a3d5321495e19f02a"/>
      <w:r>
        <w:t xml:space="preserve">Optional refinement versus exclusion</w:t>
      </w:r>
      <w:bookmarkEnd w:id="47"/>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p>
      <w:pPr>
        <w:pStyle w:val="Heading3"/>
      </w:pPr>
      <w:bookmarkStart w:id="48" w:name="_limitations"/>
      <w:r>
        <w:t xml:space="preserve">Limitations</w:t>
      </w:r>
      <w:bookmarkEnd w:id="48"/>
    </w:p>
    <w:p>
      <w:pPr>
        <w:pStyle w:val="FirstParagraph"/>
      </w:pPr>
      <w:r>
        <w:t xml:space="preserve">The raw composite blends general importance and research coverage with cilia/sensory evidence. Constraint and annotation depth are not Usher-specific; publication-volume normalization cannot remove research-intensity bias. The housekeeping median of 94.8% exposes this limitation. The gate changes HIGH labels without repairing raw ranks and was calibrated on the same controls used for internal recovery. HIGH is therefore a heuristic priority tier, not a calibrated confidence estimate. Independently validated novel Usher-gene discovery has not been demonstrated.</w:t>
      </w:r>
    </w:p>
    <w:p>
      <w:pPr>
        <w:pStyle w:val="BodyText"/>
      </w:pPr>
      <w:r>
        <w:t xml:space="preserve">The matched comparison balances only two recorded covariates in a well-curated disease-gene pool. Controls and comparators differ in localization coverage and layer counts; common-layer diagnostics retain separation, but joint animal/literature removal markedly weakens it. Eligibility exclusions also target sensory annotations related to the score itself, and residual sensory overlap remained. This study does not isolate disease specificity from all ascertainment mechanisms, establish clinical specificity, or validate the HIGH threshold independently.</w:t>
      </w:r>
    </w:p>
    <w:p>
      <w:pPr>
        <w:pStyle w:val="BodyText"/>
      </w:pPr>
      <w:r>
        <w:t xml:space="preserve">NULL preservation applies between layers; some within-layer absent subcomponents contribute zero. Available-layer averaging avoids an automatic missingness penalty but does not quantify uncertainty or guarantee comparability across evidence patterns. The historical pilot illustrates sparse high-ranking genes and restricted tissue coverage.</w:t>
      </w:r>
    </w:p>
    <w:p>
      <w:pPr>
        <w:pStyle w:val="BodyText"/>
      </w:pPr>
      <w:r>
        <w:t xml:space="preserve">The expanded temporal analogues showed limited later-association recovery: no principal case entered top 100 or HIGH, and median percentiles were below 50. Top-1,000 recovery of two/three cases and top-10% recovery of five/six cases were descriptively close to random-ordering expectations of approximately 2.14 and 4.1 cases, respectively; this arithmetic comparison is not a formal null test. Historical source substitutions prevent treating the analysis as an exact production replay. Post-cutoff method development, modern-text uncertainty, non-exhaustive catalog ascertainment and AI-assisted, nonblinded initial screening further limit interpretation (S6). Unconfirmed catalog records remain uncertain rather than clinical negatives. Human review covered all 45 cases after the frozen analysis; target-family concerns remain unresolved. The cohort concerns later sensory/ciliary associations, not newly discovered Usher associations.</w:t>
      </w:r>
    </w:p>
    <w:p>
      <w:pPr>
        <w:pStyle w:val="BodyText"/>
      </w:pPr>
      <w:r>
        <w:t xml:space="preserve">Production expression excludes cochlear hair cells. Genes active in a narrow developmental window or primarily in auditory cells may be disadvantaged if retinal, proxy, animal or literature evidence is limited. Broad Census coverage including zeros does not resolve this gap. The fetal GSE135913 views are optional annotations in an already selected HIGH group, not independent validation; low fetal expression cannot exclude adult function. The cerebellum-removal analysis exposes meaningful proxy dependence and motivates future author-curated auditory atlases.</w:t>
      </w:r>
    </w:p>
    <w:p>
      <w:pPr>
        <w:pStyle w:val="BodyText"/>
      </w:pPr>
      <w:r>
        <w:t xml:space="preserve">Finally, weighting materially changes shortlist membership despite high global correlations. Animal-only and literature-only baselines better recover the selected Usher and SYSCILIA controls, respectively; logistic fitting risks over-specialization and control reuse. The mantis-ml comparison also reuses 33/35 training seeds and cached predictions. These diagnostics support transparent hypothesis organization, without establishing optimal weights or superiority for novel-gene discovery.</w:t>
      </w:r>
    </w:p>
    <w:p>
      <w:pPr>
        <w:pStyle w:val="BodyText"/>
      </w:pPr>
      <w:r>
        <w:t xml:space="preserve">The human review and contemporary GO classification clarify functional heterogeneity but do not increase the observed temporal recovery. A ciliary location alone cannot establish that a disease mechanism is a ciliopathy; conversely, missing GO annotation cannot exclude ciliary involvement. The GO analysis was added after the temporal outcomes and yielded no FDR-significant enrichment. It cannot explain temporal failure causally or serve as an independent validation of the score.</w:t>
      </w:r>
    </w:p>
    <w:p>
      <w:pPr>
        <w:pStyle w:val="Heading3"/>
      </w:pPr>
      <w:bookmarkStart w:id="49" w:name="_707010c892ad289977b58d18b7386c9f8c65454"/>
      <w:r>
        <w:t xml:space="preserve">Future directions</w:t>
      </w:r>
      <w:bookmarkEnd w:id="49"/>
    </w:p>
    <w:p>
      <w:pPr>
        <w:pStyle w:val="FirstParagraph"/>
      </w:pPr>
      <w:r>
        <w:t xml:space="preserve">Promising extensions include protein-protein interaction network analysis (leveraging the Usher protein interactome [65]),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p>
      <w:pPr>
        <w:pStyle w:val="Heading2"/>
      </w:pPr>
      <w:bookmarkStart w:id="50" w:name="_a3efa5e942983b9cd4a27220ab1abcd034beddf"/>
      <w:r>
        <w:t xml:space="preserve">Conclusions</w:t>
      </w:r>
      <w:bookmarkEnd w:id="50"/>
    </w:p>
    <w:p>
      <w:pPr>
        <w:pStyle w:val="FirstParagraph"/>
      </w:pPr>
      <w:r>
        <w:t xml:space="preserve">UsherPipe provides a transparent, NULL-aware ranking of cilia/sensory-related hypotheses for follow-up in the Usher context. Nine Usher and 28 SYSCILIA controls had median raw percentiles of 97.77% and 91.93%, with only two and one classified HIGH. Specificity, missingness and weight/proxy sensitivities limit interpretation. The 62-gene HIGH tier is a control-calibrated heuristic shortlist; the retrospective temporal analogues showed weak later-association recovery and do not establish reliable novel disease-gene prediction. Functional and clinical validation remain necessary. The repository [66] and Additional files 11/12 provide derived replay inputs, protocols and the complete diagnostic output families.</w:t>
      </w:r>
    </w:p>
    <w:p>
      <w:r>
        <w:pict>
          <v:rect style="width:0;height:1.5pt" o:hralign="center" o:hrstd="t" o:hr="t"/>
        </w:pict>
      </w:r>
    </w:p>
    <w:p>
      <w:pPr>
        <w:pStyle w:val="Heading2"/>
      </w:pPr>
      <w:bookmarkStart w:id="51" w:name="_e1353f398eec98604d2a131b1900f3298b196be"/>
      <w:r>
        <w:t xml:space="preserve">List of abbreviations</w:t>
      </w:r>
      <w:bookmarkEnd w:id="51"/>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p>
      <w:pPr>
        <w:pStyle w:val="Heading2"/>
      </w:pPr>
      <w:bookmarkStart w:id="52" w:name="_declarations"/>
      <w:r>
        <w:t xml:space="preserve">Declarations</w:t>
      </w:r>
      <w:bookmarkEnd w:id="52"/>
    </w:p>
    <w:p>
      <w:pPr>
        <w:pStyle w:val="Heading3"/>
      </w:pPr>
      <w:bookmarkStart w:id="53" w:name="_d182db0490b2de20bd2b4e4cc8698599182035f"/>
      <w:r>
        <w:t xml:space="preserve">Ethics approval and consent to participate</w:t>
      </w:r>
      <w:bookmarkEnd w:id="53"/>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p>
      <w:pPr>
        <w:pStyle w:val="Heading3"/>
      </w:pPr>
      <w:bookmarkStart w:id="54" w:name="_84344d093a8825a4b6ef5ff428e967a69e0670e"/>
      <w:r>
        <w:t xml:space="preserve">Consent for publication</w:t>
      </w:r>
      <w:bookmarkEnd w:id="54"/>
    </w:p>
    <w:p>
      <w:pPr>
        <w:pStyle w:val="FirstParagraph"/>
      </w:pPr>
      <w:r>
        <w:t xml:space="preserve">No individual-level data, personal details, images, or videos are included in this manuscript; therefore, consent for publication is not applicable.</w:t>
      </w:r>
    </w:p>
    <w:p>
      <w:pPr>
        <w:pStyle w:val="Heading3"/>
      </w:pPr>
      <w:bookmarkStart w:id="55" w:name="_9a573444a22e2be6eba2934793359c7df890c01"/>
      <w:r>
        <w:t xml:space="preserve">Availability of data and materials</w:t>
      </w:r>
      <w:bookmarkEnd w:id="55"/>
    </w:p>
    <w:p>
      <w:pPr>
        <w:pStyle w:val="FirstParagraph"/>
      </w:pPr>
      <w:r>
        <w:t xml:space="preserve">The analysis uses publicly available resources: mygene.info, Ensembl, gnomAD (including historical v2.1.1), GO, UniProt, KEGG, Reactome, ClinGen, HGNC, HPO, Europe PMC, GSE135913, GTEx, the Human Protein Atlas, CELLxGENE Census, NCBI gene2pubmed/PubMed, HCOP, MGI, ZFIN, IMPC, the SYSCILIA SCGSv2 resource, RetNet, PanelApp and original GEO retinal datasets GSE137537/GSE137846. The code, generated tables, figures, available provenance and derived numerical replay inputs are available in the UsherPipe repository. Numerical replay is distinguished from complete raw-source regeneration (Supplementary Methods S7). Additional file 11 contains revision diagnostics and derived replay inputs; Additional file 12 contains the temporal protocols, clinical ledger, historical components, full results, source hashes and a dated summary of subsequent human review. Additional file 13 contains the contemporary GO classification, Figure S1, complete exploratory enrichment tables and verification records. Large third-party raw archives and local caches are not part of these bundles. An exact-version archive DOI has not been minted; the identified Git checkpoints and delivered-file hashes specify the versions.</w:t>
      </w:r>
    </w:p>
    <w:p>
      <w:pPr>
        <w:pStyle w:val="Compact"/>
        <w:numPr>
          <w:ilvl w:val="0"/>
          <w:numId w:val="1001"/>
        </w:numPr>
      </w:pPr>
      <w:r>
        <w:rPr>
          <w:b/>
          <w:bCs/>
        </w:rPr>
        <w:t xml:space="preserve">Repository:</w:t>
      </w:r>
      <w:r>
        <w:t xml:space="preserve"> </w:t>
      </w:r>
      <w:r>
        <w:t xml:space="preserve">https://github.com/gbanyan/usher-exploring</w:t>
      </w:r>
    </w:p>
    <w:p>
      <w:pPr>
        <w:pStyle w:val="Compact"/>
        <w:numPr>
          <w:ilvl w:val="0"/>
          <w:numId w:val="1001"/>
        </w:numPr>
      </w:pPr>
      <w:r>
        <w:rPr>
          <w:b/>
          <w:bCs/>
        </w:rPr>
        <w:t xml:space="preserve">Fixed author-review release:</w:t>
      </w:r>
      <w:r>
        <w:t xml:space="preserve"> </w:t>
      </w:r>
      <w:r>
        <w:t xml:space="preserve">https://github.com/gbanyan/usher-exploring/tree/major-revision-author-review-20261020-v2</w:t>
      </w:r>
    </w:p>
    <w:p>
      <w:pPr>
        <w:pStyle w:val="Compact"/>
        <w:numPr>
          <w:ilvl w:val="0"/>
          <w:numId w:val="1001"/>
        </w:numPr>
      </w:pPr>
      <w:r>
        <w:rPr>
          <w:b/>
          <w:bCs/>
        </w:rPr>
        <w:t xml:space="preserve">Conservative revision checkpoint:</w:t>
      </w:r>
      <w:r>
        <w:t xml:space="preserve"> </w:t>
      </w:r>
      <w:r>
        <w:t xml:space="preserve">https://github.com/gbanyan/usher-exploring/tree/0e1634a</w:t>
      </w:r>
    </w:p>
    <w:p>
      <w:pPr>
        <w:pStyle w:val="Compact"/>
        <w:numPr>
          <w:ilvl w:val="0"/>
          <w:numId w:val="1001"/>
        </w:numPr>
      </w:pPr>
      <w:r>
        <w:rPr>
          <w:b/>
          <w:bCs/>
        </w:rPr>
        <w:t xml:space="preserve">Expanded temporal analysis version:</w:t>
      </w:r>
      <w:r>
        <w:t xml:space="preserve"> </w:t>
      </w:r>
      <w:r>
        <w:t xml:space="preserve">https://github.com/gbanyan/usher-exploring/tree/736e16f</w:t>
      </w:r>
    </w:p>
    <w:p>
      <w:pPr>
        <w:pStyle w:val="Compact"/>
        <w:numPr>
          <w:ilvl w:val="0"/>
          <w:numId w:val="1001"/>
        </w:numPr>
      </w:pPr>
      <w:r>
        <w:rPr>
          <w:b/>
          <w:bCs/>
        </w:rPr>
        <w:t xml:space="preserve">Original submitted public code/data version:</w:t>
      </w:r>
      <w:r>
        <w:t xml:space="preserve"> </w:t>
      </w:r>
      <w:r>
        <w:t xml:space="preserve">https://github.com/gbanyan/usher-exploring/tree/4cf8c5b</w:t>
      </w:r>
    </w:p>
    <w:p>
      <w:pPr>
        <w:pStyle w:val="Compact"/>
        <w:numPr>
          <w:ilvl w:val="0"/>
          <w:numId w:val="1001"/>
        </w:numPr>
      </w:pPr>
      <w:r>
        <w:rPr>
          <w:b/>
          <w:bCs/>
        </w:rPr>
        <w:t xml:space="preserve">Preserved original submission files:</w:t>
      </w:r>
      <w:r>
        <w:t xml:space="preserve"> </w:t>
      </w:r>
      <w:r>
        <w:t xml:space="preserve">https://github.com/gbanyan/usher-exploring/tree/ed2d00d/submission/bmc_bioinformatics</w:t>
      </w:r>
    </w:p>
    <w:p>
      <w:pPr>
        <w:pStyle w:val="FirstParagraph"/>
      </w:pPr>
      <w:r>
        <w:t xml:space="preserve">The original submission artifacts record configured source versions, the configuration hash, stage counts and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Original source-provenance gaps are described under Reproducibility. Raw third-party inputs excluded by source terms or size limits are not redistributed; recorded versions and checksums are supplied where available.</w:t>
      </w:r>
    </w:p>
    <w:p>
      <w:pPr>
        <w:pStyle w:val="Heading3"/>
      </w:pPr>
      <w:bookmarkStart w:id="56" w:name="_8cee396d015a9d413c62f6622c8a35236e1bb10"/>
      <w:r>
        <w:t xml:space="preserve">Competing interests</w:t>
      </w:r>
      <w:bookmarkEnd w:id="56"/>
    </w:p>
    <w:p>
      <w:pPr>
        <w:pStyle w:val="FirstParagraph"/>
      </w:pPr>
      <w:r>
        <w:t xml:space="preserve">J-R.H. has personal lived experience of Usher syndrome but no financial competing interests. Y-H.C. and W-H.L. declare no competing interests.</w:t>
      </w:r>
    </w:p>
    <w:p>
      <w:pPr>
        <w:pStyle w:val="Heading3"/>
      </w:pPr>
      <w:bookmarkStart w:id="57" w:name="_funding"/>
      <w:r>
        <w:t xml:space="preserve">Funding</w:t>
      </w:r>
      <w:bookmarkEnd w:id="57"/>
    </w:p>
    <w:p>
      <w:pPr>
        <w:pStyle w:val="FirstParagraph"/>
      </w:pPr>
      <w:r>
        <w:t xml:space="preserve">No specific funding was received for this study.</w:t>
      </w:r>
    </w:p>
    <w:p>
      <w:pPr>
        <w:pStyle w:val="Heading3"/>
      </w:pPr>
      <w:bookmarkStart w:id="58" w:name="_b8356044e1855f49faa1ecb5e0ecc373fd3b25d"/>
      <w:r>
        <w:t xml:space="preserve">Authors’ contributions</w:t>
      </w:r>
      <w:bookmarkEnd w:id="58"/>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p>
      <w:pPr>
        <w:pStyle w:val="Heading3"/>
      </w:pPr>
      <w:bookmarkStart w:id="59" w:name="_acknowledgements"/>
      <w:r>
        <w:t xml:space="preserve">Acknowledgements</w:t>
      </w:r>
      <w:bookmarkEnd w:id="59"/>
    </w:p>
    <w:p>
      <w:pPr>
        <w:pStyle w:val="FirstParagraph"/>
      </w:pPr>
      <w:r>
        <w:t xml:space="preserve">Not applicable.</w:t>
      </w:r>
    </w:p>
    <w:p>
      <w:pPr>
        <w:pStyle w:val="Heading3"/>
      </w:pPr>
      <w:bookmarkStart w:id="60" w:name="_8b10a45f2d04aff461dbe0b2a5dd9c913ede074"/>
      <w:r>
        <w:t xml:space="preserve">Use of artificial intelligence tools</w:t>
      </w:r>
      <w:bookmarkEnd w:id="60"/>
    </w:p>
    <w:p>
      <w:pPr>
        <w:pStyle w:val="FirstParagraph"/>
      </w:pPr>
      <w:r>
        <w:t xml:space="preserve">See the Methods section above. No AI system is listed as an author.</w:t>
      </w:r>
    </w:p>
    <w:p>
      <w:pPr>
        <w:pStyle w:val="Heading2"/>
      </w:pPr>
      <w:bookmarkStart w:id="61" w:name="_5e64ea862fbbcc7a83a9336c2ef220848545eed"/>
      <w:r>
        <w:t xml:space="preserve">Additional files</w:t>
      </w:r>
      <w:bookmarkEnd w:id="61"/>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analysis identifiers (not current canonical HGNC validation).</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SHA-256 checksums of the actual delivered additional files 1–9 and 11–13; self-hashing is excluded.</w:t>
      </w:r>
    </w:p>
    <w:p>
      <w:pPr>
        <w:pStyle w:val="Compact"/>
        <w:numPr>
          <w:ilvl w:val="0"/>
          <w:numId w:val="1002"/>
        </w:numPr>
      </w:pPr>
      <w:r>
        <w:rPr>
          <w:b/>
          <w:bCs/>
        </w:rPr>
        <w:t xml:space="preserve">Additional file 11 (ZIP):</w:t>
      </w:r>
      <w:r>
        <w:t xml:space="preserve"> </w:t>
      </w:r>
      <w:r>
        <w:rPr>
          <w:rStyle w:val="VerbatimChar"/>
        </w:rPr>
        <w:t xml:space="preserve">Additional_file_11_Revision_Diagnostics_and_Replay.zip</w:t>
      </w:r>
      <w:r>
        <w:t xml:space="preserve">, numerical diagnostics, matched comparator records, preserved pilot and derived production replay inputs.</w:t>
      </w:r>
    </w:p>
    <w:p>
      <w:pPr>
        <w:pStyle w:val="Compact"/>
        <w:numPr>
          <w:ilvl w:val="0"/>
          <w:numId w:val="1002"/>
        </w:numPr>
      </w:pPr>
      <w:r>
        <w:rPr>
          <w:b/>
          <w:bCs/>
        </w:rPr>
        <w:t xml:space="preserve">Additional file 12 (ZIP):</w:t>
      </w:r>
      <w:r>
        <w:t xml:space="preserve"> </w:t>
      </w:r>
      <w:r>
        <w:rPr>
          <w:rStyle w:val="VerbatimChar"/>
        </w:rPr>
        <w:t xml:space="preserve">Additional_file_12_Temporal_Evaluation.zip</w:t>
      </w:r>
      <w:r>
        <w:t xml:space="preserve">, frozen temporal protocol, source inventory, clinical/date ledger, historical components, all 23 scheme outcomes and reconstruction code.</w:t>
      </w:r>
    </w:p>
    <w:p>
      <w:pPr>
        <w:pStyle w:val="Compact"/>
        <w:numPr>
          <w:ilvl w:val="0"/>
          <w:numId w:val="1002"/>
        </w:numPr>
      </w:pPr>
      <w:r>
        <w:rPr>
          <w:b/>
          <w:bCs/>
        </w:rPr>
        <w:t xml:space="preserve">Additional file 13 (ZIP):</w:t>
      </w:r>
      <w:r>
        <w:t xml:space="preserve"> </w:t>
      </w:r>
      <w:r>
        <w:rPr>
          <w:rStyle w:val="VerbatimChar"/>
        </w:rPr>
        <w:t xml:space="preserve">Additional_file_13_Temporal_GO_Classification.zip</w:t>
      </w:r>
      <w:r>
        <w:t xml:space="preserve">, contemporary functional classification workbook, Figure S1, complete enrichment tables, protocol, source manifests and numerical verification.</w:t>
      </w:r>
    </w:p>
    <w:p>
      <w:r>
        <w:pict>
          <v:rect style="width:0;height:1.5pt" o:hralign="center" o:hrstd="t" o:hr="t"/>
        </w:pict>
      </w:r>
    </w:p>
    <w:p>
      <w:pPr>
        <w:pStyle w:val="Heading2"/>
      </w:pPr>
      <w:bookmarkStart w:id="62" w:name="_75cb7b9576aaaaf1ce145bf5cbbb5cf2ece5db8"/>
      <w:r>
        <w:t xml:space="preserve">Figure legends</w:t>
      </w:r>
      <w:bookmarkEnd w:id="62"/>
    </w:p>
    <w:p>
      <w:pPr>
        <w:pStyle w:val="FirstParagraph"/>
        <w:keepNext/>
      </w:pPr>
      <w:r>
        <w:drawing>
          <wp:inline>
            <wp:extent cx="5334000" cy="5844351"/>
            <wp:effectExtent b="0" l="0" r="0" t="0"/>
            <wp:docPr descr="Figure 1. UsherPipe pipeline architecture. 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itle="" id="64" name="Picture"/>
            <a:graphic>
              <a:graphicData uri="http://schemas.openxmlformats.org/drawingml/2006/picture">
                <pic:pic>
                  <pic:nvPicPr>
                    <pic:cNvPr descr="/Users/gbanyan/Project/usher/usher-exploring/submission/bmc_bioinformatics_major_revision_20261020_v2/figures/fig1_architecture.png" id="65" name="Picture"/>
                    <pic:cNvPicPr>
                      <a:picLocks noChangeArrowheads="1" noChangeAspect="1"/>
                    </pic:cNvPicPr>
                  </pic:nvPicPr>
                  <pic:blipFill>
                    <a:blip r:embed="rId63"/>
                    <a:stretch>
                      <a:fillRect/>
                    </a:stretch>
                  </pic:blipFill>
                  <pic:spPr bwMode="auto">
                    <a:xfrm>
                      <a:off x="0" y="0"/>
                      <a:ext cx="5334000" cy="5844351"/>
                    </a:xfrm>
                    <a:prstGeom prst="rect">
                      <a:avLst/>
                    </a:prstGeom>
                    <a:noFill/>
                    <a:ln w="9525">
                      <a:noFill/>
                      <a:headEnd/>
                      <a:tailEnd/>
                    </a:ln>
                  </pic:spPr>
                </pic:pic>
              </a:graphicData>
            </a:graphic>
          </wp:inline>
        </w:drawing>
      </w:r>
    </w:p>
    <w:p>
      <w:pPr>
        <w:pStyle w:val="BodyText"/>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w:t>
      </w:r>
    </w:p>
    <w:p>
      <w:pPr>
        <w:pStyle w:val="BodyText"/>
        <w:keepNext/>
      </w:pPr>
      <w:r>
        <w:drawing>
          <wp:inline>
            <wp:extent cx="5334000" cy="3454716"/>
            <wp:effectExtent b="0" l="0" r="0" t="0"/>
            <wp:docPr descr="Figure 2. Distribution of composite scores. 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 title="" id="67" name="Picture"/>
            <a:graphic>
              <a:graphicData uri="http://schemas.openxmlformats.org/drawingml/2006/picture">
                <pic:pic>
                  <pic:nvPicPr>
                    <pic:cNvPr descr="/Users/gbanyan/Project/usher/usher-exploring/submission/bmc_bioinformatics_major_revision_20261020_v2/figures/fig2_score_distribution.png" id="68" name="Picture"/>
                    <pic:cNvPicPr>
                      <a:picLocks noChangeArrowheads="1" noChangeAspect="1"/>
                    </pic:cNvPicPr>
                  </pic:nvPicPr>
                  <pic:blipFill>
                    <a:blip r:embed="rId66"/>
                    <a:stretch>
                      <a:fillRect/>
                    </a:stretch>
                  </pic:blipFill>
                  <pic:spPr bwMode="auto">
                    <a:xfrm>
                      <a:off x="0" y="0"/>
                      <a:ext cx="5334000" cy="3454716"/>
                    </a:xfrm>
                    <a:prstGeom prst="rect">
                      <a:avLst/>
                    </a:prstGeom>
                    <a:noFill/>
                    <a:ln w="9525">
                      <a:noFill/>
                      <a:headEnd/>
                      <a:tailEnd/>
                    </a:ln>
                  </pic:spPr>
                </pic:pic>
              </a:graphicData>
            </a:graphic>
          </wp:inline>
        </w:drawing>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w:t>
      </w:r>
    </w:p>
    <w:p>
      <w:pPr>
        <w:pStyle w:val="BodyText"/>
        <w:keepNext/>
      </w:pPr>
      <w:r>
        <w:drawing>
          <wp:inline>
            <wp:extent cx="5334000" cy="3338403"/>
            <wp:effectExtent b="0" l="0" r="0" t="0"/>
            <wp:docPr descr="Figure 3. Evidence layer coverage. Number of analysis labels with non-NULL evidence in each of the six evidence layers; the percentage above each bar is coverage relative to the current 20,081-label analysis universe (dashed line). NULL values are retained and are not interpreted as negative evidence." title="" id="70" name="Picture"/>
            <a:graphic>
              <a:graphicData uri="http://schemas.openxmlformats.org/drawingml/2006/picture">
                <pic:pic>
                  <pic:nvPicPr>
                    <pic:cNvPr descr="/Users/gbanyan/Project/usher/usher-exploring/submission/bmc_bioinformatics_major_revision_20261020_v2/figures/fig3_layer_coverage.png" id="71" name="Picture"/>
                    <pic:cNvPicPr>
                      <a:picLocks noChangeArrowheads="1" noChangeAspect="1"/>
                    </pic:cNvPicPr>
                  </pic:nvPicPr>
                  <pic:blipFill>
                    <a:blip r:embed="rId69"/>
                    <a:stretch>
                      <a:fillRect/>
                    </a:stretch>
                  </pic:blipFill>
                  <pic:spPr bwMode="auto">
                    <a:xfrm>
                      <a:off x="0" y="0"/>
                      <a:ext cx="5334000" cy="3338403"/>
                    </a:xfrm>
                    <a:prstGeom prst="rect">
                      <a:avLst/>
                    </a:prstGeom>
                    <a:noFill/>
                    <a:ln w="9525">
                      <a:noFill/>
                      <a:headEnd/>
                      <a:tailEnd/>
                    </a:ln>
                  </pic:spPr>
                </pic:pic>
              </a:graphicData>
            </a:graphic>
          </wp:inline>
        </w:drawing>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keepNext/>
      </w:pPr>
      <w:r>
        <w:drawing>
          <wp:inline>
            <wp:extent cx="5334000" cy="4496493"/>
            <wp:effectExtent b="0" l="0" r="0" t="0"/>
            <wp:docPr descr="Figure 4. Per-layer evidence profiles of the top 25 candidates. 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 title="" id="73" name="Picture"/>
            <a:graphic>
              <a:graphicData uri="http://schemas.openxmlformats.org/drawingml/2006/picture">
                <pic:pic>
                  <pic:nvPicPr>
                    <pic:cNvPr descr="/Users/gbanyan/Project/usher/usher-exploring/submission/bmc_bioinformatics_major_revision_20261020_v2/figures/fig4_top_candidates_heatmap.png" id="74" name="Picture"/>
                    <pic:cNvPicPr>
                      <a:picLocks noChangeArrowheads="1" noChangeAspect="1"/>
                    </pic:cNvPicPr>
                  </pic:nvPicPr>
                  <pic:blipFill>
                    <a:blip r:embed="rId72"/>
                    <a:stretch>
                      <a:fillRect/>
                    </a:stretch>
                  </pic:blipFill>
                  <pic:spPr bwMode="auto">
                    <a:xfrm>
                      <a:off x="0" y="0"/>
                      <a:ext cx="5334000" cy="4496493"/>
                    </a:xfrm>
                    <a:prstGeom prst="rect">
                      <a:avLst/>
                    </a:prstGeom>
                    <a:noFill/>
                    <a:ln w="9525">
                      <a:noFill/>
                      <a:headEnd/>
                      <a:tailEnd/>
                    </a:ln>
                  </pic:spPr>
                </pic:pic>
              </a:graphicData>
            </a:graphic>
          </wp:inline>
        </w:drawing>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keepNext/>
      </w:pPr>
      <w:r>
        <w:drawing>
          <wp:inline>
            <wp:extent cx="5334000" cy="3596873"/>
            <wp:effectExtent b="0" l="0" r="0" t="0"/>
            <wp:docPr descr="Figure 5. Internal control recovery. Percentile-rank distributions for the nine established Usher genes, the 28 SYSCILIA ciliary genes, and a sample of 500 non-control scored background genes drawn without replacement with numpy.random.default_rng(42) after ordering eligible labels by retained Ensembl ID, shown as box plots with the controls also plotted as individual points. The dashed line marks the 75th percentile and the dotted line the median. The control set is curated and is not an independent validation cohort." title="" id="76" name="Picture"/>
            <a:graphic>
              <a:graphicData uri="http://schemas.openxmlformats.org/drawingml/2006/picture">
                <pic:pic>
                  <pic:nvPicPr>
                    <pic:cNvPr descr="/Users/gbanyan/Project/usher/usher-exploring/submission/bmc_bioinformatics_major_revision_20261020_v2/figures/fig5_validation_controls.png" id="77" name="Picture"/>
                    <pic:cNvPicPr>
                      <a:picLocks noChangeArrowheads="1" noChangeAspect="1"/>
                    </pic:cNvPicPr>
                  </pic:nvPicPr>
                  <pic:blipFill>
                    <a:blip r:embed="rId75"/>
                    <a:stretch>
                      <a:fillRect/>
                    </a:stretch>
                  </pic:blipFill>
                  <pic:spPr bwMode="auto">
                    <a:xfrm>
                      <a:off x="0" y="0"/>
                      <a:ext cx="5334000" cy="3596873"/>
                    </a:xfrm>
                    <a:prstGeom prst="rect">
                      <a:avLst/>
                    </a:prstGeom>
                    <a:noFill/>
                    <a:ln w="9525">
                      <a:noFill/>
                      <a:headEnd/>
                      <a:tailEnd/>
                    </a:ln>
                  </pic:spPr>
                </pic:pic>
              </a:graphicData>
            </a:graphic>
          </wp:inline>
        </w:drawing>
      </w:r>
    </w:p>
    <w:p>
      <w:pPr>
        <w:pStyle w:val="BodyText"/>
      </w:pPr>
      <w:r>
        <w:rPr>
          <w:b/>
          <w:bCs/>
        </w:rPr>
        <w:t xml:space="preserve">Figure 5. Internal control recovery.</w:t>
      </w:r>
      <w:r>
        <w:t xml:space="preserve"> </w:t>
      </w:r>
      <w:r>
        <w:t xml:space="preserve">Percentile-rank distributions for the nine established Usher genes, the 28 SYSCILIA ciliary genes, and a sample of 500 non-control scored background genes drawn without replacement with</w:t>
      </w:r>
      <w:r>
        <w:t xml:space="preserve"> </w:t>
      </w:r>
      <w:r>
        <w:rPr>
          <w:rStyle w:val="VerbatimChar"/>
        </w:rPr>
        <w:t xml:space="preserve">numpy.random.default_rng(42)</w:t>
      </w:r>
      <w:r>
        <w:t xml:space="preserve"> </w:t>
      </w:r>
      <w:r>
        <w:t xml:space="preserve">after ordering eligible labels by retained Ensembl ID, shown as box plots with the controls also plotted as individual points. The dashed line marks the 75th percentile and the dotted line the median. The control set is curated and is not an independent validation cohort.</w:t>
      </w:r>
    </w:p>
    <w:p>
      <w:pPr>
        <w:pStyle w:val="BodyText"/>
        <w:keepNext/>
      </w:pPr>
      <w:r>
        <w:drawing>
          <wp:inline>
            <wp:extent cx="5334000" cy="7523652"/>
            <wp:effectExtent b="0" l="0" r="0" t="0"/>
            <wp:docPr descr="Figure 6. Effect of missing-data handling on rankings. (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 title="" id="79" name="Picture"/>
            <a:graphic>
              <a:graphicData uri="http://schemas.openxmlformats.org/drawingml/2006/picture">
                <pic:pic>
                  <pic:nvPicPr>
                    <pic:cNvPr descr="/Users/gbanyan/Project/usher/usher-exploring/submission/bmc_bioinformatics_major_revision_20261020_v2/figures/fig6_ablation.png" id="80" name="Picture"/>
                    <pic:cNvPicPr>
                      <a:picLocks noChangeArrowheads="1" noChangeAspect="1"/>
                    </pic:cNvPicPr>
                  </pic:nvPicPr>
                  <pic:blipFill>
                    <a:blip r:embed="rId78"/>
                    <a:stretch>
                      <a:fillRect/>
                    </a:stretch>
                  </pic:blipFill>
                  <pic:spPr bwMode="auto">
                    <a:xfrm>
                      <a:off x="0" y="0"/>
                      <a:ext cx="5334000" cy="7523652"/>
                    </a:xfrm>
                    <a:prstGeom prst="rect">
                      <a:avLst/>
                    </a:prstGeom>
                    <a:noFill/>
                    <a:ln w="9525">
                      <a:noFill/>
                      <a:headEnd/>
                      <a:tailEnd/>
                    </a:ln>
                  </pic:spPr>
                </pic:pic>
              </a:graphicData>
            </a:graphic>
          </wp:inline>
        </w:drawing>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keepNext/>
      </w:pPr>
      <w:r>
        <w:drawing>
          <wp:inline>
            <wp:extent cx="5334000" cy="4311751"/>
            <wp:effectExtent b="0" l="0" r="0" t="0"/>
            <wp:docPr descr="Figure 7. Sensitivity of rankings to weight perturbation. 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itle="" id="82" name="Picture"/>
            <a:graphic>
              <a:graphicData uri="http://schemas.openxmlformats.org/drawingml/2006/picture">
                <pic:pic>
                  <pic:nvPicPr>
                    <pic:cNvPr descr="/Users/gbanyan/Project/usher/usher-exploring/submission/bmc_bioinformatics_major_revision_20261020_v2/figures/fig7_sensitivity_heatmap.png" id="83" name="Picture"/>
                    <pic:cNvPicPr>
                      <a:picLocks noChangeArrowheads="1" noChangeAspect="1"/>
                    </pic:cNvPicPr>
                  </pic:nvPicPr>
                  <pic:blipFill>
                    <a:blip r:embed="rId81"/>
                    <a:stretch>
                      <a:fillRect/>
                    </a:stretch>
                  </pic:blipFill>
                  <pic:spPr bwMode="auto">
                    <a:xfrm>
                      <a:off x="0" y="0"/>
                      <a:ext cx="5334000" cy="4311751"/>
                    </a:xfrm>
                    <a:prstGeom prst="rect">
                      <a:avLst/>
                    </a:prstGeom>
                    <a:noFill/>
                    <a:ln w="9525">
                      <a:noFill/>
                      <a:headEnd/>
                      <a:tailEnd/>
                    </a:ln>
                  </pic:spPr>
                </pic:pic>
              </a:graphicData>
            </a:graphic>
          </wp:inline>
        </w:drawing>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w:t>
      </w:r>
    </w:p>
    <w:p>
      <w:pPr>
        <w:pStyle w:val="BodyText"/>
        <w:keepNext/>
      </w:pPr>
      <w:r>
        <w:drawing>
          <wp:inline>
            <wp:extent cx="5334000" cy="2963333"/>
            <wp:effectExtent b="0" l="0" r="0" t="0"/>
            <wp:docPr descr="Figure 8. Retrospective recovery of later target associations. 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 title="" id="85" name="Picture"/>
            <a:graphic>
              <a:graphicData uri="http://schemas.openxmlformats.org/drawingml/2006/picture">
                <pic:pic>
                  <pic:nvPicPr>
                    <pic:cNvPr descr="/Users/gbanyan/Project/usher/usher-exploring/submission/bmc_bioinformatics_major_revision_20261020_v2/figures/fig8_principal_recovery.png" id="86" name="Picture"/>
                    <pic:cNvPicPr>
                      <a:picLocks noChangeArrowheads="1" noChangeAspect="1"/>
                    </pic:cNvPicPr>
                  </pic:nvPicPr>
                  <pic:blipFill>
                    <a:blip r:embed="rId84"/>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b/>
          <w:bCs/>
        </w:rPr>
        <w:t xml:space="preserve">Figure 8. Retrospective recovery of later target associations.</w:t>
      </w:r>
      <w:r>
        <w:t xml:space="preserve"> </w:t>
      </w:r>
      <w:r>
        <w:t xml:space="preserve">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w:t>
      </w:r>
    </w:p>
    <w:p>
      <w:pPr>
        <w:pStyle w:val="BodyText"/>
        <w:keepNext/>
      </w:pPr>
      <w:r>
        <w:drawing>
          <wp:inline>
            <wp:extent cx="5334000" cy="2281104"/>
            <wp:effectExtent b="0" l="0" r="0" t="0"/>
            <wp:docPr descr="Figure 9. Exploratory benchmark against mantis-ml. (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 title="" id="88" name="Picture"/>
            <a:graphic>
              <a:graphicData uri="http://schemas.openxmlformats.org/drawingml/2006/picture">
                <pic:pic>
                  <pic:nvPicPr>
                    <pic:cNvPr descr="/Users/gbanyan/Project/usher/usher-exploring/submission/bmc_bioinformatics_major_revision_20261020_v2/figures/fig9_mantisml_benchmark.png" id="89" name="Picture"/>
                    <pic:cNvPicPr>
                      <a:picLocks noChangeArrowheads="1" noChangeAspect="1"/>
                    </pic:cNvPicPr>
                  </pic:nvPicPr>
                  <pic:blipFill>
                    <a:blip r:embed="rId87"/>
                    <a:stretch>
                      <a:fillRect/>
                    </a:stretch>
                  </pic:blipFill>
                  <pic:spPr bwMode="auto">
                    <a:xfrm>
                      <a:off x="0" y="0"/>
                      <a:ext cx="5334000" cy="2281104"/>
                    </a:xfrm>
                    <a:prstGeom prst="rect">
                      <a:avLst/>
                    </a:prstGeom>
                    <a:noFill/>
                    <a:ln w="9525">
                      <a:noFill/>
                      <a:headEnd/>
                      <a:tailEnd/>
                    </a:ln>
                  </pic:spPr>
                </pic:pic>
              </a:graphicData>
            </a:graphic>
          </wp:inline>
        </w:drawing>
      </w:r>
    </w:p>
    <w:p>
      <w:pPr>
        <w:pStyle w:val="BodyText"/>
      </w:pPr>
      <w:r>
        <w:rPr>
          <w:b/>
          <w:bCs/>
        </w:rPr>
        <w:t xml:space="preserve">Figure 9. Exploratory benchmark against mantis-ml.</w:t>
      </w:r>
      <w:r>
        <w:t xml:space="preserve"> </w:t>
      </w:r>
      <w:r>
        <w:t xml:space="preserve">(A)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w:t>
      </w:r>
    </w:p>
    <w:p>
      <w:pPr>
        <w:pStyle w:val="Heading2"/>
      </w:pPr>
      <w:bookmarkStart w:id="90" w:name="_references"/>
      <w:r>
        <w:t xml:space="preserve">References</w:t>
      </w:r>
      <w:bookmarkEnd w:id="90"/>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 https://search.thegencc.org/genes/HGNC%3A24579.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El-Amraoui A, Petit C. Usher I syndrome: unravelling the mechanisms that underlie the cohesion of the growing hair bundle in inner ear sensory cells. J Cell Sci. 2005;118(Pt 20):4593-4603.</w:t>
      </w:r>
    </w:p>
    <w:p>
      <w:pPr>
        <w:pStyle w:val="BodyText"/>
      </w:pPr>
      <w:r>
        <w:t xml:space="preserve">[11] Yang J, et al. Ablation of whirlin long isoform disrupts the USH2 protein complex and causes vision and hearing loss. PLoS Genet. 2010;6(5):e1000955.</w:t>
      </w:r>
    </w:p>
    <w:p>
      <w:pPr>
        <w:pStyle w:val="BodyText"/>
      </w:pPr>
      <w:r>
        <w:t xml:space="preserve">[12] Sahly I, et al. Localization of Usher 1 proteins to the photoreceptor calyceal processes, which are absent from mice. J Cell Biol. 2012;199(2):381-399.</w:t>
      </w:r>
    </w:p>
    <w:p>
      <w:pPr>
        <w:pStyle w:val="BodyText"/>
      </w:pPr>
      <w:r>
        <w:t xml:space="preserve">[13] Lefèvre G, et al. A core cochlear phenotype in USH1 mouse mutants implicates fibrous links of the hair bundle in its cohesion, orientation and differential growth. Development. 2008;135(8):1427-1437.</w:t>
      </w:r>
    </w:p>
    <w:p>
      <w:pPr>
        <w:pStyle w:val="BodyText"/>
      </w:pPr>
      <w:r>
        <w:t xml:space="preserve">[14] Schwander M, Kachar B, Müller U. The cell biology of hearing. J Cell Biol. 2010;190(1):9-20. doi:10.1083/jcb.201001138.</w:t>
      </w:r>
    </w:p>
    <w:p>
      <w:pPr>
        <w:pStyle w:val="BodyText"/>
      </w:pPr>
      <w:r>
        <w:t xml:space="preserve">[15] Bahloul A, et al. Cadherin-23, myosin VIIa and harmonin, encoded by Usher syndrome type I genes, form a ternary complex and interact with membrane phospholipids. Hum Mol Genet. 2010;19(18):3557-3565.</w:t>
      </w:r>
    </w:p>
    <w:p>
      <w:pPr>
        <w:pStyle w:val="BodyText"/>
      </w:pPr>
      <w:r>
        <w:t xml:space="preserve">[16] Wang H, et al. Temporal and spatial assembly of inner ear hair cell ankle link condensate through phase separation. Nat Commun. 2023;14(1):1657. doi:10.1038/s41467-023-37267-5.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 https://gnomad.broadinstitute.org/news/2024-05-gnomad-v4-1-updates/.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Groza T, et al. The International Mouse Phenotyping Consortium: comprehensive knockout phenotyping underpinning the study of human disease. Nucleic Acids Res. 2023;51(D1):D1038-D1045. doi:10.1093/nar/gkac972.</w:t>
      </w:r>
    </w:p>
    <w:p>
      <w:pPr>
        <w:pStyle w:val="BodyText"/>
      </w:pPr>
      <w:r>
        <w:t xml:space="preserve">[39] Bradford Y, et al. Zebrafish information network, the knowledgebase for Danio rerio research. Genetics. 2022;220(4):iyac016. doi:10.1093/genetics/iyac016.</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 https://www.ncbi.nlm.nih.gov/geo/query/acc.cgi?acc=GSE135913. Accessed 14 Aug 2026.</w:t>
      </w:r>
    </w:p>
    <w:p>
      <w:pPr>
        <w:pStyle w:val="BodyText"/>
      </w:pPr>
      <w:r>
        <w:t xml:space="preserve">[42] RetNet, the Retinal Information Network. https://retnet.org/. Accessed 6 October 2026.</w:t>
      </w:r>
    </w:p>
    <w:p>
      <w:pPr>
        <w:pStyle w:val="BodyText"/>
      </w:pPr>
      <w:r>
        <w:t xml:space="preserve">[43] Martin AR, Williams E, Foulger RE, et al. PanelApp crowdsources expert knowledge to establish consensus diagnostic gene panels. Nat Genet. 2019;51:1560-1565. doi:10.1038/s41588-019-0528-2.</w:t>
      </w:r>
    </w:p>
    <w:p>
      <w:pPr>
        <w:pStyle w:val="BodyText"/>
      </w:pPr>
      <w:r>
        <w:t xml:space="preserve">[44] Europe PMC Consortium. Europe PMC: a full-text literature database for the life sciences and platform for innovation. Nucleic Acids Res. 2015;43(Database issue):D1042-D1048. doi:10.1093/nar/gku1061.</w:t>
      </w:r>
    </w:p>
    <w:p>
      <w:pPr>
        <w:pStyle w:val="BodyText"/>
      </w:pPr>
      <w:r>
        <w:t xml:space="preserve">[45] Menon M, Mohammadi S, Davila-Velderrain J, Goods BA, Cadwell TD, Xing Y, et al. Single-cell transcriptomic atlas of the human retina identifies cell types associated with age-related macular degeneration. Nat Commun. 2019;10:4902. doi:10.1038/s41467-019-12780-8.</w:t>
      </w:r>
    </w:p>
    <w:p>
      <w:pPr>
        <w:pStyle w:val="BodyText"/>
      </w:pPr>
      <w:r>
        <w:t xml:space="preserve">[46] Bailly E, Walton A, Borg JP. The planar cell polarity Vangl2 protein: from genetics to cellular and molecular functions. Semin Cell Dev Biol. 2018;81:62-70. doi:10.1016/j.semcdb.2017.10.030.</w:t>
      </w:r>
    </w:p>
    <w:p>
      <w:pPr>
        <w:pStyle w:val="BodyText"/>
      </w:pPr>
      <w:r>
        <w:t xml:space="preserve">[47] Henderson DJ, Phillips HM, Chaudhry B. Vang-like 2 and noncanonical Wnt signaling in outflow tract development. Trends Cardiovasc Med. 2006;16(2):38-45. doi:10.1016/j.tcm.2005.11.005.</w:t>
      </w:r>
    </w:p>
    <w:p>
      <w:pPr>
        <w:pStyle w:val="BodyText"/>
      </w:pPr>
      <w:r>
        <w:t xml:space="preserve">[48] Kibar Z, et al. Contribution of VANGL2 mutations to isolated neural tube defects. Clin Genet. 2011;80(1):76-82.</w:t>
      </w:r>
    </w:p>
    <w:p>
      <w:pPr>
        <w:pStyle w:val="BodyText"/>
      </w:pPr>
      <w:r>
        <w:t xml:space="preserve">[49] Harms MB, et al. Mutations in the tail domain of DYNC1H1 cause dominant spinal muscular atrophy. Neurology. 2012;78(22):1714-1720.</w:t>
      </w:r>
    </w:p>
    <w:p>
      <w:pPr>
        <w:pStyle w:val="BodyText"/>
      </w:pPr>
      <w:r>
        <w:t xml:space="preserve">[50] Hertecant J, et al. A novel de novo mutation in DYNC1H1 gene underlying malformation of cortical development and cataract. Meta Gene. 2016;9:124-127. doi:10.1016/j.mgene.2016.05.004.</w:t>
      </w:r>
    </w:p>
    <w:p>
      <w:pPr>
        <w:pStyle w:val="BodyText"/>
      </w:pPr>
      <w:r>
        <w:t xml:space="preserve">[51] Smits JJ, Oostrik J, Beynon AJ, et al. De novo and inherited loss-of-function variants of ATP2B2 are associated with rapidly progressive hearing impairment. Hum Genet. 2019;138(1):61-72. doi:10.1007/s00439-018-1965-1.</w:t>
      </w:r>
    </w:p>
    <w:p>
      <w:pPr>
        <w:pStyle w:val="BodyText"/>
      </w:pPr>
      <w:r>
        <w:t xml:space="preserve">[52] Street VA, et al. Mutations in a plasma membrane Ca2+-ATPase gene cause deafness in deafwaddler mice. Nat Genet. 1998;19(4):390-394.</w:t>
      </w:r>
    </w:p>
    <w:p>
      <w:pPr>
        <w:pStyle w:val="BodyText"/>
      </w:pPr>
      <w:r>
        <w:t xml:space="preserve">[53] Vasquez SSV, van Dam J, Wheway G. An updated SYSCILIA gold standard (SCGSv2) of known ciliary genes, revealing the vast progress that has been made in the cilia research field. Mol Biol Cell. 2021;32(21):br13.</w:t>
      </w:r>
    </w:p>
    <w:p>
      <w:pPr>
        <w:pStyle w:val="BodyText"/>
      </w:pPr>
      <w:r>
        <w:t xml:space="preserve">[54] ClinGen. Gene–disease validity expert-curated download. Export file date 6 Oct 2026. Available from: https://search.clinicalgenome.org/kb/gene-validity/download. Exact bytes and download-completion metadata retained in the revision source manifest.</w:t>
      </w:r>
    </w:p>
    <w:p>
      <w:pPr>
        <w:pStyle w:val="BodyText"/>
      </w:pPr>
      <w:r>
        <w:t xml:space="preserve">[55] HGNC. Complete approved gene set. Live export frozen 6 Oct 2026. Available from: https://storage.googleapis.com/public-download-files/hgnc/tsv/tsv/hgnc_complete_set.txt. Exact snapshot retained in the revision replay package.</w:t>
      </w:r>
    </w:p>
    <w:p>
      <w:pPr>
        <w:pStyle w:val="BodyText"/>
      </w:pPr>
      <w:r>
        <w:t xml:space="preserve">[56] Human Phenotype Ontology. Release v2026-09-01, ontology and gene-to-phenotype annotations. Available from: https://github.com/obophenotype/human-phenotype-ontology/releases/tag/v2026-09-01. Downloaded 6 Oct 2026.</w:t>
      </w:r>
    </w:p>
    <w:p>
      <w:pPr>
        <w:pStyle w:val="BodyText"/>
      </w:pPr>
      <w:r>
        <w:t xml:space="preserve">[57] Al-Fadhli FM, Afqi M, Sairafi MH, Almuntashri M, Alharby E, Alharbi G, et al. Biallelic loss of function variant in the unfolded protein response gene PDIA6 is associated with asphyxiating thoracic dystrophy and neonatal-onset diabetes. Clin Genet. 2021;99(5):694-703. doi:10.1111/cge.13930.</w:t>
      </w:r>
    </w:p>
    <w:p>
      <w:pPr>
        <w:pStyle w:val="BodyText"/>
      </w:pPr>
      <w:r>
        <w:t xml:space="preserve">[58] Umair M, Farooq Khan M, Aldrees M, Nashabat M, Alhamoudi KM, Bilal M, et al. Mutated VWA8 Is Associated With Developmental Delay, Microcephaly, and Scoliosis and Plays a Novel Role in Early Development and Skeletal Morphogenesis in Zebrafish. Front Cell Dev Biol. 2021;9:736960. doi:10.3389/fcell.2021.736960.</w:t>
      </w:r>
    </w:p>
    <w:p>
      <w:pPr>
        <w:pStyle w:val="BodyText"/>
      </w:pPr>
      <w:r>
        <w:t xml:space="preserve">[59] Tao P, Han X, Wang Q, Wang S, Zhang J, Liu L, et al. A gain-of-function variation in PLCG1 causes a new immune dysregulation disease. J Allergy Clin Immunol. 2023;152(5):1292-1302. doi:10.1016/j.jaci.2023.06.020.</w:t>
      </w:r>
    </w:p>
    <w:p>
      <w:pPr>
        <w:pStyle w:val="BodyText"/>
      </w:pPr>
      <w:r>
        <w:t xml:space="preserve">[60] Ma M, Zheng Y, Deng M, Lu S, Pan X, Luo X, et al. Heterozygous variants in PLCG1 affect hearing, vision, cardiac, and immune function. Elife. 2025;13:RP95887. doi:10.7554/eLife.95887.</w:t>
      </w:r>
    </w:p>
    <w:p>
      <w:pPr>
        <w:pStyle w:val="BodyText"/>
      </w:pPr>
      <w:r>
        <w:t xml:space="preserve">[61] Lee RG, Balasubramaniam S, Stentenbach M, Kralj T, McCubbin T, Padman B, et al. Deleterious variants in CRLS1 lead to cardiolipin deficiency and cause an autosomal recessive multi-system mitochondrial disease. Hum Mol Genet. 2022;31(21):3597-3612. doi:10.1093/hmg/ddac040.</w:t>
      </w:r>
    </w:p>
    <w:p>
      <w:pPr>
        <w:pStyle w:val="BodyText"/>
      </w:pPr>
      <w:r>
        <w:t xml:space="preserve">[62] Yang M, Li S, Huang L, Zhao R, Dai E, Jiang X, et al. CTNND1 variants cause familial exudative vitreoretinopathy through the Wnt/cadherin axis. JCI Insight. 2022;7(14):e158428. doi:10.1172/jci.insight.158428.</w:t>
      </w:r>
    </w:p>
    <w:p>
      <w:pPr>
        <w:pStyle w:val="BodyText"/>
      </w:pPr>
      <w:r>
        <w:t xml:space="preserve">[63] Wilson MP, Kentache T, Althoff CR, Schulz C, de Bettignies G, Mateu Cabrera G, et al. A pseudoautosomal glycosylation disorder prompts the revision of dolichol biosynthesis. Cell. 2024;187(14):3585-3601.e22. doi:10.1016/j.cell.2024.04.041.</w:t>
      </w:r>
    </w:p>
    <w:p>
      <w:pPr>
        <w:pStyle w:val="BodyText"/>
      </w:pPr>
      <w:r>
        <w:t xml:space="preserve">[64] Quinodoz M, Rodenburg K, Cvackova Z, Kaminska K, de Bruijn SE, Iglesias-Romero AB, et al. De novo and inherited dominant variants in U4 and U6 snRNA genes cause retinitis pigmentosa. Nat Genet. 2026;58(1):169-179. doi:10.1038/s41588-025-02451-4.</w:t>
      </w:r>
    </w:p>
    <w:p>
      <w:pPr>
        <w:pStyle w:val="BodyText"/>
      </w:pPr>
      <w:r>
        <w:t xml:space="preserve">[65] Linnert J, et al. Usher syndrome proteins ADGRV1 (USH2C) and CIB2 (USH1J) interact and share a common interactome containing TRiC/CCT-BBS chaperonins. Front Cell Dev Biol. 2023;11:1199069. doi:10.3389/fcell.2023.1199069.</w:t>
      </w:r>
    </w:p>
    <w:p>
      <w:pPr>
        <w:pStyle w:val="BodyText"/>
      </w:pPr>
      <w:r>
        <w:t xml:space="preserve">[66] UsherPipe. Usher syndrome candidate-gene prioritization pipeline. GitHub repository. 2026. Available from: https://github.com/gbanyan/usher-exploring/tree/major-revision-author-review-20261020-v2. Fixed author-review release, 20 Oct 2026; original public code/data version 4cf8c5b; submitted files preserved at ed2d00d.</w:t>
      </w:r>
    </w:p>
    <w:sectPr>
      <w:footerReference w:type="default" r:id="rId9"/>
      <w:footnotePr>
        <w:numRestart w:val="eachSect"/>
      </w:footnotePr>
      <w:pgSz w:w="11909" w:h="16834"/>
      <w:pgMar w:top="1037" w:bottom="1037" w:left="1037" w:right="1037"/>
      <w:lnNumType w:countBy="5"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480" w:lineRule="auto"/>
    </w:pPr>
    <w:rPr>
      <w:rFonts w:ascii="Times New Roman" w:hAnsi="Times New Roman"/>
      <w:color w:val="000000"/>
      <w:sz w:val="22"/>
    </w:rPr>
  </w:style>
  <w:style w:type="paragraph" w:styleId="BodyText">
    <w:name w:val="Body Text"/>
    <w:basedOn w:val="Normal"/>
    <w:link w:val="BodyTextChar"/>
    <w:qFormat/>
    <w:pPr>
      <w:spacing w:before="180" w:after="120" w:line="480"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480" w:lineRule="auto"/>
    </w:pPr>
    <w:rPr>
      <w:rFonts w:ascii="Times New Roman" w:hAnsi="Times New Roman"/>
      <w:color w:val="000000"/>
      <w:sz w:val="22"/>
    </w:rPr>
  </w:style>
  <w:style w:type="paragraph" w:customStyle="1" w:styleId="Compact">
    <w:name w:val="Compact"/>
    <w:basedOn w:val="BodyText"/>
    <w:qFormat/>
    <w:pPr>
      <w:spacing w:before="36" w:after="120" w:line="480"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480"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480"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480" w:lineRule="auto"/>
    </w:pPr>
    <w:rPr>
      <w:rFonts w:ascii="Times New Roman" w:hAnsi="Times New Roman"/>
      <w:color w:val="000000"/>
      <w:sz w:val="22"/>
      <w:szCs w:val="24"/>
    </w:rPr>
  </w:style>
  <w:style w:type="paragraph" w:styleId="Date">
    <w:name w:val="Date"/>
    <w:basedOn w:val="Title"/>
    <w:next w:val="BodyText"/>
    <w:qFormat/>
    <w:pPr>
      <w:keepNext/>
      <w:keepLines/>
      <w:spacing w:after="120" w:line="480"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480"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480" w:lineRule="auto"/>
    </w:pPr>
    <w:rPr>
      <w:rFonts w:ascii="Times New Roman" w:hAnsi="Times New Roman"/>
      <w:color w:val="000000"/>
      <w:sz w:val="22"/>
      <w:szCs w:val="20"/>
    </w:rPr>
  </w:style>
  <w:style w:type="paragraph" w:styleId="Bibliography">
    <w:name w:val="Bibliography"/>
    <w:basedOn w:val="Normal"/>
    <w:next w:val="Bibliography"/>
    <w:qFormat/>
    <w:pPr>
      <w:spacing w:after="120" w:line="480"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480"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480"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480"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480"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480"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480"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480"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480"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480"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480"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480"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480"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480" w:lineRule="auto"/>
    </w:pPr>
    <w:rPr>
      <w:rFonts w:ascii="Times New Roman" w:hAnsi="Times New Roman"/>
      <w:b/>
      <w:color w:val="000000"/>
      <w:sz w:val="22"/>
    </w:rPr>
  </w:style>
  <w:style w:type="paragraph" w:customStyle="1" w:styleId="Definition">
    <w:name w:val="Definition"/>
    <w:basedOn w:val="Normal"/>
    <w:pPr>
      <w:spacing w:after="120" w:line="480" w:lineRule="auto"/>
    </w:pPr>
    <w:rPr>
      <w:rFonts w:ascii="Times New Roman" w:hAnsi="Times New Roman"/>
      <w:color w:val="000000"/>
      <w:sz w:val="22"/>
    </w:rPr>
  </w:style>
  <w:style w:type="paragraph" w:styleId="Caption">
    <w:name w:val="Caption"/>
    <w:basedOn w:val="Normal"/>
    <w:link w:val="BodyTextChar"/>
    <w:pPr>
      <w:spacing w:before="0" w:after="120" w:line="480" w:lineRule="auto"/>
    </w:pPr>
    <w:rPr>
      <w:rFonts w:ascii="Times New Roman" w:hAnsi="Times New Roman"/>
      <w:i/>
      <w:color w:val="000000"/>
      <w:sz w:val="22"/>
    </w:rPr>
  </w:style>
  <w:style w:type="paragraph" w:customStyle="1" w:styleId="TableCaption">
    <w:name w:val="Table Caption"/>
    <w:basedOn w:val="Caption"/>
    <w:pPr>
      <w:keepNext/>
      <w:spacing w:after="120" w:line="480" w:lineRule="auto"/>
    </w:pPr>
    <w:rPr>
      <w:rFonts w:ascii="Times New Roman" w:hAnsi="Times New Roman"/>
      <w:color w:val="000000"/>
      <w:sz w:val="22"/>
    </w:rPr>
  </w:style>
  <w:style w:type="paragraph" w:customStyle="1" w:styleId="ImageCaption">
    <w:name w:val="Image Caption"/>
    <w:basedOn w:val="Caption"/>
    <w:pPr>
      <w:spacing w:after="120" w:line="480" w:lineRule="auto"/>
    </w:pPr>
    <w:rPr>
      <w:rFonts w:ascii="Times New Roman" w:hAnsi="Times New Roman"/>
      <w:color w:val="000000"/>
      <w:sz w:val="22"/>
    </w:rPr>
  </w:style>
  <w:style w:type="paragraph" w:customStyle="1" w:styleId="Figure">
    <w:name w:val="Figure"/>
    <w:basedOn w:val="Normal"/>
    <w:pPr>
      <w:spacing w:after="120" w:line="480" w:lineRule="auto"/>
    </w:pPr>
    <w:rPr>
      <w:rFonts w:ascii="Times New Roman" w:hAnsi="Times New Roman"/>
      <w:color w:val="000000"/>
      <w:sz w:val="22"/>
    </w:rPr>
  </w:style>
  <w:style w:type="paragraph" w:customStyle="1" w:styleId="CaptionedFigure">
    <w:name w:val="Captioned Figure"/>
    <w:basedOn w:val="Figure"/>
    <w:pPr>
      <w:keepNext/>
      <w:spacing w:after="120" w:line="480"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480"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2026-10-19T17:28:35Z</dcterms:created>
  <dcterms:modified xsi:type="dcterms:W3CDTF">2026-10-19T17:28:35Z</dcterms:modified>
</cp:coreProperties>
</file>

<file path=docProps/custom.xml><?xml version="1.0" encoding="utf-8"?>
<Properties xmlns="http://schemas.openxmlformats.org/officeDocument/2006/custom-properties" xmlns:vt="http://schemas.openxmlformats.org/officeDocument/2006/docPropsVTypes"/>
</file>