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_33861302d6f5eda9784f62310f10c278cc29513"/>
    <w:p>
      <w:pPr>
        <w:pStyle w:val="Heading1"/>
      </w:pPr>
      <w:r>
        <w:t xml:space="preserve">UsherPipe: a genome-wide multi-evidence pipeline for prioritizing candidate genes in Usher syndrome and related ciliopathies</w:t>
      </w:r>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w:t>
      </w:r>
      <w:r>
        <w:t xml:space="preserve"> </w:t>
      </w:r>
      <w:r>
        <w:t xml:space="preserve">(ORCID: 0000-0003-4776-3550); Yung-Hao Ching</w:t>
      </w:r>
      <w:r>
        <w:rPr>
          <w:vertAlign w:val="superscript"/>
        </w:rPr>
        <w:t xml:space="preserve">2</w:t>
      </w:r>
      <w:r>
        <w:t xml:space="preserve"> </w:t>
      </w:r>
      <w:r>
        <w:t xml:space="preserve">(ORCiD: 0000-0002-5767-6701; yching@gms.tcu.edu.tw); Wen-Hsiang Lu</w:t>
      </w:r>
      <w:r>
        <w:rPr>
          <w:vertAlign w:val="superscript"/>
        </w:rPr>
        <w:t xml:space="preserve">1</w:t>
      </w:r>
      <w:r>
        <w:t xml:space="preserve"> </w:t>
      </w:r>
      <w:r>
        <w:t xml:space="preserve">(ORCID: 0009-0002-5149-6790)</w:t>
      </w:r>
    </w:p>
    <w:p>
      <w:pPr>
        <w:pStyle w:val="BodyText"/>
      </w:pPr>
      <w:r>
        <w:rPr>
          <w:b/>
          <w:bCs/>
        </w:rPr>
        <w:t xml:space="preserve">Corresponding author:</w:t>
      </w:r>
      <w:r>
        <w:t xml:space="preserve"> </w:t>
      </w:r>
      <w:r>
        <w:t xml:space="preserve">Jing-Rung Huang, MD; gbanyan.huang@gmail.com;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bookmarkStart w:id="12" w:name="_abstract"/>
    <w:p>
      <w:pPr>
        <w:pStyle w:val="Heading2"/>
      </w:pPr>
      <w:r>
        <w:t xml:space="preserve">Abstract</w:t>
      </w:r>
    </w:p>
    <w:bookmarkStart w:id="9" w:name="_background"/>
    <w:p>
      <w:pPr>
        <w:pStyle w:val="Heading3"/>
      </w:pPr>
      <w:r>
        <w:t xml:space="preserve">Background</w:t>
      </w:r>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bookmarkEnd w:id="9"/>
    <w:bookmarkStart w:id="10" w:name="_results"/>
    <w:p>
      <w:pPr>
        <w:pStyle w:val="Heading3"/>
      </w:pPr>
      <w:r>
        <w:t xml:space="preserve">Results</w:t>
      </w:r>
    </w:p>
    <w:p>
      <w:pPr>
        <w:pStyle w:val="FirstParagraph"/>
      </w:pPr>
      <w:r>
        <w:t xml:space="preserve">UsherPipe integrates six evidence layers in a NULL-aware weighted mean across 20,081 analysis labels derived from 20,116 protein-coding IDs. Scoring uses no training labels or similarity seeds; curated known-gene annotations remain inputs. A downstream, control-calibrated gate defines the heuristic HIGH priority tier. The nine established Usher controls and 28 SYSCILIA controls had median raw percentile ranks of 97.8% and 91.9%; only two and one, respectively, entered HIGH. The final output contains 62 HIGH, 9,673 MEDIUM and 8,652 LOW labels. Housekeeping genes ranked at a median 94.8th percentile, demonstrating limited raw-score specificity. In a separately frozen comparison matched on publication and GO counts, 27 comparators matched to Usher controls and 84 matched to SYSCILIA controls had medians of 64.2% and 60.3%. Paired control advantage fell to 55.6% and 57.1% after joint animal/literature omission. Across equal weights and 24 modest perturbations, only 41 default top-100 genes remained in every configuration. In a retrospective temporal evaluation of historical analogues, 41 of 45 provisionally literature-screened later-association genes were in the historical protein-coding universe; neither co-primary version recovered a case in the top 100. Clinical classifications await case-by-case human verification.</w:t>
      </w:r>
    </w:p>
    <w:bookmarkEnd w:id="10"/>
    <w:bookmarkStart w:id="11" w:name="_conclusions"/>
    <w:p>
      <w:pPr>
        <w:pStyle w:val="Heading3"/>
      </w:pPr>
      <w:r>
        <w:t xml:space="preserve">Conclusions</w:t>
      </w:r>
    </w:p>
    <w:p>
      <w:pPr>
        <w:pStyle w:val="FirstParagraph"/>
      </w:pPr>
      <w:r>
        <w:t xml:space="preserve">UsherPipe organizes cilia/sensory-aware hypotheses for follow-up in the Usher context. Scores and HIGH membership reflect available annotations and weighting choices, rather than calibrated disease probabilities. Internal recovery, matched comparisons and weak later-association recovery do not establish reliable novel disease-gene discovery. Code, evidence profiles and derived replay inputs are available in the repository.</w:t>
      </w:r>
    </w:p>
    <w:p>
      <w:pPr>
        <w:pStyle w:val="BodyText"/>
      </w:pPr>
      <w:r>
        <w:rPr>
          <w:b/>
          <w:bCs/>
        </w:rPr>
        <w:t xml:space="preserve">Keywords:</w:t>
      </w:r>
      <w:r>
        <w:t xml:space="preserve"> </w:t>
      </w:r>
      <w:r>
        <w:t xml:space="preserve">Usher syndrome, ciliopathy, gene prioritization, missing data, bioinformatics pipeline, hypothesis generation</w:t>
      </w:r>
    </w:p>
    <w:p>
      <w:r>
        <w:pict>
          <v:rect style="width:0;height:1.5pt" o:hralign="center" o:hrstd="t" o:hr="t"/>
        </w:pict>
      </w:r>
    </w:p>
    <w:bookmarkEnd w:id="11"/>
    <w:bookmarkEnd w:id="12"/>
    <w:bookmarkStart w:id="16" w:name="_4a6a3a54272b4c873b2618a4467c763de83ca64"/>
    <w:p>
      <w:pPr>
        <w:pStyle w:val="Heading2"/>
      </w:pPr>
      <w:r>
        <w:t xml:space="preserve">Background</w:t>
      </w:r>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bookmarkStart w:id="13" w:name="_fbd6b818c6d741c36c6efaf20f6588649e2a507"/>
    <w:p>
      <w:pPr>
        <w:pStyle w:val="Heading3"/>
      </w:pPr>
      <w:r>
        <w:t xml:space="preserve">Usher syndrome as a specialized sensory ciliopathy</w:t>
      </w:r>
    </w:p>
    <w:p>
      <w:pPr>
        <w:pStyle w:val="FirstParagraph"/>
      </w:pPr>
      <w:r>
        <w:t xml:space="preserve">Ciliopathies comprise a genetically and phenotypically heterogeneous class of inherited disorders arising from structural or functional aberrations in primary cilia, motile cilia, or their anchor proteins [7]. Given that cilia serve as indispensable hubs for developmental signaling cascades, sensory perception, and fluid homeostasis, ciliary dysfunction characteristically manifests as pleiotropic, multisystemic pathologies. These conditions frequently impair the retina, kidneys, central nervous system, skeleton, liver, and reproductive tracts, spanning a clinical spectrum from isolated sensory deficits to complex, syndromic phenotypes with profound clinical overlap.</w:t>
      </w:r>
    </w:p>
    <w:p>
      <w:pPr>
        <w:pStyle w:val="BodyText"/>
      </w:pPr>
      <w:r>
        <w:t xml:space="preserve">Several Usher proteins participate in hair-cell stereociliary complexes and in photoreceptor connecting-cilium or periciliary regions [8, 9, 10, 11]. These shared mechanisms motivate considering Usher syndrome within the sensory ciliopathy spectrum [2, 4, 7], while recognizing that stereocilia are actin-based structures rather than true cilia. However, Usher-specific gene prioritization should not be treated as equivalent to broad ciliopathy gene prioritization: broad ciliopathies arise from general defects in ciliary assembly, transport, or signaling, whereas Usher syndrome is defined by the combined auditory–retinal phenotype. The combined auditory–retinal phenotype requires evidence beyond general ciliary function. The present score supplies cilia/sensory-aware hypotheses for follow-up in an Usher context; it is not a classifier that distinguishes Usher syndrome from other ciliopathies.</w:t>
      </w:r>
    </w:p>
    <w:bookmarkEnd w:id="13"/>
    <w:bookmarkStart w:id="14" w:name="_7cec597f696a011e48ab8057be569171fbd33da"/>
    <w:p>
      <w:pPr>
        <w:pStyle w:val="Heading3"/>
      </w:pPr>
      <w:r>
        <w:t xml:space="preserve">Ciliary and stereociliary biology underlying Usher syndrome</w:t>
      </w:r>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 9, 12].</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[10, 13, 14].</w:t>
      </w:r>
    </w:p>
    <w:p>
      <w:pPr>
        <w:pStyle w:val="BodyText"/>
      </w:pPr>
      <w:r>
        <w:t xml:space="preserve">The shared molecular basis of the retinal and auditory phenotypes lies in the Usher protein interactome, in which different proteins assemble into distinct but interconnected functional complexes. USH1 proteins, including myosin VIIa, harmonin, cadherin 23, protocadherin 15, and SANS, contribute to transient lateral links, tip-link-associated structures, and their attachment to the stereociliary actin cytoskeleton. These complexes are required for hair-bundle cohesion, orientation, and maturation [13, 15].</w:t>
      </w:r>
    </w:p>
    <w:p>
      <w:pPr>
        <w:pStyle w:val="BodyText"/>
      </w:pPr>
      <w:r>
        <w:t xml:space="preserve">USH2 proteins, including usherin, ADGRV1, whirlin, and PDZD7, form the ankle-link complex at the base of developing hair-cell stereocilia. In photoreceptors, usherin, ADGRV1, and whirlin assemble at the periciliary membrane complex near the connecting cilium, where they are thought to support protein trafficking and cargo delivery to the outer segment [9, 16, 11]. CLRN1, a tetraspan-like membrane protein associated with USH3A, is required for normal hair-bundle organization [17]. In a zebrafish</w:t>
      </w:r>
      <w:r>
        <w:t xml:space="preserve"> </w:t>
      </w:r>
      <w:r>
        <w:rPr>
          <w:i/>
          <w:iCs/>
        </w:rPr>
        <w:t xml:space="preserve">clrn1</w:t>
      </w:r>
      <w:r>
        <w:t xml:space="preserve"> </w:t>
      </w:r>
      <w:r>
        <w:t xml:space="preserve">model, a retinal maintenance role was linked to Müller glia–mediated support of photoreceptors [18]. Together, Usher proteins participate in cell adhesion, macromolecular scaffolding, intracellular trafficking, cytoskeletal organization, and membrane compartmentalization in both sensory systems [8, 19].</w:t>
      </w:r>
    </w:p>
    <w:bookmarkEnd w:id="14"/>
    <w:bookmarkStart w:id="15" w:name="_275842056641ad43911f460125029304c4e3427"/>
    <w:p>
      <w:pPr>
        <w:pStyle w:val="Heading3"/>
      </w:pPr>
      <w:r>
        <w:t xml:space="preserve">Limitations of existing gene prioritization approaches</w:t>
      </w:r>
    </w:p>
    <w:p>
      <w:pPr>
        <w:pStyle w:val="FirstParagraph"/>
      </w:pPr>
      <w:r>
        <w:t xml:space="preserve">Computational gene prioritization has become a standard approach for narrowing candidate gene lists in rare disease research. Existing approaches address different tasks, including variant interpretation, phenotype matching and similarity to previously characterized disease genes. These design differences motivate a complementary framework for organizing genome-wide biological hypotheses; they do not establish that UsherPipe discovers novel disease genes more effectively.</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may already have been investigated. Candidates with distinct molecular functions or expression patterns may be deprioritized; avoiding similarity seeds does not itself establish improved novel-gene recovery.</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a disease-specific tissue-weighted Usher score or a gnomAD constraint layer for either resource. Both tools therefore address a different question (</w:t>
      </w:r>
      <w:r>
        <w:t xml:space="preserve">“Is this gene ciliary?”</w:t>
      </w:r>
      <w:r>
        <w:t xml:space="preserve"> </w:t>
      </w:r>
      <w:r>
        <w:t xml:space="preserve">rather than</w:t>
      </w:r>
      <w:r>
        <w:t xml:space="preserve"> </w:t>
      </w:r>
      <w:r>
        <w:t xml:space="preserve">“Is this gene a candidate for Usher syndrome?”</w:t>
      </w:r>
      <w:r>
        <w:t xml:space="preserv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retina/proxy expression panel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keepNext/>
      </w:pPr>
      <w:r>
        <w:rPr>
          <w:b/>
          <w:bCs/>
        </w:rPr>
        <w:t xml:space="preserve">Table 1. Comparison of gene prioritization approaches for rare disease research.</w:t>
      </w:r>
    </w:p>
    <w:tbl>
      <w:tblPr>
        <w:tblStyle w:val="Table"/>
        <w:tblW w:type="pct" w:w="5000"/>
        <w:tblLayout w:type="fixed"/>
        <w:tblLook w:firstRow="1" w:lastRow="0" w:firstColumn="0" w:lastColumn="0" w:noHBand="0" w:noVBand="0" w:val="0020"/>
      </w:tblPr>
      <w:tblGrid>
        <w:gridCol w:w="1944"/>
        <w:gridCol w:w="986"/>
        <w:gridCol w:w="986"/>
        <w:gridCol w:w="986"/>
        <w:gridCol w:w="986"/>
        <w:gridCol w:w="986"/>
        <w:gridCol w:w="986"/>
        <w:gridCol w:w="986"/>
        <w:gridCol w:w="986"/>
      </w:tblGrid>
      <w:tr>
        <w:trPr>
          <w:tblHeader w:val="on"/>
          <w:cantSplit/>
          <w:tblHeader/>
        </w:trPr>
        <w:tc>
          <w:tcPr>
            <w:tcW w:type="dxa" w:w="1944"/>
          </w:tcPr>
          <w:p>
            <w:pPr>
              <w:pStyle w:val="Compact"/>
              <w:spacing w:line="240" w:lineRule="auto" w:after="80"/>
            </w:pPr>
            <w:r>
              <w:rPr>
                <w:sz w:val="16"/>
              </w:rPr>
              <w:t xml:space="preserve">Feature</w:t>
            </w:r>
          </w:p>
        </w:tc>
        <w:tc>
          <w:tcPr>
            <w:tcW w:type="dxa" w:w="986"/>
          </w:tcPr>
          <w:p>
            <w:pPr>
              <w:pStyle w:val="Compact"/>
              <w:spacing w:line="240" w:lineRule="auto" w:after="80"/>
              <w:jc w:val="center"/>
            </w:pPr>
            <w:r>
              <w:rPr>
                <w:sz w:val="16"/>
              </w:rPr>
              <w:t xml:space="preserve">Endeavour</w:t>
            </w:r>
          </w:p>
        </w:tc>
        <w:tc>
          <w:tcPr>
            <w:tcW w:type="dxa" w:w="986"/>
          </w:tcPr>
          <w:p>
            <w:pPr>
              <w:pStyle w:val="Compact"/>
              <w:spacing w:line="240" w:lineRule="auto" w:after="80"/>
              <w:jc w:val="center"/>
            </w:pPr>
            <w:r>
              <w:rPr>
                <w:sz w:val="16"/>
              </w:rPr>
              <w:t xml:space="preserve">ToppGene</w:t>
            </w:r>
          </w:p>
        </w:tc>
        <w:tc>
          <w:tcPr>
            <w:tcW w:type="dxa" w:w="986"/>
          </w:tcPr>
          <w:p>
            <w:pPr>
              <w:pStyle w:val="Compact"/>
              <w:spacing w:line="240" w:lineRule="auto" w:after="80"/>
              <w:jc w:val="center"/>
            </w:pPr>
            <w:r>
              <w:rPr>
                <w:sz w:val="16"/>
              </w:rPr>
              <w:t xml:space="preserve">Exomiser</w:t>
            </w:r>
          </w:p>
        </w:tc>
        <w:tc>
          <w:tcPr>
            <w:tcW w:type="dxa" w:w="986"/>
          </w:tcPr>
          <w:p>
            <w:pPr>
              <w:pStyle w:val="Compact"/>
              <w:spacing w:line="240" w:lineRule="auto" w:after="80"/>
              <w:jc w:val="center"/>
            </w:pPr>
            <w:r>
              <w:rPr>
                <w:sz w:val="16"/>
              </w:rPr>
              <w:t xml:space="preserve">AMELIE</w:t>
            </w:r>
          </w:p>
        </w:tc>
        <w:tc>
          <w:tcPr>
            <w:tcW w:type="dxa" w:w="986"/>
          </w:tcPr>
          <w:p>
            <w:pPr>
              <w:pStyle w:val="Compact"/>
              <w:spacing w:line="240" w:lineRule="auto" w:after="80"/>
              <w:jc w:val="center"/>
            </w:pPr>
            <w:r>
              <w:rPr>
                <w:sz w:val="16"/>
              </w:rPr>
              <w:t xml:space="preserve">CiliaCarta</w:t>
            </w:r>
          </w:p>
        </w:tc>
        <w:tc>
          <w:tcPr>
            <w:tcW w:type="dxa" w:w="986"/>
          </w:tcPr>
          <w:p>
            <w:pPr>
              <w:pStyle w:val="Compact"/>
              <w:spacing w:line="240" w:lineRule="auto" w:after="80"/>
              <w:jc w:val="center"/>
            </w:pPr>
            <w:r>
              <w:rPr>
                <w:sz w:val="16"/>
              </w:rPr>
              <w:t xml:space="preserve">CilioGenics</w:t>
            </w:r>
          </w:p>
        </w:tc>
        <w:tc>
          <w:tcPr>
            <w:tcW w:type="dxa" w:w="986"/>
          </w:tcPr>
          <w:p>
            <w:pPr>
              <w:pStyle w:val="Compact"/>
              <w:spacing w:line="240" w:lineRule="auto" w:after="80"/>
              <w:jc w:val="center"/>
            </w:pPr>
            <w:r>
              <w:rPr>
                <w:sz w:val="16"/>
              </w:rPr>
              <w:t xml:space="preserve">mantis-ml</w:t>
            </w:r>
          </w:p>
        </w:tc>
        <w:tc>
          <w:tcPr>
            <w:tcW w:type="dxa" w:w="986"/>
          </w:tcPr>
          <w:p>
            <w:pPr>
              <w:pStyle w:val="Compact"/>
              <w:spacing w:line="240" w:lineRule="auto" w:after="80"/>
              <w:jc w:val="center"/>
            </w:pPr>
            <w:r>
              <w:rPr>
                <w:b/>
                <w:bCs/>
                <w:sz w:val="16"/>
              </w:rPr>
              <w:t xml:space="preserve">UsherPipe</w:t>
            </w:r>
          </w:p>
        </w:tc>
      </w:tr>
      <w:tr>
        <w:trPr>
          <w:cantSplit/>
        </w:trPr>
        <w:tc>
          <w:tcPr>
            <w:tcW w:type="dxa" w:w="1944"/>
          </w:tcPr>
          <w:p>
            <w:pPr>
              <w:pStyle w:val="Compact"/>
              <w:spacing w:line="240" w:lineRule="auto" w:after="80"/>
            </w:pPr>
            <w:r>
              <w:rPr>
                <w:sz w:val="16"/>
              </w:rPr>
              <w:t xml:space="preserve">Genome-wide screening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No user-supplied disease seeds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Explicit retina/proxy expression layer</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Patient-variant (VCF) interpretation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Machine-learned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NULL-aware scoring</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Cilia/centrosome localization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gnomAD constraint</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Animal model phenotypes</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r>
        <w:trPr>
          <w:cantSplit/>
        </w:trPr>
        <w:tc>
          <w:tcPr>
            <w:tcW w:type="dxa" w:w="1944"/>
          </w:tcPr>
          <w:p>
            <w:pPr>
              <w:pStyle w:val="Compact"/>
              <w:spacing w:line="240" w:lineRule="auto" w:after="80"/>
            </w:pPr>
            <w:r>
              <w:rPr>
                <w:sz w:val="16"/>
              </w:rPr>
              <w:t xml:space="preserve">Publication-volume normalization</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sz w:val="16"/>
              </w:rPr>
              <w:t xml:space="preserve">—</w:t>
            </w:r>
          </w:p>
        </w:tc>
        <w:tc>
          <w:tcPr>
            <w:tcW w:type="dxa" w:w="986"/>
          </w:tcPr>
          <w:p>
            <w:pPr>
              <w:pStyle w:val="Compact"/>
              <w:spacing w:line="240" w:lineRule="auto" w:after="80"/>
              <w:jc w:val="center"/>
            </w:pPr>
            <w:r>
              <w:rPr>
                <w:b/>
                <w:bCs/>
                <w:sz w:val="16"/>
              </w:rPr>
              <w:t xml:space="preserve">✓</w:t>
            </w:r>
          </w:p>
        </w:tc>
      </w:tr>
    </w:tbl>
    <w:p>
      <w:pPr>
        <w:pStyle w:val="FirstParagraph"/>
        <w:keepNext/>
      </w:pPr>
      <w:r>
        <w:t xml:space="preserve">Feature labels are intentionally narrow: Exomiser’s gnomAD allele-frequency features are not treated as gene-level constraint, and phenotype matching is not treated as disease-specific tissue weighting.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makes three explicit design choices: (1) genome-wide screening of protein-coding genes across six complementary evidence layers with cilia/sensory-related dimensions relevant to hypotheses in the Usher context (no training labels or similarity seeds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bookmarkEnd w:id="15"/>
    <w:bookmarkEnd w:id="16"/>
    <w:bookmarkStart w:id="28" w:name="_methods"/>
    <w:p>
      <w:pPr>
        <w:pStyle w:val="Heading2"/>
      </w:pPr>
      <w:r>
        <w:t xml:space="preserve">Methods</w:t>
      </w:r>
    </w:p>
    <w:bookmarkStart w:id="17" w:name="_3606897c8d2d3b8486b65c008588a3d3ce72eb7"/>
    <w:p>
      <w:pPr>
        <w:pStyle w:val="Heading3"/>
      </w:pPr>
      <w:r>
        <w:t xml:space="preserve">Study design and setting</w:t>
      </w:r>
    </w:p>
    <w:p>
      <w:pPr>
        <w:pStyle w:val="FirstParagraph"/>
      </w:pPr>
      <w:r>
        <w:t xml:space="preserve">This was a retrospective computational methods study asking whether a transparent, seed-free integration of publicly available biological annotations can prioritize genome-wide hypotheses for Usher syndrome and related ciliopathies. The production analysis used locally cached inputs and configured version labels with a fixed protein-coding gene universe; the optional analyses were evaluated after production tier assignment and did not change production scores or tiers. These labels document the configured inputs but do not prove that the sources are immutable. No participants were recruited, no new human specimens or animal experiments were performed, and no patient-level data are reported. The study setting is the locally executed pipeline described below. The revision preserves the submission scores and supplies a schema-checked derived-input replay bundle; it does not claim complete regeneration from every original raw source. Stage-level execution metadata, the configuration hash, and report outputs are recorded in repository artifacts, but source-level provenance for the original production run is incomplete: its reproducibility manifest records six source records and six checksums, but only two source URLs, two versions, and no retrieval times. Missing fields are not inferred, so the manifest does not establish that every upstream source version or retrieval event is recorded.</w:t>
      </w:r>
    </w:p>
    <w:bookmarkEnd w:id="17"/>
    <w:bookmarkStart w:id="18" w:name="_architecture"/>
    <w:p>
      <w:pPr>
        <w:pStyle w:val="Heading3"/>
      </w:pPr>
      <w:r>
        <w:t xml:space="preserve">Architecture</w:t>
      </w:r>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bookmarkEnd w:id="18"/>
    <w:bookmarkStart w:id="19" w:name="_b992d21647cff4eed7d1fddf52c0d8516b7442d"/>
    <w:p>
      <w:pPr>
        <w:pStyle w:val="Heading3"/>
      </w:pPr>
      <w:r>
        <w:t xml:space="preserve">Gene universe</w:t>
      </w:r>
    </w:p>
    <w:p>
      <w:pPr>
        <w:pStyle w:val="FirstParagraph"/>
      </w:pPr>
      <w:r>
        <w:t xml:space="preserve">The gene universe is loaded from the locally cached Ensembl 113 GRCh38 GTF input; mygene.info [27] is used for identifier annotation rather than as the authoritative source of the protein-coding universe. The configured Ensembl release label documents the input selection but does not prove source immutability.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Additional file 1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p>
      <w:pPr>
        <w:pStyle w:val="BodyText"/>
      </w:pPr>
      <w:r>
        <w:t xml:space="preserve">Additional file 2 lists excluded labels; Additional file 3 provides supplementary methods; Additional file 4 records original production provenance. Additional file 5 supplies optional expression-shortlist candidates, Additional file 6 its report, Additional file 7 strategy summaries, Additional file 8 the fetal cochlear matrix, and Additional file 9 its local provenance. Additional file 10 checks actual delivered additional-file bytes; Additional file 11 supplies revision diagnostics and derived replay inputs; Additional file 12 supplies the historical temporal evaluation. These resources have distinct scopes, detailed below.</w:t>
      </w:r>
    </w:p>
    <w:bookmarkEnd w:id="19"/>
    <w:bookmarkStart w:id="20" w:name="_cbfb25a8d6ddb896e53ef2defe09e3831f3b0a8"/>
    <w:p>
      <w:pPr>
        <w:pStyle w:val="Heading3"/>
      </w:pPr>
      <w:r>
        <w:t xml:space="preserve">Evidence layers</w:t>
      </w:r>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The configured label does not prove source immutability.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(weight: 0.20).</w:t>
      </w:r>
      <w:r>
        <w:t xml:space="preserve"> </w:t>
      </w:r>
      <w:r>
        <w:t xml:space="preserve">The production layer uses a restricted panel of retina and cerebellum targets, with testis and fallopian tube as backgrounds, from HPA [29] and GTEx v8 [30], plus separately ranked Census photoreceptor expression [31]. Cerebellum is an adult neural proxy, not cochlear evidence. Quantitative enrichment and Tau are computed within source and restricted panel; ordinal HPA immunohistochemistry levels are not used as quantitative expression ratios or Tau inputs. The three components are enrichment percentile (0.4), mean available quantitative source Tau (0.3), and maximum target/source percentile (0.3), renormalized over available components. No production hair-cell measurements were available in the local Census inputs. Details and source coverage are in Supplementary Methods S3 and Results, “Expression dependence”.</w:t>
      </w:r>
    </w:p>
    <w:p>
      <w:pPr>
        <w:pStyle w:val="BodyText"/>
      </w:pPr>
      <w:r>
        <w:rPr>
          <w:b/>
          <w:bCs/>
        </w:rPr>
        <w:t xml:space="preserve">Functional annotation completeness (weight: 0.15).</w:t>
      </w:r>
      <w:r>
        <w:t xml:space="preserve"> </w:t>
      </w:r>
      <w:r>
        <w:t xml:space="preserve">The implemented score is 0.5 × normalized log₂(GO count + 1) [32] + 0.3 × UniProt annotation score/5 [33] + 0.2 × pathway presence from KEGG/Reactome through mygene.info [27, 34, 35]. Missing subcomponents contribute zero; only absence of all three produces NULL. This measures annotation depth, not disease specificity or causal validity.</w:t>
      </w:r>
    </w:p>
    <w:p>
      <w:pPr>
        <w:pStyle w:val="BodyText"/>
      </w:pPr>
      <w:r>
        <w:rPr>
          <w:b/>
          <w:bCs/>
        </w:rPr>
        <w:t xml:space="preserve">Subcellular localization (weight: 0.15).</w:t>
      </w:r>
      <w:r>
        <w:t xml:space="preserve"> </w:t>
      </w:r>
      <w:r>
        <w:t xml:space="preserve">HPA antibody-staining annotations are graded by ciliary proximity: direct cilia/centrosome/basal-body/transition-zone/stereocilia evidence scores 1.0, and recognized adjacent compartments score 0.5. Enhanced/Supported reliability receives a factor of 1.0; Approved/Uncertain receives 0.6. The latter are antibody-evidence categories, not computational predictions. Embedded curated cilia/centrosome lists supply a fallback proximity of 0.3. Recognized HPA reliability takes precedence for its evidence factor; compendium-only evidence receives 0.5. These are undated author-curated literal lists, not a downloaded CiliaCarta or proteomics dataset. Their original compilation dates, source assay tables and derivation from other ciliary lists are not documented. Exact symbols, alias rules and control overlaps are supplied in Additional file 11. Absence of usable localization evidence yields NULL; observed non-ciliary localization can be zero. The HIGH gate uses specific source flags, rather than any positive aggregate localization score.</w:t>
      </w:r>
    </w:p>
    <w:p>
      <w:pPr>
        <w:pStyle w:val="BodyText"/>
      </w:pPr>
      <w:r>
        <w:rPr>
          <w:b/>
          <w:bCs/>
        </w:rPr>
        <w:t xml:space="preserve">Animal model phenotypes (weight: 0.15).</w:t>
      </w:r>
      <w:r>
        <w:t xml:space="preserve"> </w:t>
      </w:r>
      <w:r>
        <w:t xml:space="preserve">HCOP [36] ortholog mappings link MGI/IMPC mouse [37, 38] and ZFIN zebrafish [39] sensory annotations. Distinct relevant mouse phenotype term names are unioned across MGI and IMPC. The score is (0.4 × mouse sensory-phenotype presence × mouse confidence + 0.3 × zebrafish sensory-phenotype presence × zebrafish confidence) multiplied by log₂(combined sensory count + 1)/log₂(global maximum combined count + 1), with confidence factors 1.0/0.7/0.4. The combined count sums distinct mouse terms and zebrafish counts. No ortholog yields NULL; a mapped ortholog with no relevant recorded phenotype can yield zero. Cross-species annotations provide mechanistic support but can reflect the same disease-curation literature as human evidence, so are not independent disease-gene validation.</w:t>
      </w:r>
    </w:p>
    <w:p>
      <w:pPr>
        <w:pStyle w:val="BodyText"/>
      </w:pPr>
      <w:r>
        <w:rPr>
          <w:b/>
          <w:bCs/>
        </w:rPr>
        <w:t xml:space="preserve">Literature mining (weight: 0.15).</w:t>
      </w:r>
      <w:r>
        <w:t xml:space="preserve"> </w:t>
      </w:r>
      <w:r>
        <w:t xml:space="preserve">NCBI gene2pubmed [40] links genes to publications, intersected with cilia, sensory, cytoskeletal and polarity PubMed contexts (the sensory query includes Usher syndrome terms) (weights 2, 2, 1 and 1). Direct evidence requires a single PMID in both the experimental and cilia/sensory sets. Implemented tier precedence is direct experimental, high-throughput, functional, incidental, then none, with factors 1.0, 0.3, 0.6, 0.1 and 0. Raw contextual evidence is divided by log₂(total publications + 1), then positive values are rank-normalized. This adjusts one publication-volume dimension without removing ascertainment or research-intensity bias; tier labels do not establish gene–disease causality.</w:t>
      </w:r>
    </w:p>
    <w:bookmarkEnd w:id="20"/>
    <w:bookmarkStart w:id="21" w:name="_d89a69548dca4b6374c0779c1982a72e933e4f1"/>
    <w:p>
      <w:pPr>
        <w:pStyle w:val="Heading3"/>
      </w:pPr>
      <w:r>
        <w:t xml:space="preserve">NULL-aware composite scoring</w:t>
      </w:r>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The final weights are heuristic design choices, not fitted or demonstrated optimal values. Constraint and expression receive a modest five-percentage-point emphasis for general functional relevance and sensory-tissue plausibility; the other four layers receive equal weights. This rationale does not establish superiority over equal or animal-only weights. We retain the original configuration and report alternatives rather than select weights using the same controls. 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priority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positive recorded source flag for cilia, centrosome, basal body, transition zone or stereocilia, membership in either embedded cilia/centrosome compendium, or an animal-model score at least 0.1276571325. The animal threshold is the nearest-method 75th percentile of positive animal scores among the 20,081 retained labels. Adjacent-compartment evidence alone does not pass. The broader reporting flag</w:t>
      </w:r>
      <w:r>
        <w:t xml:space="preserve"> </w:t>
      </w:r>
      <w:r>
        <w:rPr>
          <w:rStyle w:val="VerbatimChar"/>
        </w:rPr>
        <w:t xml:space="preserve">has_cilia_signal</w:t>
      </w:r>
      <w:r>
        <w:t xml:space="preserve"> </w:t>
      </w:r>
      <w:r>
        <w:t xml:space="preserve">is not equivalent to this gate.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 The gate does not establish causality, clinical utility, or experimental actionability.</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or similarity seeds. It does not mean that every downstream decision was independent of the controls: the cilia-signal gate was selected after inspection of control and negative-control behavior. Known-gene annotations nevertheless enter the score: 26 of 28 SYSCILIA controls occur in the embedded ciliary compendium, which contributes both localization score and gate passage; none of the nine Usher controls occurs there. SYSCILIA recovery is therefore partly circular. Literature contexts also include the disease name. Accordingly, seed-free here does not mean knowledge-free or control-independent.</w:t>
      </w:r>
    </w:p>
    <w:bookmarkEnd w:id="21"/>
    <w:bookmarkStart w:id="22" w:name="_2349af59175be1631f5237df840da78240b0fb7"/>
    <w:p>
      <w:pPr>
        <w:pStyle w:val="Heading3"/>
      </w:pPr>
      <w:r>
        <w:t xml:space="preserve">Optional post-hoc shortlist refinement</w:t>
      </w:r>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uses a different missing-data policy from tools that impute missing values. In mantis-ml, features with &gt;25% missingness are discarded entirely, and remaining gaps are filled with zero or median values [26]. Zero imputation treats</w:t>
      </w:r>
      <w:r>
        <w:t xml:space="preserve"> </w:t>
      </w:r>
      <w:r>
        <w:t xml:space="preserve">“unknown”</w:t>
      </w:r>
      <w:r>
        <w:t xml:space="preserve"> </w:t>
      </w:r>
      <w:r>
        <w:t xml:space="preserve">as</w:t>
      </w:r>
      <w:r>
        <w:t xml:space="preserve"> </w:t>
      </w:r>
      <w:r>
        <w:t xml:space="preserve">“no evidence,”</w:t>
      </w:r>
      <w:r>
        <w:t xml:space="preserve"> </w:t>
      </w:r>
      <w:r>
        <w:t xml:space="preserve">which can lower the rank of genes with incomplete measurements. Our NULL-preservation approach instead acknowledges epistemic uncertainty: a missing localization score means the protein’s location has not been determined, not that it is absent from cilia.</w:t>
      </w:r>
    </w:p>
    <w:bookmarkEnd w:id="22"/>
    <w:bookmarkStart w:id="23" w:name="_b149eb1496e7f56a9288a14e7668f5dd72b78de"/>
    <w:p>
      <w:pPr>
        <w:pStyle w:val="Heading3"/>
      </w:pPr>
      <w:r>
        <w:t xml:space="preserve">Retrospective evaluation of historical analogues</w:t>
      </w:r>
    </w:p>
    <w:p>
      <w:pPr>
        <w:pStyle w:val="FirstParagraph"/>
      </w:pPr>
      <w:r>
        <w:t xml:space="preserve">We evaluated whether reconstructed pre-2021 evidence ranks genes with later human sensory or ciliopathy associations. The evidence cutoff was 31 December 2020, selected as the common boundary for the available dated archives; clinical ascertainment extended through 6 October 2026. The score design and control-calibrated gate were developed after the cutoff, so this is a retrospective temporal stress test rather than a prospectively developed predictor. Historical substitutions also prevent interpreting it as an exact production replay.</w:t>
      </w:r>
    </w:p>
    <w:p>
      <w:pPr>
        <w:pStyle w:val="BodyText"/>
      </w:pPr>
      <w:r>
        <w:t xml:space="preserve">RetNet [42] and ten relevant PanelApp panels [43] supplied a catalog-based ascertainment frame. The Europe PMC REST API [44] supported gene/alias searches; primary reports were reviewed for the earliest public proposed target association, including preprints and online publication. Principal eligibility required a post-cutoff first proposed target association, genotype/phenotype evidence in at least two unrelated target-phenotype families, consistent inheritance, and functional support or replication in a new family. Cases with no earlier human disease report located in the adopted audit (category A) were distinguished from first target associations after another disease phenotype (category B); earlier target candidates subsequently confirmed were classified as maturation. Original Usher/SYSCILIA development controls and three previously inspected pilot examples were excluded from principal recovery. Source files, implementation, rules and 45 principal cases were fixed in Git before new ranking calculation. Cases were not selected using their scores, but modern production outputs were accessible in the workspace and the assessment was not blinded. The 45 principal clinical and date classifications were screened with AI assistance and have not yet been individually verified by a human author; their eligibility and the resulting temporal estimates remain provisional. This was not registered prospectively, and the adopted searches do not establish exhaustive clinical ascertainment.</w:t>
      </w:r>
    </w:p>
    <w:p>
      <w:pPr>
        <w:pStyle w:val="BodyText"/>
      </w:pPr>
      <w:r>
        <w:t xml:space="preserve">The historical universe comprised 19,167 Approved protein-coding genes with unique nonempty Ensembl IDs in the 1 October 2020 HGNC archive. Sources were gnomAD v2.1.1, HPA v20, GTEx v8, GO December 2020, archived MGI/IMPC/ZFIN and June 2020 gene2pubmed. The photoreceptor feature was reconstructed from original 2019 retinal matrices and author labels [45], replacing modern Census. Undated compendia were excluded; historical HCOP confidence votes and complete UniProt/pathway channels were unavailable. We evaluated two co-primary variants: five available families without literature, and six families with date-bounded literature context sets queried from modern title/abstract text. The latter uses Europe PMC MEDLINE records (SRC:MED), with FIRST_PDATE (earliest electronic/print publication) and FIRST_IDATE (first indexing in Europe PMC search) both at or before the cutoff. Preprints enter clinical date screening separately but not these MEDLINE context sets. Modern text retains possible post-cutoff revision bias. A guarded GTEx identifier repair preserved distinct canonical and _PAR_Y keys and was committed at 53da295 before the successful outcome run; the original freeze remains preserved. We used the production weights without fitting and executed 21 additional specified comparisons. Supplementary Methods S6 and Additional file 12 provide source differences, clinical/date decisions, all endpoints and sensitivities.</w:t>
      </w:r>
    </w:p>
    <w:p>
      <w:pPr>
        <w:pStyle w:val="BodyText"/>
      </w:pPr>
      <w:r>
        <w:t xml:space="preserve">Top-K recovery used each scheme’s full scored ranking, with deterministic Ensembl tie-breaking and separate tie-inclusive and whole-tie boundary results. The historical-universe denominator included any unscored eligible case as a failure; the all-eligible denominator additionally retained out-of-universe cases as failures. HIGH was evaluated separately at score ≥0.7, at least three observed families, including zero, with weight &gt; 0, and direct historical HPA signal or positive-animal Q75 using production-compatible nearest interpolation. Gate design remained control-informed. No verified clinical negative cohort was constructed, so clinical specificity, precision and false-positive rates were not estimated.</w:t>
      </w:r>
    </w:p>
    <w:bookmarkEnd w:id="23"/>
    <w:bookmarkStart w:id="24" w:name="_d5249b3a2e3f62adee575876c26009231d87b92"/>
    <w:p>
      <w:pPr>
        <w:pStyle w:val="Heading3"/>
      </w:pPr>
      <w:r>
        <w:t xml:space="preserve">Statistical analysis</w:t>
      </w:r>
    </w:p>
    <w:p>
      <w:pPr>
        <w:pStyle w:val="FirstParagraph"/>
      </w:pPr>
      <w:r>
        <w:t xml:space="preserve">Control/robustness diagnostics, comparator matching and historical outcomes used separately frozen protocols before their respective new outcome calculations. Matched comparator concordance is descriptive; the subsequent common-layer and joint-omission diagnostics are explicitly post-outcome. Comparator selection and exact covariates are detailed in S5.</w:t>
      </w:r>
    </w:p>
    <w:p>
      <w:pPr>
        <w:pStyle w:val="BodyText"/>
      </w:pPr>
      <w:r>
        <w:t xml:space="preserve">All reported statistics are descriptive summaries of the stated gene universes and ascertained sets. Temporal score percentiles use ascending average tied ranks scaled as 100 × (rank−1)/(n−1); production/revision diagnostics using minimum tied ranks remain separately defined in S4. Temporal Spearman correlations use shared scored genes, while top-K overlap uses each complete ranking. Wilson 95% intervals summarize observed recovery within the nonrandom temporal cohort and are not population-level validation intervals.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A prospective power calculation was not applicable to this computational ranking and internal-control analysis because the evaluated gene universe and control sets were defined by the study design rather than sampled participants.</w:t>
      </w:r>
    </w:p>
    <w:bookmarkEnd w:id="24"/>
    <w:bookmarkStart w:id="25" w:name="_reproducibility"/>
    <w:p>
      <w:pPr>
        <w:pStyle w:val="Heading3"/>
      </w:pPr>
      <w:r>
        <w:t xml:space="preserve">Reproducibility</w:t>
      </w:r>
    </w:p>
    <w:p>
      <w:pPr>
        <w:pStyle w:val="FirstParagraph"/>
      </w:pPr>
      <w:r>
        <w:t xml:space="preserve">The revision package supplies four canonical derived-input tables with schemas and SHA-256 hashes, an exact dependency lock tested on Python 3.13.1/macOS arm64, immutable baseline prose, explicit database/cache/output options and commands for numerical replay. Control/robustness diagnostics, matched-comparator outcomes and the restricted pilot were replayed alongside the database rebuilt from the bundle; the expanded temporal analogues were reconstructed separately from their historical raw sources. Original retrieval dates remain unknown where not recorded. Live ClinGen/HGNC comparator exports are frozen separately; dated historical resources have URLs and hashes. These facilities reproduce reported numerical analyses, not the entire original raw acquisition. Supplementary Methods S7 and the revision replay guide document scope and commands.</w:t>
      </w:r>
    </w:p>
    <w:p>
      <w:pPr>
        <w:pStyle w:val="BodyText"/>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original production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bookmarkEnd w:id="25"/>
    <w:bookmarkStart w:id="26" w:name="_9da9bb6f2969735a597337fa1020ab859efbea8"/>
    <w:p>
      <w:pPr>
        <w:pStyle w:val="Heading3"/>
      </w:pPr>
      <w:r>
        <w:t xml:space="preserve">Use of artificial intelligence tools</w:t>
      </w:r>
    </w:p>
    <w:p>
      <w:pPr>
        <w:pStyle w:val="FirstParagraph"/>
      </w:pPr>
      <w:r>
        <w:t xml:space="preserve">OpenAI Codex (GPT-6) assisted code review, source acquisition, literature screening, clinical case/date classification, analysis implementation, integrity checks and document preparation. OpenAI gpt-6-astra (high reasoning) performed additional protocol, clinical/date and numerical AI-agent audits. Anthropic Claude Opus 5.5 performed separate internal revision audits. These are AI-agent checks, not human clinical adjudication or external peer review. The 45-case literature-screened cohort has not yet been individually verified by a human author and remains provisional. The authors retain responsibility for all content, analyses and interpretation; no AI system is an author.</w:t>
      </w:r>
    </w:p>
    <w:bookmarkEnd w:id="26"/>
    <w:bookmarkStart w:id="27" w:name="_usage"/>
    <w:p>
      <w:pPr>
        <w:pStyle w:val="Heading3"/>
      </w:pPr>
      <w:r>
        <w:t xml:space="preserve">Usage</w:t>
      </w:r>
    </w:p>
    <w:p>
      <w:pPr>
        <w:pStyle w:val="FirstParagraph"/>
      </w:pPr>
      <w:r>
        <w:t xml:space="preserve">UsherPipe is installed from source and executed as a sequential CLI pipeline:</w:t>
      </w:r>
    </w:p>
    <w:p>
      <w:pPr>
        <w:pStyle w:val="SourceCode"/>
      </w:pPr>
      <w:r>
        <w:rPr>
          <w:rStyle w:val="VerbatimChar"/>
        </w:rPr>
        <w:t xml:space="preserve">pip install -e ".[dev,expression]"    # Include the optional CELLxGENE integration</w:t>
      </w:r>
      <w:r>
        <w:br/>
      </w:r>
      <w:r>
        <w:rPr>
          <w:rStyle w:val="VerbatimChar"/>
        </w:rPr>
        <w:t xml:space="preserve">usher-pipeline setup                  # Build gene universe (~2 min)</w:t>
      </w:r>
      <w:r>
        <w:br/>
      </w:r>
      <w:r>
        <w:rPr>
          <w:rStyle w:val="VerbatimChar"/>
        </w:rPr>
        <w:t xml:space="preserve">usher-pipeline evidence gnomad        # gnomAD constraint (~5 min)</w:t>
      </w:r>
      <w:r>
        <w:br/>
      </w:r>
      <w:r>
        <w:rPr>
          <w:rStyle w:val="VerbatimChar"/>
        </w:rPr>
        <w:t xml:space="preserve">usher-pipeline evidence expression    # HPA + GTEx expression (~10 min)</w:t>
      </w:r>
      <w:r>
        <w:br/>
      </w:r>
      <w:r>
        <w:rPr>
          <w:rStyle w:val="VerbatimChar"/>
        </w:rPr>
        <w:t xml:space="preserve">usher-pipeline evidence annotation    # GO/UniProt/pathway (~3 min)</w:t>
      </w:r>
      <w:r>
        <w:br/>
      </w:r>
      <w:r>
        <w:rPr>
          <w:rStyle w:val="VerbatimChar"/>
        </w:rPr>
        <w:t xml:space="preserve">usher-pipeline evidence localization  # Subcellular localization (~5 min)</w:t>
      </w:r>
      <w:r>
        <w:br/>
      </w:r>
      <w:r>
        <w:rPr>
          <w:rStyle w:val="VerbatimChar"/>
        </w:rPr>
        <w:t xml:space="preserve">usher-pipeline evidence animal-models # MGI/ZFIN/IMPC phenotypes (~8 min)</w:t>
      </w:r>
      <w:r>
        <w:br/>
      </w:r>
      <w:r>
        <w:rPr>
          <w:rStyle w:val="VerbatimChar"/>
        </w:rPr>
        <w:t xml:space="preserve">usher-pipeline evidence literature \</w:t>
      </w:r>
      <w:r>
        <w:br/>
      </w:r>
      <w:r>
        <w:rPr>
          <w:rStyle w:val="VerbatimChar"/>
        </w:rPr>
        <w:t xml:space="preserve">  --email user@example.com            # Bulk literature mining (~5 min)</w:t>
      </w:r>
      <w:r>
        <w:br/>
      </w:r>
      <w:r>
        <w:rPr>
          <w:rStyle w:val="VerbatimChar"/>
        </w:rPr>
        <w:t xml:space="preserve">usher-pipeline score                  # Composite scoring (&lt;1 min)</w:t>
      </w:r>
      <w:r>
        <w:br/>
      </w:r>
      <w:r>
        <w:rPr>
          <w:rStyle w:val="VerbatimChar"/>
        </w:rPr>
        <w:t xml:space="preserve">usher-pipeline report                 # TSV/Parquet + figures (&lt;1 min)</w:t>
      </w:r>
      <w:r>
        <w:br/>
      </w:r>
      <w:r>
        <w:rPr>
          <w:rStyle w:val="VerbatimChar"/>
        </w:rPr>
        <w:t xml:space="preserve">usher-pipeline validate               #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the label does not prove source immutability.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bookmarkEnd w:id="27"/>
    <w:bookmarkEnd w:id="28"/>
    <w:bookmarkStart w:id="41" w:name="_f6b45717e9ad8d61d768edd1849ff255f3fa9eb"/>
    <w:p>
      <w:pPr>
        <w:pStyle w:val="Heading2"/>
      </w:pPr>
      <w:r>
        <w:t xml:space="preserve">Results</w:t>
      </w:r>
    </w:p>
    <w:bookmarkStart w:id="29" w:name="_f78088642f9298705ea40f78df310470c700c94"/>
    <w:p>
      <w:pPr>
        <w:pStyle w:val="Heading3"/>
      </w:pPr>
      <w:r>
        <w:t xml:space="preserve">Pipeline output</w:t>
      </w:r>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 xml:space="preserve">Evidence-layer coverage is reported in the tracked score table and remains layer-specific (Fig. 3);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bookmarkEnd w:id="29"/>
    <w:bookmarkStart w:id="30" w:name="_a87614066ac34cd82bda1c8f977f5948d00d95b"/>
    <w:p>
      <w:pPr>
        <w:pStyle w:val="Heading3"/>
      </w:pPr>
      <w:r>
        <w:t xml:space="preserve">Optional refinement of the HIGH-tier shortlist</w:t>
      </w:r>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matrix and local-input provenance are Additional files 8 and 9. Additional file 10 records artifact checksums.</w:t>
      </w:r>
    </w:p>
    <w:p>
      <w:pPr>
        <w:pStyle w:val="BodyText"/>
        <w:keepNext/>
      </w:pPr>
      <w:r>
        <w:rPr>
          <w:b/>
          <w:bCs/>
        </w:rPr>
        <w:t xml:space="preserve">Table 2. Optional post-hoc refinement of the 62-gene HIGH tier.</w:t>
      </w:r>
    </w:p>
    <w:p>
      <w:pPr>
        <w:pStyle w:val="BodyText"/>
        <w:keepNext/>
      </w:pPr>
      <w:r>
        <w:t xml:space="preserve">These are alternative, non-nested strategies rather than a sequential filtering cascade (although the Tau thresholds are nested within their own group).</w:t>
      </w:r>
    </w:p>
    <w:tbl>
      <w:tblPr>
        <w:tblStyle w:val="Table"/>
        <w:tblW w:type="pct" w:w="5000"/>
        <w:tblLayout w:type="autofit"/>
        <w:tblLook w:firstRow="1" w:lastRow="0" w:firstColumn="0" w:lastColumn="0" w:noHBand="0" w:noVBand="0" w:val="0020"/>
      </w:tblPr>
      <w:tblGrid>
        <w:gridCol w:w="1320"/>
        <w:gridCol w:w="1320"/>
        <w:gridCol w:w="1760"/>
        <w:gridCol w:w="1760"/>
        <w:gridCol w:w="1760"/>
      </w:tblGrid>
      <w:tr>
        <w:trPr>
          <w:tblHeader w:val="on"/>
          <w:cantSplit/>
          <w:tblHeader/>
        </w:trPr>
        <w:tc>
          <w:tcPr/>
          <w:p>
            <w:pPr>
              <w:pStyle w:val="Compact"/>
              <w:spacing w:line="240" w:lineRule="auto" w:after="80"/>
            </w:pPr>
            <w:r>
              <w:rPr>
                <w:sz w:val="18"/>
              </w:rPr>
              <w:t xml:space="preserve">Refinement family</w:t>
            </w:r>
          </w:p>
        </w:tc>
        <w:tc>
          <w:tcPr/>
          <w:p>
            <w:pPr>
              <w:pStyle w:val="Compact"/>
              <w:spacing w:line="240" w:lineRule="auto" w:after="80"/>
            </w:pPr>
            <w:r>
              <w:rPr>
                <w:sz w:val="18"/>
              </w:rPr>
              <w:t xml:space="preserve">Alternative strategy</w:t>
            </w:r>
          </w:p>
        </w:tc>
        <w:tc>
          <w:tcPr/>
          <w:p>
            <w:pPr>
              <w:pStyle w:val="Compact"/>
              <w:spacing w:line="240" w:lineRule="auto" w:after="80"/>
              <w:jc w:val="right"/>
            </w:pPr>
            <w:r>
              <w:rPr>
                <w:sz w:val="18"/>
              </w:rPr>
              <w:t xml:space="preserve">Genes retained</w:t>
            </w:r>
          </w:p>
        </w:tc>
        <w:tc>
          <w:tcPr/>
          <w:p>
            <w:pPr>
              <w:pStyle w:val="Compact"/>
              <w:spacing w:line="240" w:lineRule="auto" w:after="80"/>
              <w:jc w:val="right"/>
            </w:pPr>
            <w:r>
              <w:rPr>
                <w:sz w:val="18"/>
              </w:rPr>
              <w:t xml:space="preserve">Established Usher controls retained among 2 present in HIGH</w:t>
            </w:r>
          </w:p>
        </w:tc>
        <w:tc>
          <w:tcPr/>
          <w:p>
            <w:pPr>
              <w:pStyle w:val="Compact"/>
              <w:spacing w:line="240" w:lineRule="auto" w:after="80"/>
              <w:jc w:val="right"/>
            </w:pPr>
            <w:r>
              <w:rPr>
                <w:sz w:val="18"/>
              </w:rPr>
              <w:t xml:space="preserve">SYSCILIA controls retained among 1 present in HIGH</w:t>
            </w:r>
          </w:p>
        </w:tc>
      </w:tr>
      <w:tr>
        <w:trPr>
          <w:cantSplit/>
        </w:trPr>
        <w:tc>
          <w:tcPr/>
          <w:p>
            <w:pPr>
              <w:pStyle w:val="Compact"/>
              <w:spacing w:line="240" w:lineRule="auto" w:after="80"/>
            </w:pPr>
            <w:r>
              <w:rPr>
                <w:sz w:val="18"/>
              </w:rPr>
              <w:t xml:space="preserve">Baseline</w:t>
            </w:r>
          </w:p>
        </w:tc>
        <w:tc>
          <w:tcPr/>
          <w:p>
            <w:pPr>
              <w:pStyle w:val="Compact"/>
              <w:spacing w:line="240" w:lineRule="auto" w:after="80"/>
            </w:pPr>
            <w:r>
              <w:rPr>
                <w:sz w:val="18"/>
              </w:rPr>
              <w:t xml:space="preserve">None (production HIGH tier)</w:t>
            </w:r>
          </w:p>
        </w:tc>
        <w:tc>
          <w:tcPr/>
          <w:p>
            <w:pPr>
              <w:pStyle w:val="Compact"/>
              <w:spacing w:line="240" w:lineRule="auto" w:after="80"/>
              <w:jc w:val="right"/>
            </w:pPr>
            <w:r>
              <w:rPr>
                <w:sz w:val="18"/>
              </w:rPr>
              <w:t xml:space="preserve">62</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Fetal cochlear hair-cell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2/2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expression ≥ Q75</w:t>
            </w:r>
          </w:p>
        </w:tc>
        <w:tc>
          <w:tcPr/>
          <w:p>
            <w:pPr>
              <w:pStyle w:val="Compact"/>
              <w:spacing w:line="240" w:lineRule="auto" w:after="80"/>
              <w:jc w:val="right"/>
            </w:pPr>
            <w:r>
              <w:rPr>
                <w:sz w:val="18"/>
              </w:rPr>
              <w:t xml:space="preserve">16</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Hair-cell and photoreceptor expression ≥ Q75</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0/1</w:t>
            </w:r>
          </w:p>
        </w:tc>
      </w:tr>
      <w:tr>
        <w:trPr>
          <w:cantSplit/>
        </w:trPr>
        <w:tc>
          <w:tcPr/>
          <w:p>
            <w:pPr>
              <w:pStyle w:val="Compact"/>
              <w:spacing w:line="240" w:lineRule="auto" w:after="80"/>
            </w:pPr>
            <w:r>
              <w:rPr>
                <w:sz w:val="18"/>
              </w:rPr>
              <w:t xml:space="preserve">Disease-cell enrichment</w:t>
            </w:r>
          </w:p>
        </w:tc>
        <w:tc>
          <w:tcPr/>
          <w:p>
            <w:pPr>
              <w:pStyle w:val="Compact"/>
              <w:spacing w:line="240" w:lineRule="auto" w:after="80"/>
            </w:pPr>
            <w:r>
              <w:rPr>
                <w:sz w:val="18"/>
              </w:rPr>
              <w:t xml:space="preserve">Photoreceptor and HPA retina ≥ Q75</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c>
          <w:tcPr/>
          <w:p>
            <w:pPr>
              <w:pStyle w:val="Compact"/>
              <w:spacing w:line="240" w:lineRule="auto" w:after="80"/>
              <w:jc w:val="right"/>
            </w:pPr>
            <w:r>
              <w:rPr>
                <w:sz w:val="18"/>
              </w:rPr>
              <w:t xml:space="preserve">NA</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Direct cilia/centrosome protein evidence</w:t>
            </w:r>
          </w:p>
        </w:tc>
        <w:tc>
          <w:tcPr/>
          <w:p>
            <w:pPr>
              <w:pStyle w:val="Compact"/>
              <w:spacing w:line="240" w:lineRule="auto" w:after="80"/>
              <w:jc w:val="right"/>
            </w:pPr>
            <w:r>
              <w:rPr>
                <w:sz w:val="18"/>
              </w:rPr>
              <w:t xml:space="preserve">23</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OR direct protein</w:t>
            </w:r>
          </w:p>
        </w:tc>
        <w:tc>
          <w:tcPr/>
          <w:p>
            <w:pPr>
              <w:pStyle w:val="Compact"/>
              <w:spacing w:line="240" w:lineRule="auto" w:after="80"/>
              <w:jc w:val="right"/>
            </w:pPr>
            <w:r>
              <w:rPr>
                <w:sz w:val="18"/>
              </w:rPr>
              <w:t xml:space="preserve">34</w:t>
            </w:r>
          </w:p>
        </w:tc>
        <w:tc>
          <w:tcPr/>
          <w:p>
            <w:pPr>
              <w:pStyle w:val="Compact"/>
              <w:spacing w:line="240" w:lineRule="auto" w:after="80"/>
              <w:jc w:val="right"/>
            </w:pPr>
            <w:r>
              <w:rPr>
                <w:sz w:val="18"/>
              </w:rPr>
              <w:t xml:space="preserve">1/2</w:t>
            </w:r>
          </w:p>
        </w:tc>
        <w:tc>
          <w:tcPr/>
          <w:p>
            <w:pPr>
              <w:pStyle w:val="Compact"/>
              <w:spacing w:line="240" w:lineRule="auto" w:after="80"/>
              <w:jc w:val="right"/>
            </w:pPr>
            <w:r>
              <w:rPr>
                <w:sz w:val="18"/>
              </w:rPr>
              <w:t xml:space="preserve">1/1</w:t>
            </w:r>
          </w:p>
        </w:tc>
      </w:tr>
      <w:tr>
        <w:trPr>
          <w:cantSplit/>
        </w:trPr>
        <w:tc>
          <w:tcPr/>
          <w:p>
            <w:pPr>
              <w:pStyle w:val="Compact"/>
              <w:spacing w:line="240" w:lineRule="auto" w:after="80"/>
            </w:pPr>
            <w:r>
              <w:rPr>
                <w:sz w:val="18"/>
              </w:rPr>
              <w:t xml:space="preserve">Protein/expression</w:t>
            </w:r>
          </w:p>
        </w:tc>
        <w:tc>
          <w:tcPr/>
          <w:p>
            <w:pPr>
              <w:pStyle w:val="Compact"/>
              <w:spacing w:line="240" w:lineRule="auto" w:after="80"/>
            </w:pPr>
            <w:r>
              <w:rPr>
                <w:sz w:val="18"/>
              </w:rPr>
              <w:t xml:space="preserve">Photoreceptor ≥ Q75 AND direct protein</w:t>
            </w:r>
          </w:p>
        </w:tc>
        <w:tc>
          <w:tcPr/>
          <w:p>
            <w:pPr>
              <w:pStyle w:val="Compact"/>
              <w:spacing w:line="240" w:lineRule="auto" w:after="80"/>
              <w:jc w:val="right"/>
            </w:pPr>
            <w:r>
              <w:rPr>
                <w:sz w:val="18"/>
              </w:rPr>
              <w:t xml:space="preserve">5</w:t>
            </w:r>
          </w:p>
        </w:tc>
        <w:tc>
          <w:tcPr/>
          <w:p>
            <w:pPr>
              <w:pStyle w:val="Compact"/>
              <w:spacing w:line="240" w:lineRule="auto" w:after="80"/>
              <w:jc w:val="right"/>
            </w:pPr>
            <w:r>
              <w:rPr>
                <w:sz w:val="18"/>
              </w:rPr>
              <w:t xml:space="preserve">0/2</w:t>
            </w:r>
          </w:p>
        </w:tc>
        <w:tc>
          <w:tcPr/>
          <w:p>
            <w:pPr>
              <w:pStyle w:val="Compact"/>
              <w:spacing w:line="240" w:lineRule="auto" w:after="80"/>
              <w:jc w:val="right"/>
            </w:pPr>
            <w:r>
              <w:rPr>
                <w:sz w:val="18"/>
              </w:rPr>
              <w:t xml:space="preserve">1/1</w:t>
            </w:r>
          </w:p>
        </w:tc>
      </w:tr>
    </w:tbl>
    <w:bookmarkEnd w:id="30"/>
    <w:bookmarkStart w:id="31" w:name="_18e753148650cf20589a25441b87c92102dc7e0"/>
    <w:p>
      <w:pPr>
        <w:pStyle w:val="Heading3"/>
      </w:pPr>
      <w:r>
        <w:t xml:space="preserve">Top candidate genes</w:t>
      </w:r>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These values describe model prioritization only.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[46, 47].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[48]. It is therefore a mechanistic hypothesis for follow-up, not a proposed diagnostic gene.</w:t>
      </w:r>
    </w:p>
    <w:p>
      <w:pPr>
        <w:pStyle w:val="BodyText"/>
      </w:pPr>
      <w:r>
        <w:rPr>
          <w:b/>
          <w:bCs/>
        </w:rPr>
        <w:t xml:space="preserve">DYNC1H1</w:t>
      </w:r>
      <w:r>
        <w:t xml:space="preserve"> </w:t>
      </w:r>
      <w:r>
        <w:t xml:space="preserve">encodes the cytoplasmic dynein heavy chain and has established neurodevelopmental and neuromuscular disease associations [49, 50]. Its score (0.8001) is supported across all six layers, including a localization score of 1.0 and literature score of 0.998. The animal-model signal is modest and is not specifically evidence for Usher disease.</w:t>
      </w:r>
      <w:r>
        <w:t xml:space="preserve"> </w:t>
      </w:r>
      <w:r>
        <w:rPr>
          <w:b/>
          <w:bCs/>
        </w:rPr>
        <w:t xml:space="preserve">ATP2B2</w:t>
      </w:r>
      <w:r>
        <w:t xml:space="preserve"> </w:t>
      </w:r>
      <w:r>
        <w:t xml:space="preserve">(0.7853, five layers) is already associated with human progressive hearing impairment [51], as well as hearing/vestibular phenotypes in mutant mice [52]. Its possible combined auditory–retinal involvement is a phenotype-extension hypothesis, not a novel hearing-loss-gene prediction or an established human Usher relationship. These examples illustrate how the output should be used to formulate testable hypotheses rather than to infer disease causality.</w:t>
      </w:r>
    </w:p>
    <w:p>
      <w:pPr>
        <w:pStyle w:val="BodyText"/>
      </w:pPr>
      <w:r>
        <w:t xml:space="preserve">The appearance of ATP1B1 and ATP1A1 among the top entries is likewise an exploratory pathway-level observation, not independent evidence of Usher involvement. Candidate-specific experimental validation—especially localization and sensory-cell perturbation assays—would be required before assigning disease relevance.</w:t>
      </w:r>
    </w:p>
    <w:bookmarkEnd w:id="31"/>
    <w:bookmarkStart w:id="32" w:name="_289fdbdb1df54adaab71c46f4c6bce5ae541740"/>
    <w:p>
      <w:pPr>
        <w:pStyle w:val="Heading3"/>
      </w:pPr>
      <w:r>
        <w:t xml:space="preserve">Internal control recovery</w:t>
      </w:r>
    </w:p>
    <w:p>
      <w:pPr>
        <w:pStyle w:val="FirstParagraph"/>
      </w:pPr>
      <w:r>
        <w:t xml:space="preserve">To assess internal recovery of biologically established genes (Figure 5),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[53].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nine Usher controls had a median raw percentile rank of 97.77%, with 9/9 in the top quartile; the 28 SYSCILIA controls had a median of 91.93%, with 26/28 in the top quartile (20,053 non-NULL labels). Final tiers were Usher: 2 HIGH/7 MEDIUM; SYSCILIA: 1 HIGH (</w:t>
      </w:r>
      <w:r>
        <w:rPr>
          <w:i/>
          <w:iCs/>
        </w:rPr>
        <w:t xml:space="preserve">CEP290</w:t>
      </w:r>
      <w:r>
        <w:t xml:space="preserve">)/27 MEDIUM. Neither group had LOW or excluded controls. All seven non-HIGH Usher genes failed composite ≥0.70;</w:t>
      </w:r>
      <w:r>
        <w:t xml:space="preserve"> </w:t>
      </w:r>
      <w:r>
        <w:rPr>
          <w:i/>
          <w:iCs/>
        </w:rPr>
        <w:t xml:space="preserve">WHRN</w:t>
      </w:r>
      <w:r>
        <w:t xml:space="preserve"> </w:t>
      </w:r>
      <w:r>
        <w:t xml:space="preserve">and</w:t>
      </w:r>
      <w:r>
        <w:t xml:space="preserve"> </w:t>
      </w:r>
      <w:r>
        <w:rPr>
          <w:i/>
          <w:iCs/>
        </w:rPr>
        <w:t xml:space="preserve">USH1G</w:t>
      </w:r>
      <w:r>
        <w:t xml:space="preserve"> </w:t>
      </w:r>
      <w:r>
        <w:t xml:space="preserve">additionally failed the gate. None failed the minimum three-layer criterion. Table 3 gives the complete Usher trace; the frozen control-trace table provides all 28 SYSCILIA traces.</w:t>
      </w:r>
    </w:p>
    <w:p>
      <w:pPr>
        <w:pStyle w:val="BodyText"/>
        <w:keepNext/>
      </w:pPr>
      <w:r>
        <w:rPr>
          <w:b/>
          <w:bCs/>
        </w:rPr>
        <w:t xml:space="preserve">Table 3. Established Usher control recovery and final priority tiers.</w:t>
      </w:r>
      <w:r>
        <w:t xml:space="preserve"> </w:t>
      </w:r>
      <w:r>
        <w:t xml:space="preserve">Percentiles describe raw scores; passing the gate alone is insufficient for HIGH.</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line="240" w:lineRule="auto" w:after="80"/>
            </w:pPr>
            <w:r>
              <w:rPr>
                <w:sz w:val="16"/>
              </w:rPr>
              <w:t xml:space="preserve">Gene</w:t>
            </w:r>
          </w:p>
        </w:tc>
        <w:tc>
          <w:tcPr/>
          <w:p>
            <w:pPr>
              <w:pStyle w:val="Compact"/>
              <w:spacing w:line="240" w:lineRule="auto" w:after="80"/>
              <w:jc w:val="right"/>
            </w:pPr>
            <w:r>
              <w:rPr>
                <w:sz w:val="16"/>
              </w:rPr>
              <w:t xml:space="preserve">Composite</w:t>
            </w:r>
          </w:p>
        </w:tc>
        <w:tc>
          <w:tcPr/>
          <w:p>
            <w:pPr>
              <w:pStyle w:val="Compact"/>
              <w:spacing w:line="240" w:lineRule="auto" w:after="80"/>
              <w:jc w:val="right"/>
            </w:pPr>
            <w:r>
              <w:rPr>
                <w:sz w:val="16"/>
              </w:rPr>
              <w:t xml:space="preserve">Raw percentile</w:t>
            </w:r>
          </w:p>
        </w:tc>
        <w:tc>
          <w:tcPr/>
          <w:p>
            <w:pPr>
              <w:pStyle w:val="Compact"/>
              <w:spacing w:line="240" w:lineRule="auto" w:after="80"/>
              <w:jc w:val="right"/>
            </w:pPr>
            <w:r>
              <w:rPr>
                <w:sz w:val="16"/>
              </w:rPr>
              <w:t xml:space="preserve">Layers</w:t>
            </w:r>
          </w:p>
        </w:tc>
        <w:tc>
          <w:tcPr/>
          <w:p>
            <w:pPr>
              <w:pStyle w:val="Compact"/>
              <w:spacing w:line="240" w:lineRule="auto" w:after="80"/>
              <w:jc w:val="center"/>
            </w:pPr>
            <w:r>
              <w:rPr>
                <w:sz w:val="16"/>
              </w:rPr>
              <w:t xml:space="preserve">Gate passes</w:t>
            </w:r>
          </w:p>
        </w:tc>
        <w:tc>
          <w:tcPr/>
          <w:p>
            <w:pPr>
              <w:pStyle w:val="Compact"/>
              <w:spacing w:line="240" w:lineRule="auto" w:after="80"/>
            </w:pPr>
            <w:r>
              <w:rPr>
                <w:sz w:val="16"/>
              </w:rPr>
              <w:t xml:space="preserve">Tier</w:t>
            </w:r>
          </w:p>
        </w:tc>
      </w:tr>
      <w:tr>
        <w:trPr>
          <w:cantSplit/>
        </w:trPr>
        <w:tc>
          <w:tcPr/>
          <w:p>
            <w:pPr>
              <w:pStyle w:val="Compact"/>
              <w:spacing w:line="240" w:lineRule="auto" w:after="80"/>
            </w:pPr>
            <w:r>
              <w:rPr>
                <w:sz w:val="16"/>
              </w:rPr>
              <w:t xml:space="preserve">ADGRV1</w:t>
            </w:r>
          </w:p>
        </w:tc>
        <w:tc>
          <w:tcPr/>
          <w:p>
            <w:pPr>
              <w:pStyle w:val="Compact"/>
              <w:spacing w:line="240" w:lineRule="auto" w:after="80"/>
              <w:jc w:val="right"/>
            </w:pPr>
            <w:r>
              <w:rPr>
                <w:sz w:val="16"/>
              </w:rPr>
              <w:t xml:space="preserve">0.634564</w:t>
            </w:r>
          </w:p>
        </w:tc>
        <w:tc>
          <w:tcPr/>
          <w:p>
            <w:pPr>
              <w:pStyle w:val="Compact"/>
              <w:spacing w:line="240" w:lineRule="auto" w:after="80"/>
              <w:jc w:val="right"/>
            </w:pPr>
            <w:r>
              <w:rPr>
                <w:sz w:val="16"/>
              </w:rPr>
              <w:t xml:space="preserve">97.67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CDH23</w:t>
            </w:r>
          </w:p>
        </w:tc>
        <w:tc>
          <w:tcPr/>
          <w:p>
            <w:pPr>
              <w:pStyle w:val="Compact"/>
              <w:spacing w:line="240" w:lineRule="auto" w:after="80"/>
              <w:jc w:val="right"/>
            </w:pPr>
            <w:r>
              <w:rPr>
                <w:sz w:val="16"/>
              </w:rPr>
              <w:t xml:space="preserve">0.712617</w:t>
            </w:r>
          </w:p>
        </w:tc>
        <w:tc>
          <w:tcPr/>
          <w:p>
            <w:pPr>
              <w:pStyle w:val="Compact"/>
              <w:spacing w:line="240" w:lineRule="auto" w:after="80"/>
              <w:jc w:val="right"/>
            </w:pPr>
            <w:r>
              <w:rPr>
                <w:sz w:val="16"/>
              </w:rPr>
              <w:t xml:space="preserve">99.64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CLRN1</w:t>
            </w:r>
          </w:p>
        </w:tc>
        <w:tc>
          <w:tcPr/>
          <w:p>
            <w:pPr>
              <w:pStyle w:val="Compact"/>
              <w:spacing w:line="240" w:lineRule="auto" w:after="80"/>
              <w:jc w:val="right"/>
            </w:pPr>
            <w:r>
              <w:rPr>
                <w:sz w:val="16"/>
              </w:rPr>
              <w:t xml:space="preserve">0.526886</w:t>
            </w:r>
          </w:p>
        </w:tc>
        <w:tc>
          <w:tcPr/>
          <w:p>
            <w:pPr>
              <w:pStyle w:val="Compact"/>
              <w:spacing w:line="240" w:lineRule="auto" w:after="80"/>
              <w:jc w:val="right"/>
            </w:pPr>
            <w:r>
              <w:rPr>
                <w:sz w:val="16"/>
              </w:rPr>
              <w:t xml:space="preserve">84.54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MYO7A</w:t>
            </w:r>
          </w:p>
        </w:tc>
        <w:tc>
          <w:tcPr/>
          <w:p>
            <w:pPr>
              <w:pStyle w:val="Compact"/>
              <w:spacing w:line="240" w:lineRule="auto" w:after="80"/>
              <w:jc w:val="right"/>
            </w:pPr>
            <w:r>
              <w:rPr>
                <w:sz w:val="16"/>
              </w:rPr>
              <w:t xml:space="preserve">0.671676</w:t>
            </w:r>
          </w:p>
        </w:tc>
        <w:tc>
          <w:tcPr/>
          <w:p>
            <w:pPr>
              <w:pStyle w:val="Compact"/>
              <w:spacing w:line="240" w:lineRule="auto" w:after="80"/>
              <w:jc w:val="right"/>
            </w:pPr>
            <w:r>
              <w:rPr>
                <w:sz w:val="16"/>
              </w:rPr>
              <w:t xml:space="preserve">98.94</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PCDH15</w:t>
            </w:r>
          </w:p>
        </w:tc>
        <w:tc>
          <w:tcPr/>
          <w:p>
            <w:pPr>
              <w:pStyle w:val="Compact"/>
              <w:spacing w:line="240" w:lineRule="auto" w:after="80"/>
              <w:jc w:val="right"/>
            </w:pPr>
            <w:r>
              <w:rPr>
                <w:sz w:val="16"/>
              </w:rPr>
              <w:t xml:space="preserve">0.717960</w:t>
            </w:r>
          </w:p>
        </w:tc>
        <w:tc>
          <w:tcPr/>
          <w:p>
            <w:pPr>
              <w:pStyle w:val="Compact"/>
              <w:spacing w:line="240" w:lineRule="auto" w:after="80"/>
              <w:jc w:val="right"/>
            </w:pPr>
            <w:r>
              <w:rPr>
                <w:sz w:val="16"/>
              </w:rPr>
              <w:t xml:space="preserve">99.72</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HIGH</w:t>
            </w:r>
          </w:p>
        </w:tc>
      </w:tr>
      <w:tr>
        <w:trPr>
          <w:cantSplit/>
        </w:trPr>
        <w:tc>
          <w:tcPr/>
          <w:p>
            <w:pPr>
              <w:pStyle w:val="Compact"/>
              <w:spacing w:line="240" w:lineRule="auto" w:after="80"/>
            </w:pPr>
            <w:r>
              <w:rPr>
                <w:sz w:val="16"/>
              </w:rPr>
              <w:t xml:space="preserve">USH1C</w:t>
            </w:r>
          </w:p>
        </w:tc>
        <w:tc>
          <w:tcPr/>
          <w:p>
            <w:pPr>
              <w:pStyle w:val="Compact"/>
              <w:spacing w:line="240" w:lineRule="auto" w:after="80"/>
              <w:jc w:val="right"/>
            </w:pPr>
            <w:r>
              <w:rPr>
                <w:sz w:val="16"/>
              </w:rPr>
              <w:t xml:space="preserve">0.527641</w:t>
            </w:r>
          </w:p>
        </w:tc>
        <w:tc>
          <w:tcPr/>
          <w:p>
            <w:pPr>
              <w:pStyle w:val="Compact"/>
              <w:spacing w:line="240" w:lineRule="auto" w:after="80"/>
              <w:jc w:val="right"/>
            </w:pPr>
            <w:r>
              <w:rPr>
                <w:sz w:val="16"/>
              </w:rPr>
              <w:t xml:space="preserve">84.67</w:t>
            </w:r>
          </w:p>
        </w:tc>
        <w:tc>
          <w:tcPr/>
          <w:p>
            <w:pPr>
              <w:pStyle w:val="Compact"/>
              <w:spacing w:line="240" w:lineRule="auto" w:after="80"/>
              <w:jc w:val="right"/>
            </w:pPr>
            <w:r>
              <w:rPr>
                <w:sz w:val="16"/>
              </w:rPr>
              <w:t xml:space="preserve">6</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USH1G</w:t>
            </w:r>
          </w:p>
        </w:tc>
        <w:tc>
          <w:tcPr/>
          <w:p>
            <w:pPr>
              <w:pStyle w:val="Compact"/>
              <w:spacing w:line="240" w:lineRule="auto" w:after="80"/>
              <w:jc w:val="right"/>
            </w:pPr>
            <w:r>
              <w:rPr>
                <w:sz w:val="16"/>
              </w:rPr>
              <w:t xml:space="preserve">0.527175</w:t>
            </w:r>
          </w:p>
        </w:tc>
        <w:tc>
          <w:tcPr/>
          <w:p>
            <w:pPr>
              <w:pStyle w:val="Compact"/>
              <w:spacing w:line="240" w:lineRule="auto" w:after="80"/>
              <w:jc w:val="right"/>
            </w:pPr>
            <w:r>
              <w:rPr>
                <w:sz w:val="16"/>
              </w:rPr>
              <w:t xml:space="preserve">84.61</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USH2A</w:t>
            </w:r>
          </w:p>
        </w:tc>
        <w:tc>
          <w:tcPr/>
          <w:p>
            <w:pPr>
              <w:pStyle w:val="Compact"/>
              <w:spacing w:line="240" w:lineRule="auto" w:after="80"/>
              <w:jc w:val="right"/>
            </w:pPr>
            <w:r>
              <w:rPr>
                <w:sz w:val="16"/>
              </w:rPr>
              <w:t xml:space="preserve">0.688831</w:t>
            </w:r>
          </w:p>
        </w:tc>
        <w:tc>
          <w:tcPr/>
          <w:p>
            <w:pPr>
              <w:pStyle w:val="Compact"/>
              <w:spacing w:line="240" w:lineRule="auto" w:after="80"/>
              <w:jc w:val="right"/>
            </w:pPr>
            <w:r>
              <w:rPr>
                <w:sz w:val="16"/>
              </w:rPr>
              <w:t xml:space="preserve">99.29</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Yes</w:t>
            </w:r>
          </w:p>
        </w:tc>
        <w:tc>
          <w:tcPr/>
          <w:p>
            <w:pPr>
              <w:pStyle w:val="Compact"/>
              <w:spacing w:line="240" w:lineRule="auto" w:after="80"/>
            </w:pPr>
            <w:r>
              <w:rPr>
                <w:sz w:val="16"/>
              </w:rPr>
              <w:t xml:space="preserve">MEDIUM</w:t>
            </w:r>
          </w:p>
        </w:tc>
      </w:tr>
      <w:tr>
        <w:trPr>
          <w:cantSplit/>
        </w:trPr>
        <w:tc>
          <w:tcPr/>
          <w:p>
            <w:pPr>
              <w:pStyle w:val="Compact"/>
              <w:spacing w:line="240" w:lineRule="auto" w:after="80"/>
            </w:pPr>
            <w:r>
              <w:rPr>
                <w:sz w:val="16"/>
              </w:rPr>
              <w:t xml:space="preserve">WHRN</w:t>
            </w:r>
          </w:p>
        </w:tc>
        <w:tc>
          <w:tcPr/>
          <w:p>
            <w:pPr>
              <w:pStyle w:val="Compact"/>
              <w:spacing w:line="240" w:lineRule="auto" w:after="80"/>
              <w:jc w:val="right"/>
            </w:pPr>
            <w:r>
              <w:rPr>
                <w:sz w:val="16"/>
              </w:rPr>
              <w:t xml:space="preserve">0.637145</w:t>
            </w:r>
          </w:p>
        </w:tc>
        <w:tc>
          <w:tcPr/>
          <w:p>
            <w:pPr>
              <w:pStyle w:val="Compact"/>
              <w:spacing w:line="240" w:lineRule="auto" w:after="80"/>
              <w:jc w:val="right"/>
            </w:pPr>
            <w:r>
              <w:rPr>
                <w:sz w:val="16"/>
              </w:rPr>
              <w:t xml:space="preserve">97.77</w:t>
            </w:r>
          </w:p>
        </w:tc>
        <w:tc>
          <w:tcPr/>
          <w:p>
            <w:pPr>
              <w:pStyle w:val="Compact"/>
              <w:spacing w:line="240" w:lineRule="auto" w:after="80"/>
              <w:jc w:val="right"/>
            </w:pPr>
            <w:r>
              <w:rPr>
                <w:sz w:val="16"/>
              </w:rPr>
              <w:t xml:space="preserve">5</w:t>
            </w:r>
          </w:p>
        </w:tc>
        <w:tc>
          <w:tcPr/>
          <w:p>
            <w:pPr>
              <w:pStyle w:val="Compact"/>
              <w:spacing w:line="240" w:lineRule="auto" w:after="80"/>
              <w:jc w:val="center"/>
            </w:pPr>
            <w:r>
              <w:rPr>
                <w:sz w:val="16"/>
              </w:rPr>
              <w:t xml:space="preserve">No</w:t>
            </w:r>
          </w:p>
        </w:tc>
        <w:tc>
          <w:tcPr/>
          <w:p>
            <w:pPr>
              <w:pStyle w:val="Compact"/>
              <w:spacing w:line="240" w:lineRule="auto" w:after="80"/>
            </w:pPr>
            <w:r>
              <w:rPr>
                <w:sz w:val="16"/>
              </w:rPr>
              <w:t xml:space="preserve">MEDIUM</w:t>
            </w:r>
          </w:p>
        </w:tc>
      </w:tr>
    </w:tbl>
    <w:p>
      <w:pPr>
        <w:pStyle w:val="FirstParagraph"/>
        <w:keepNext/>
      </w:pPr>
      <w:r>
        <w:t xml:space="preserve">With the gate and minimum three-layer requirement fixed, score thresholds 0.60/0.65/0.70/0.75/0.80 yielded 366/170/62/11/1 HIGH labels, retaining 5/4/2/0/0 Usher and 6/1/1/0/0 SYSCILIA controls. These are descriptive threshold sensitivities, not selection of a revised optimum.</w:t>
      </w:r>
    </w:p>
    <w:bookmarkEnd w:id="32"/>
    <w:bookmarkStart w:id="33" w:name="_aaf6160028a29687ae58875be8d096f2786e4a3"/>
    <w:p>
      <w:pPr>
        <w:pStyle w:val="Heading3"/>
      </w:pPr>
      <w:r>
        <w:t xml:space="preserve">Negative controls</w:t>
      </w:r>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This pattern suggests that the cilia-specific layers provide useful additional specificity for the selected controls, but does not demonstrate general discrimination between disease-relevant and well-studied genes. 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but it cannot recover genes for which such evidence is unavailable and should not be described as a proof of shortlist trustworthiness.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bookmarkEnd w:id="33"/>
    <w:bookmarkStart w:id="34" w:name="_72ad8aa59a790eb59d12ce89e15fc197cd5a79d"/>
    <w:p>
      <w:pPr>
        <w:pStyle w:val="Heading3"/>
      </w:pPr>
      <w:r>
        <w:t xml:space="preserve">Matched unrelated-disease comparators</w:t>
      </w:r>
    </w:p>
    <w:p>
      <w:pPr>
        <w:pStyle w:val="FirstParagraph"/>
      </w:pPr>
      <w:r>
        <w:t xml:space="preserve">Before outcome inspection, we froze a ClinGen Strong/Definitive disease-gene pool [54] with unambiguous HGNC mappings [55] and excluded curated auditory, ocular and ciliary disease/phenotype annotations using HPO [56]. Of 420 eligible genes, 418 had both matching covariates. Three unique comparators per control were assigned by maximum-cardinality/minimum-distance matching on standardized log(1+x)-transformed publication and GO counts, with a 0.75-SD caliper per covariate and no comparator reuse. The frozen 111 pairs comprise 27 comparators for nine Usher controls and 84 for 28 SYSCILIA controls (Supplementary Methods S5).</w:t>
      </w:r>
    </w:p>
    <w:p>
      <w:pPr>
        <w:pStyle w:val="BodyText"/>
      </w:pPr>
      <w:r>
        <w:t xml:space="preserve">Comparator median raw percentiles were 64.21% and 60.30%, respectively, versus control medians 97.77% and 91.93%. Controls outranked comparators in 24/27 Usher pairs (88.9%) and 72/84 SYSCILIA pairs (85.7%). None of the 111 comparators entered HIGH, but 110 already failed the raw ≥0.70 threshold; only</w:t>
      </w:r>
      <w:r>
        <w:t xml:space="preserve"> </w:t>
      </w:r>
      <w:r>
        <w:rPr>
          <w:i/>
          <w:iCs/>
        </w:rPr>
        <w:t xml:space="preserve">GRIA2</w:t>
      </w:r>
      <w:r>
        <w:t xml:space="preserve"> </w:t>
      </w:r>
      <w:r>
        <w:t xml:space="preserve">was removed solely by the gate. Thus this comparison does not independently validate gate specificity. The full 420-gene pool contained three HIGH genes (</w:t>
      </w:r>
      <w:r>
        <w:rPr>
          <w:i/>
          <w:iCs/>
        </w:rPr>
        <w:t xml:space="preserve">CRB2, ATP1A1, DYNC1H1</w:t>
      </w:r>
      <w:r>
        <w:t xml:space="preserve">), retained after outcome inspection; a subsequent source audit identified sensory overlap absent from eligibility annotations. Eligibility-negative disease annotations are not biological negatives, and these counts are not a clinical false-positive rate.</w:t>
      </w:r>
    </w:p>
    <w:p>
      <w:pPr>
        <w:pStyle w:val="BodyText"/>
      </w:pPr>
      <w:r>
        <w:t xml:space="preserve">A post-outcome diagnostic prompted by independent AI-assisted methodological review retained every frozen pair without rematching. Pair-specific common-observed-layer means preserved control advantage in 23/27 and 75/84 pairs. Leaving out animal evidence reduced concordance to 21/27 and 64/84; leaving out literature to 18/27 and 55/84; joint omission to 15/27 (55.6%) and 48/84 (57.1%). This demonstrates dependence on sensory-model/literature features and their curation, rather than independent novel-gene validity. All six leave-one-layer-out results and source-observation balances are reported in S5; common-layer comparisons are pair-dependent scores, not genome-wide ranks or AUCs.</w:t>
      </w:r>
    </w:p>
    <w:bookmarkEnd w:id="34"/>
    <w:bookmarkStart w:id="35" w:name="_febfedb3589c64362c25c41481b869e6b1c2a16"/>
    <w:p>
      <w:pPr>
        <w:pStyle w:val="Heading3"/>
      </w:pPr>
      <w:r>
        <w:t xml:space="preserve">Impact of missing data handling</w:t>
      </w:r>
    </w:p>
    <w:p>
      <w:pPr>
        <w:pStyle w:val="FirstParagraph"/>
      </w:pPr>
      <w:r>
        <w:t xml:space="preserve">To empirically assess the impact of NULL-aware scoring (Figure 6A–B),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artifact,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±1.0 percentile point in the numerical replay). This is a descriptive robustness result for the current data snapshot, not evidence that the same behavior will hold after future source updates.</w:t>
      </w:r>
    </w:p>
    <w:p>
      <w:pPr>
        <w:pStyle w:val="BodyText"/>
      </w:pPr>
      <w:r>
        <w:t xml:space="preserve">All 62 HIGH labels had five or six observed layers (33 and 29, respectively); raising the minimum to four or five therefore changed none, whereas six retained 29. Eight one-layer genes appeared in the raw top 100, all classified LOW. Composite score correlated positively with layer count (Spearman ρ=0.2402; n=20,053). These checks do not establish that sparse means are unbiased. The largest observed layer correlation was annotation–literature (ρ=0.3704; n=19,114), followed by constraint–expression (0.3417) and constraint–literature (0.3341); modest correlations do not imply biological independence (S4).</w:t>
      </w:r>
    </w:p>
    <w:bookmarkEnd w:id="35"/>
    <w:bookmarkStart w:id="36" w:name="_042c959a1edbfb15a27d2d7a19b2a82784fa44e"/>
    <w:p>
      <w:pPr>
        <w:pStyle w:val="Heading3"/>
      </w:pPr>
      <w:r>
        <w:t xml:space="preserve">Sensitivity analysis</w:t>
      </w:r>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On this conditional top-100 correlation, animal-model perturbation was the most sensitive and annotation the least sensitive. Whole-universe correlation was instead lowest for the -0.10 literature perturbation (ρ=0.9598), and top-100 membership was lowest for the -0.10 localization perturbation (59 shared genes).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p>
      <w:pPr>
        <w:pStyle w:val="BodyText"/>
      </w:pPr>
      <w:r>
        <w:t xml:space="preserve">Across equal weights plus the 24 perturbations, whole-universe rank correlations ranged from 0.9598 to 0.9994, yet only 8/25, 17/50 and 41/100 members of the corresponding default shortlists persisted in all 25 configurations. These are frequencies over a finite configuration family, not inclusion probabilities. Equal weighting gave whole-ranking ρ=0.9952 and 86/100 default top-100 members. Six leave-one-layer-out rankings gave ρ=0.8867–0.9928 and 37–83 shared top-100 members. High global correlations therefore coexist with substantial shortlist movement.</w:t>
      </w:r>
    </w:p>
    <w:p>
      <w:pPr>
        <w:pStyle w:val="BodyText"/>
      </w:pPr>
      <w:r>
        <w:t xml:space="preserve">Simple baselines also limit interpretation: the default top 100 recovered two Usher and one SYSCILIA control; animal-only recovered four and eleven, respectively. Expression-only recovered neither group in the top 100; localization-only recovered no Usher and one SYSCILIA control, with only two Usher controls observed in that layer. Literature-only recovered two Usher and 21 SYSCILIA controls in the top 100, with median percentiles 99.13%/99.78% and all nine Usher controls in its top 10%. Thus it gave the strongest SYSCILIA recovery, while animal-only gave the strongest Usher recovery. Disease-term/curation dependence can explain this internal recovery; neither baseline independently predicts novel Usher genes. Logistic-regression weights changed the full ranking substantially (ρ=0.646) and concentrated 90.3% weight on animal evidence; these were not adopted because fitting and evaluation reuse the selected controls (S2).</w:t>
      </w:r>
    </w:p>
    <w:bookmarkEnd w:id="36"/>
    <w:bookmarkStart w:id="37" w:name="_81de00d8d3308929f14ae23f64f7f9e636036eb"/>
    <w:p>
      <w:pPr>
        <w:pStyle w:val="Heading3"/>
      </w:pPr>
      <w:r>
        <w:t xml:space="preserve">Expression dependence</w:t>
      </w:r>
    </w:p>
    <w:p>
      <w:pPr>
        <w:pStyle w:val="FirstParagraph"/>
      </w:pPr>
      <w:r>
        <w:t xml:space="preserve">Expression supplied 15.5–27.5% of the weighted contribution for individual Usher controls. The stored source table contained no usable HPA quantitative-retina or GTEx-retina observations; HPA retinal protein measurements were observed for 112 universe IDs. Census photoreceptor values were observed for 20,078 of 20,116 IDs, including zeros. The production layer therefore does not provide balanced evidence from both affected sensory systems.</w:t>
      </w:r>
    </w:p>
    <w:p>
      <w:pPr>
        <w:pStyle w:val="BodyText"/>
      </w:pPr>
      <w:r>
        <w:t xml:space="preserve">Removing cerebellum and recomputing the implemented within-source transforms yielded whole-ranking ρ=0.9496 and a median absolute shift of 4.92 percentile points. HIGH decreased from 62 to 60 but shared only 37 genes: 25 left and 23 entered.</w:t>
      </w:r>
      <w:r>
        <w:t xml:space="preserve"> </w:t>
      </w:r>
      <w:r>
        <w:rPr>
          <w:i/>
          <w:iCs/>
        </w:rPr>
        <w:t xml:space="preserve">USH2A</w:t>
      </w:r>
      <w:r>
        <w:t xml:space="preserve"> </w:t>
      </w:r>
      <w:r>
        <w:t xml:space="preserve">and</w:t>
      </w:r>
      <w:r>
        <w:t xml:space="preserve"> </w:t>
      </w:r>
      <w:r>
        <w:rPr>
          <w:i/>
          <w:iCs/>
        </w:rPr>
        <w:t xml:space="preserve">MYO7A</w:t>
      </w:r>
      <w:r>
        <w:t xml:space="preserve"> </w:t>
      </w:r>
      <w:r>
        <w:t xml:space="preserve">entered,</w:t>
      </w:r>
      <w:r>
        <w:t xml:space="preserve"> </w:t>
      </w:r>
      <w:r>
        <w:rPr>
          <w:i/>
          <w:iCs/>
        </w:rPr>
        <w:t xml:space="preserve">CDH23</w:t>
      </w:r>
      <w:r>
        <w:t xml:space="preserve"> </w:t>
      </w:r>
      <w:r>
        <w:t xml:space="preserve">left and</w:t>
      </w:r>
      <w:r>
        <w:t xml:space="preserve"> </w:t>
      </w:r>
      <w:r>
        <w:rPr>
          <w:i/>
          <w:iCs/>
        </w:rPr>
        <w:t xml:space="preserve">PCDH15</w:t>
      </w:r>
      <w:r>
        <w:t xml:space="preserve"> </w:t>
      </w:r>
      <w:r>
        <w:t xml:space="preserve">remained. Background-only quantitative observations can still supply restricted-panel Tau when no retinal target is measured. Proxy choice thus affects both scores and shortlist membership; this is not evidence that either version better predicts Usher disease.</w:t>
      </w:r>
    </w:p>
    <w:bookmarkEnd w:id="37"/>
    <w:bookmarkStart w:id="38" w:name="_7cc84473a7797356785ae9a8c7eece2857b3da9"/>
    <w:p>
      <w:pPr>
        <w:pStyle w:val="Heading3"/>
      </w:pPr>
      <w:r>
        <w:t xml:space="preserve">Retrospective temporal evaluation</w:t>
      </w:r>
    </w:p>
    <w:p>
      <w:pPr>
        <w:pStyle w:val="FirstParagraph"/>
      </w:pPr>
      <w:r>
        <w:t xml:space="preserve">The expanded evaluation fixed 45 provisional, AI-assisted literature-screened later target associations before ranking; their clinical eligibility and dates await individual human verification. Forty-one were in the historical protein-coding universe and all were scored; four noncoding genes (</w:t>
      </w:r>
      <w:r>
        <w:rPr>
          <w:i/>
          <w:iCs/>
        </w:rPr>
        <w:t xml:space="preserve">RNU4-2, RNU6-2, RNU6-8, RNU6-9</w:t>
      </w:r>
      <w:r>
        <w:t xml:space="preserve">) remained nonrecoveries in the 45-case end-to-end denominator. The five-layer version scored 19,157 of 19,167 historical genes; adding observed literature evidence, including zero, yielded 19,167 scored genes. These variants reconstruct historical analogues under a disclosed source contract (S6), not the complete modern production inputs.</w:t>
      </w:r>
    </w:p>
    <w:p>
      <w:pPr>
        <w:pStyle w:val="BodyText"/>
      </w:pPr>
      <w:r>
        <w:t xml:space="preserve">Neither co-primary version recovered a principal case in the top 100 or HIGH tier (0/41, and 0/45 end-to-end); the descriptive Wilson 95% interval for 0/41 is 0–8.6%. Five-/six-layer top 1,000 recovery was 2/41 (4.9%)/3/41 (7.3%), and top 10% recovery was 5/41 (12.2%)/6/41 (14.6%) (Table 4; Figure 8). Median ascending score percentiles were 46.23/44.95. The five-layer top 1,000 cases were</w:t>
      </w:r>
      <w:r>
        <w:t xml:space="preserve"> </w:t>
      </w:r>
      <w:r>
        <w:rPr>
          <w:i/>
          <w:iCs/>
        </w:rPr>
        <w:t xml:space="preserve">TP73</w:t>
      </w:r>
      <w:r>
        <w:t xml:space="preserve"> </w:t>
      </w:r>
      <w:r>
        <w:t xml:space="preserve">(662) and</w:t>
      </w:r>
      <w:r>
        <w:t xml:space="preserve"> </w:t>
      </w:r>
      <w:r>
        <w:rPr>
          <w:i/>
          <w:iCs/>
        </w:rPr>
        <w:t xml:space="preserve">PLCG1</w:t>
      </w:r>
      <w:r>
        <w:t xml:space="preserve"> </w:t>
      </w:r>
      <w:r>
        <w:t xml:space="preserve">(879); the six-layer cases were</w:t>
      </w:r>
      <w:r>
        <w:t xml:space="preserve"> </w:t>
      </w:r>
      <w:r>
        <w:rPr>
          <w:i/>
          <w:iCs/>
        </w:rPr>
        <w:t xml:space="preserve">PLCG1</w:t>
      </w:r>
      <w:r>
        <w:t xml:space="preserve"> </w:t>
      </w:r>
      <w:r>
        <w:t xml:space="preserve">(474),</w:t>
      </w:r>
      <w:r>
        <w:t xml:space="preserve"> </w:t>
      </w:r>
      <w:r>
        <w:rPr>
          <w:i/>
          <w:iCs/>
        </w:rPr>
        <w:t xml:space="preserve">TP73</w:t>
      </w:r>
      <w:r>
        <w:t xml:space="preserve"> </w:t>
      </w:r>
      <w:r>
        <w:t xml:space="preserve">(629) and</w:t>
      </w:r>
      <w:r>
        <w:t xml:space="preserve"> </w:t>
      </w:r>
      <w:r>
        <w:rPr>
          <w:i/>
          <w:iCs/>
        </w:rPr>
        <w:t xml:space="preserve">SAXO6</w:t>
      </w:r>
      <w:r>
        <w:t xml:space="preserve"> </w:t>
      </w:r>
      <w:r>
        <w:t xml:space="preserve">(historical</w:t>
      </w:r>
      <w:r>
        <w:t xml:space="preserve"> </w:t>
      </w:r>
      <w:r>
        <w:rPr>
          <w:i/>
          <w:iCs/>
        </w:rPr>
        <w:t xml:space="preserve">MDM1</w:t>
      </w:r>
      <w:r>
        <w:t xml:space="preserve">; 646).</w:t>
      </w:r>
      <w:r>
        <w:t xml:space="preserve"> </w:t>
      </w:r>
      <w:r>
        <w:rPr>
          <w:i/>
          <w:iCs/>
        </w:rPr>
        <w:t xml:space="preserve">PLCG1</w:t>
      </w:r>
      <w:r>
        <w:t xml:space="preserve"> </w:t>
      </w:r>
      <w:r>
        <w:t xml:space="preserve">represents a first target-domain association after another phenotype, not first-ever human disease association.</w:t>
      </w:r>
    </w:p>
    <w:p>
      <w:pPr>
        <w:pStyle w:val="BodyText"/>
      </w:pPr>
      <w:r>
        <w:t xml:space="preserve">Genome-wide historical HIGH counts were zero/five in the five-/six-layer versions, making principal HIGH nonrecovery weakly informative as an independent endpoint. GO-only annotation capped at 0.5, omitted undated compendia and altered expression semantics affect score scale. All 41 scored principal cases had at least four observed weighted families, but none met composite &gt;=0.7 (maximum 0.506/0.562). Thus zero HIGH recovery cannot be attributed solely to the gate or family-count requirement. Only one case had direct historical HPA signal and three met the animal-Q75 gate. No principal case reached HIGH under any of the 23 schemes. Single-localization and localization-weight-omission sensitivities each recovered one case at top 100; these outcomes were retained without promoting those schemes to primary status. Five-versus-six full-ranking correlation was 0.870708, with only 57 genes shared in their full top 100 lists. Previously inspected Usher controls had top-100 recovery 0/9 versus 2/9 and top-1,000 recovery 3/9 versus 5/9; SYSCILIA controls had 0/28 versus 1/28 and 7/28 versus 13/28. They are reference groups, not untouched tests. In category A (36 in-universe genes; no earlier human disease report located), top-1,000 recovery was 1/36 versus 2/36 and top-10% recovery was 4/36 in both. Category B (five first-target associations after another phenotype) had top-1,000 recovery 1/5 in both. Exploratory candidates, unresolved novelty and phenotype expansions were reported separately (Additional file 12).</w:t>
      </w:r>
    </w:p>
    <w:p>
      <w:pPr>
        <w:pStyle w:val="BodyText"/>
        <w:keepNext/>
      </w:pPr>
      <w:r>
        <w:rPr>
          <w:b/>
          <w:bCs/>
        </w:rPr>
        <w:t xml:space="preserve">Table 4. Later target-association recovery under historical analogues.</w:t>
      </w:r>
      <w:r>
        <w:t xml:space="preserve"> </w:t>
      </w:r>
      <w:r>
        <w:t xml:space="preserve">In-universe counts use 41 principal cases; end-to-end counts retain all 45. The four out-of-universe noncoding genes fail every endpoint. Top-percent cutoffs are rounded upward within each scheme’s scored universe.</w:t>
      </w:r>
    </w:p>
    <w:tbl>
      <w:tblPr>
        <w:tblStyle w:val="Table"/>
        <w:tblW w:type="pct" w:w="5000"/>
        <w:tblLayout w:type="autofit"/>
        <w:tblLook w:firstRow="1" w:lastRow="0" w:firstColumn="0" w:lastColumn="0" w:noHBand="0" w:noVBand="0" w:val="0020"/>
      </w:tblPr>
      <w:tblGrid>
        <w:gridCol w:w="1250"/>
        <w:gridCol w:w="1667"/>
        <w:gridCol w:w="1667"/>
        <w:gridCol w:w="1667"/>
        <w:gridCol w:w="1667"/>
      </w:tblGrid>
      <w:tr>
        <w:trPr>
          <w:tblHeader w:val="on"/>
          <w:cantSplit/>
          <w:tblHeader/>
        </w:trPr>
        <w:tc>
          <w:tcPr/>
          <w:p>
            <w:pPr>
              <w:pStyle w:val="Compact"/>
              <w:spacing w:line="240" w:lineRule="auto" w:after="80"/>
            </w:pPr>
            <w:r>
              <w:rPr>
                <w:sz w:val="18"/>
              </w:rPr>
              <w:t xml:space="preserve">Endpoint</w:t>
            </w:r>
          </w:p>
        </w:tc>
        <w:tc>
          <w:tcPr/>
          <w:p>
            <w:pPr>
              <w:pStyle w:val="Compact"/>
              <w:spacing w:line="240" w:lineRule="auto" w:after="80"/>
              <w:jc w:val="right"/>
            </w:pPr>
            <w:r>
              <w:rPr>
                <w:sz w:val="18"/>
              </w:rPr>
              <w:t xml:space="preserve">Five layers, in universe</w:t>
            </w:r>
          </w:p>
        </w:tc>
        <w:tc>
          <w:tcPr/>
          <w:p>
            <w:pPr>
              <w:pStyle w:val="Compact"/>
              <w:spacing w:line="240" w:lineRule="auto" w:after="80"/>
              <w:jc w:val="right"/>
            </w:pPr>
            <w:r>
              <w:rPr>
                <w:sz w:val="18"/>
              </w:rPr>
              <w:t xml:space="preserve">Six layers, in universe</w:t>
            </w:r>
          </w:p>
        </w:tc>
        <w:tc>
          <w:tcPr/>
          <w:p>
            <w:pPr>
              <w:pStyle w:val="Compact"/>
              <w:spacing w:line="240" w:lineRule="auto" w:after="80"/>
              <w:jc w:val="right"/>
            </w:pPr>
            <w:r>
              <w:rPr>
                <w:sz w:val="18"/>
              </w:rPr>
              <w:t xml:space="preserve">Five layers, all eligible</w:t>
            </w:r>
          </w:p>
        </w:tc>
        <w:tc>
          <w:tcPr/>
          <w:p>
            <w:pPr>
              <w:pStyle w:val="Compact"/>
              <w:spacing w:line="240" w:lineRule="auto" w:after="80"/>
              <w:jc w:val="right"/>
            </w:pPr>
            <w:r>
              <w:rPr>
                <w:sz w:val="18"/>
              </w:rPr>
              <w:t xml:space="preserve">Six layers, all eligible</w:t>
            </w:r>
          </w:p>
        </w:tc>
      </w:tr>
      <w:tr>
        <w:trPr>
          <w:cantSplit/>
        </w:trPr>
        <w:tc>
          <w:tcPr/>
          <w:p>
            <w:pPr>
              <w:pStyle w:val="Compact"/>
              <w:spacing w:line="240" w:lineRule="auto" w:after="80"/>
            </w:pPr>
            <w:r>
              <w:rPr>
                <w:sz w:val="18"/>
              </w:rPr>
              <w:t xml:space="preserve">Top100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Top500</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1/41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1/45</w:t>
            </w:r>
          </w:p>
        </w:tc>
      </w:tr>
      <w:tr>
        <w:trPr>
          <w:cantSplit/>
        </w:trPr>
        <w:tc>
          <w:tcPr/>
          <w:p>
            <w:pPr>
              <w:pStyle w:val="Compact"/>
              <w:spacing w:line="240" w:lineRule="auto" w:after="80"/>
            </w:pPr>
            <w:r>
              <w:rPr>
                <w:sz w:val="18"/>
              </w:rPr>
              <w:t xml:space="preserve">Top1000</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r>
        <w:trPr>
          <w:cantSplit/>
        </w:trPr>
        <w:tc>
          <w:tcPr/>
          <w:p>
            <w:pPr>
              <w:pStyle w:val="Compact"/>
              <w:spacing w:line="240" w:lineRule="auto" w:after="80"/>
            </w:pPr>
            <w:r>
              <w:rPr>
                <w:sz w:val="18"/>
              </w:rPr>
              <w:t xml:space="preserve">Top5%</w:t>
            </w:r>
          </w:p>
        </w:tc>
        <w:tc>
          <w:tcPr/>
          <w:p>
            <w:pPr>
              <w:pStyle w:val="Compact"/>
              <w:spacing w:line="240" w:lineRule="auto" w:after="80"/>
              <w:jc w:val="right"/>
            </w:pPr>
            <w:r>
              <w:rPr>
                <w:sz w:val="18"/>
              </w:rPr>
              <w:t xml:space="preserve">2/41</w:t>
            </w:r>
          </w:p>
        </w:tc>
        <w:tc>
          <w:tcPr/>
          <w:p>
            <w:pPr>
              <w:pStyle w:val="Compact"/>
              <w:spacing w:line="240" w:lineRule="auto" w:after="80"/>
              <w:jc w:val="right"/>
            </w:pPr>
            <w:r>
              <w:rPr>
                <w:sz w:val="18"/>
              </w:rPr>
              <w:t xml:space="preserve">3/41</w:t>
            </w:r>
          </w:p>
        </w:tc>
        <w:tc>
          <w:tcPr/>
          <w:p>
            <w:pPr>
              <w:pStyle w:val="Compact"/>
              <w:spacing w:line="240" w:lineRule="auto" w:after="80"/>
              <w:jc w:val="right"/>
            </w:pPr>
            <w:r>
              <w:rPr>
                <w:sz w:val="18"/>
              </w:rPr>
              <w:t xml:space="preserve">2/45</w:t>
            </w:r>
          </w:p>
        </w:tc>
        <w:tc>
          <w:tcPr/>
          <w:p>
            <w:pPr>
              <w:pStyle w:val="Compact"/>
              <w:spacing w:line="240" w:lineRule="auto" w:after="80"/>
              <w:jc w:val="right"/>
            </w:pPr>
            <w:r>
              <w:rPr>
                <w:sz w:val="18"/>
              </w:rPr>
              <w:t xml:space="preserve">3/45</w:t>
            </w:r>
          </w:p>
        </w:tc>
      </w:tr>
      <w:tr>
        <w:trPr>
          <w:cantSplit/>
        </w:trPr>
        <w:tc>
          <w:tcPr/>
          <w:p>
            <w:pPr>
              <w:pStyle w:val="Compact"/>
              <w:spacing w:line="240" w:lineRule="auto" w:after="80"/>
            </w:pPr>
            <w:r>
              <w:rPr>
                <w:sz w:val="18"/>
              </w:rPr>
              <w:t xml:space="preserve">Top10%</w:t>
            </w:r>
          </w:p>
        </w:tc>
        <w:tc>
          <w:tcPr/>
          <w:p>
            <w:pPr>
              <w:pStyle w:val="Compact"/>
              <w:spacing w:line="240" w:lineRule="auto" w:after="80"/>
              <w:jc w:val="right"/>
            </w:pPr>
            <w:r>
              <w:rPr>
                <w:sz w:val="18"/>
              </w:rPr>
              <w:t xml:space="preserve">5/41</w:t>
            </w:r>
          </w:p>
        </w:tc>
        <w:tc>
          <w:tcPr/>
          <w:p>
            <w:pPr>
              <w:pStyle w:val="Compact"/>
              <w:spacing w:line="240" w:lineRule="auto" w:after="80"/>
              <w:jc w:val="right"/>
            </w:pPr>
            <w:r>
              <w:rPr>
                <w:sz w:val="18"/>
              </w:rPr>
              <w:t xml:space="preserve">6/41</w:t>
            </w:r>
          </w:p>
        </w:tc>
        <w:tc>
          <w:tcPr/>
          <w:p>
            <w:pPr>
              <w:pStyle w:val="Compact"/>
              <w:spacing w:line="240" w:lineRule="auto" w:after="80"/>
              <w:jc w:val="right"/>
            </w:pPr>
            <w:r>
              <w:rPr>
                <w:sz w:val="18"/>
              </w:rPr>
              <w:t xml:space="preserve">5/45</w:t>
            </w:r>
          </w:p>
        </w:tc>
        <w:tc>
          <w:tcPr/>
          <w:p>
            <w:pPr>
              <w:pStyle w:val="Compact"/>
              <w:spacing w:line="240" w:lineRule="auto" w:after="80"/>
              <w:jc w:val="right"/>
            </w:pPr>
            <w:r>
              <w:rPr>
                <w:sz w:val="18"/>
              </w:rPr>
              <w:t xml:space="preserve">6/45</w:t>
            </w:r>
          </w:p>
        </w:tc>
      </w:tr>
      <w:tr>
        <w:trPr>
          <w:cantSplit/>
        </w:trPr>
        <w:tc>
          <w:tcPr/>
          <w:p>
            <w:pPr>
              <w:pStyle w:val="Compact"/>
              <w:spacing w:line="240" w:lineRule="auto" w:after="80"/>
            </w:pPr>
            <w:r>
              <w:rPr>
                <w:sz w:val="18"/>
              </w:rPr>
              <w:t xml:space="preserve">HIGH</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0/41</w:t>
            </w:r>
          </w:p>
        </w:tc>
        <w:tc>
          <w:tcPr/>
          <w:p>
            <w:pPr>
              <w:pStyle w:val="Compact"/>
              <w:spacing w:line="240" w:lineRule="auto" w:after="80"/>
              <w:jc w:val="right"/>
            </w:pPr>
            <w:r>
              <w:rPr>
                <w:sz w:val="18"/>
              </w:rPr>
              <w:t xml:space="preserve">0/45</w:t>
            </w:r>
          </w:p>
        </w:tc>
        <w:tc>
          <w:tcPr/>
          <w:p>
            <w:pPr>
              <w:pStyle w:val="Compact"/>
              <w:spacing w:line="240" w:lineRule="auto" w:after="80"/>
              <w:jc w:val="right"/>
            </w:pPr>
            <w:r>
              <w:rPr>
                <w:sz w:val="18"/>
              </w:rPr>
              <w:t xml:space="preserve">0/45</w:t>
            </w:r>
          </w:p>
        </w:tc>
      </w:tr>
    </w:tbl>
    <w:p>
      <w:pPr>
        <w:pStyle w:val="FirstParagraph"/>
        <w:keepNext/>
      </w:pPr>
      <w:r>
        <w:t xml:space="preserve">An earlier four-layer pilot used three manually selected examples (</w:t>
      </w:r>
      <w:r>
        <w:rPr>
          <w:i/>
          <w:iCs/>
        </w:rPr>
        <w:t xml:space="preserve">CEP162, CFAP20, LRRC45</w:t>
      </w:r>
      <w:r>
        <w:t xml:space="preserve">), ranked 8,289/11,004/253, with unavailable animal/literature and no historical HIGH evaluation. Those previously inspected examples were not reused as principal cases in the expanded assessment. Its original protocol and outputs remain preserved, with subsequent date clarifications documented in S6.</w:t>
      </w:r>
    </w:p>
    <w:bookmarkEnd w:id="38"/>
    <w:bookmarkStart w:id="39" w:name="_21a80b4352639e137c7059634120f91eba40a1f"/>
    <w:p>
      <w:pPr>
        <w:pStyle w:val="Heading3"/>
      </w:pPr>
      <w:r>
        <w:t xml:space="preserve">Old-versus-new impact audit</w:t>
      </w:r>
    </w:p>
    <w:p>
      <w:pPr>
        <w:pStyle w:val="FirstParagraph"/>
      </w:pPr>
      <w:r>
        <w:t xml:space="preserve">The pre-rebuild artifact was compared with the current output only to quantify shortlist impact. HIGH overlap: 54 genes; old-only: 14; new-only: 8; shared-candidate rank Spearman correlation: 0.9881. The pre-rebuild run contained mismatched cached evidence and was therefore contaminated and is not treated as a valid benchmark or validation reference. These figures are an audit of artifact change, not evidence that either run is biologically superior.</w:t>
      </w:r>
    </w:p>
    <w:bookmarkEnd w:id="39"/>
    <w:bookmarkStart w:id="40" w:name="_00d0627865898814df76d404307b1d210ef67d4"/>
    <w:p>
      <w:pPr>
        <w:pStyle w:val="Heading3"/>
      </w:pPr>
      <w:r>
        <w:t xml:space="preserve">Comparison with mantis-ml</w:t>
      </w:r>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Because the original stochastic procedure was not rerun and its complete training configuration is not available in this repository, this is an exploratory cached-output comparison rather than an independently reproducible benchmark.</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This is not a like-for-like estimate of novel-gene performance: mantis-ml is a seed-based learner, and 33 of the 35 shared controls were used as training seeds. Only two controls were not mantis-ml seeds, too few to support a meaningful held-out comparison. UsherPipe uses no training labels or similarity seeds, but its curated localization and literature annotations reuse known biology and its gate was control-calibrated; recovery remains an internal diagnostic.</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9). Both shared-universe medians remain in the upper tail. The difference should therefore be interpreted as a limitation of the transparent six-layer score in this negative-control set, not as proof that either tool separates ubiquitous genes from disease candidates.</w:t>
      </w:r>
    </w:p>
    <w:p>
      <w:pPr>
        <w:pStyle w:val="BodyText"/>
      </w:pPr>
      <w:r>
        <w:t xml:space="preserve">The cached benchmark describes different tool designs and reuse of known labels; it establishes no superiority. The separate temporal assessment does not compare mantis-ml predictions, and its weak later-case recovery limits any inference that seed-free ranking reliably discovers new disease genes. A fair head-to-head comparison with harmonized sources and untouched disease labels remains unperformed.</w:t>
      </w:r>
    </w:p>
    <w:p>
      <w:r>
        <w:pict>
          <v:rect style="width:0;height:1.5pt" o:hralign="center" o:hrstd="t" o:hr="t"/>
        </w:pict>
      </w:r>
    </w:p>
    <w:bookmarkEnd w:id="40"/>
    <w:bookmarkEnd w:id="41"/>
    <w:bookmarkStart w:id="47" w:name="_discussion"/>
    <w:p>
      <w:pPr>
        <w:pStyle w:val="Heading2"/>
      </w:pPr>
      <w:r>
        <w:t xml:space="preserve">Discussion</w:t>
      </w:r>
    </w:p>
    <w:bookmarkStart w:id="42" w:name="_86623667b9fc4b39fb3fc20b05d66db2167cd40"/>
    <w:p>
      <w:pPr>
        <w:pStyle w:val="Heading3"/>
      </w:pPr>
      <w:r>
        <w:t xml:space="preserve">Comparison with existing approaches</w:t>
      </w:r>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the protein-coding universe without disease similarity seeds. Unlike patient-variant-centric tools (Exomiser, AMELIE), it operates without patient sequencing data, enabling hypothesis generation prior to cohort studies. And unlike cilia-specific databases (CiliaCarta, CilioGenics), it combines retina/proxy expression and genetic constraint with cilia/sensory evidence to organize hypotheses for follow-up. These additions do not establish Usher-specific discrimination.</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w:t>
      </w:r>
      <w:r>
        <w:t xml:space="preserve"> </w:t>
      </w:r>
      <w:r>
        <w:t xml:space="preserve">“Comparison with mantis-ml”</w:t>
      </w:r>
      <w:r>
        <w:t xml:space="preserve">), while recognizing that the seed-based comparator has limited held-out evaluation in this disease space. The comparisons against the remaining tools in Table 1 are conceptual, grounded in documented tool design.</w:t>
      </w:r>
    </w:p>
    <w:bookmarkEnd w:id="42"/>
    <w:bookmarkStart w:id="43" w:name="_6466f29f36671615520eefdfd5f07f7a082e33f"/>
    <w:p>
      <w:pPr>
        <w:pStyle w:val="Heading3"/>
      </w:pPr>
      <w:r>
        <w:t xml:space="preserve">The NULL-aware design</w:t>
      </w:r>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bookmarkEnd w:id="43"/>
    <w:bookmarkStart w:id="44" w:name="_67e075ea28d5fb60c9f974a3d5321495e19f02a"/>
    <w:p>
      <w:pPr>
        <w:pStyle w:val="Heading3"/>
      </w:pPr>
      <w:r>
        <w:t xml:space="preserve">Optional refinement versus exclusion</w:t>
      </w:r>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bookmarkEnd w:id="44"/>
    <w:bookmarkStart w:id="45" w:name="_limitations"/>
    <w:p>
      <w:pPr>
        <w:pStyle w:val="Heading3"/>
      </w:pPr>
      <w:r>
        <w:t xml:space="preserve">Limitations</w:t>
      </w:r>
    </w:p>
    <w:p>
      <w:pPr>
        <w:pStyle w:val="FirstParagraph"/>
      </w:pPr>
      <w:r>
        <w:t xml:space="preserve">The raw composite blends general importance and research coverage with cilia/sensory evidence. Constraint and annotation depth are not Usher-specific; publication-volume normalization cannot remove research-intensity bias. The housekeeping median of 94.8% exposes this limitation. The gate changes HIGH labels without repairing raw ranks and was calibrated on the same controls used for internal recovery. HIGH is therefore a heuristic priority tier, not a calibrated confidence estimate. Independently validated novel Usher-gene discovery has not been demonstrated.</w:t>
      </w:r>
    </w:p>
    <w:p>
      <w:pPr>
        <w:pStyle w:val="BodyText"/>
      </w:pPr>
      <w:r>
        <w:t xml:space="preserve">The matched comparison balances only two recorded covariates in a well-curated disease-gene pool. Controls and comparators differ in localization coverage and layer counts; common-layer diagnostics retain separation, but joint animal/literature removal markedly weakens it. Eligibility exclusions also target sensory annotations related to the score itself, and residual sensory overlap remained. This study does not isolate disease specificity from all ascertainment mechanisms, establish clinical specificity, or validate the HIGH threshold independently.</w:t>
      </w:r>
    </w:p>
    <w:p>
      <w:pPr>
        <w:pStyle w:val="BodyText"/>
      </w:pPr>
      <w:r>
        <w:t xml:space="preserve">NULL preservation applies between layers; some within-layer absent subcomponents contribute zero. Available-layer averaging avoids an automatic missingness penalty but does not quantify uncertainty or guarantee comparability across evidence patterns. The historical pilot illustrates sparse high-ranking genes and restricted tissue coverage. The expanded temporal analogues also showed limited later-association recovery: no principal case entered top 100 or HIGH, and median percentiles were below 50. Recovery is descriptively near random ordering: expected top-1,000 counts are approximately 2.14/41 and expected top-10% counts 4.1/41, compared with 2/3 and 5/6 observed. This is an arithmetic reference, not a tested randomization null or a formal below-chance result. It does not demonstrate broad novel-gene prioritization. Partial GO, native ortholog links, retinal raw-UMI substitution and incomplete historical localization differ from production; the results cannot be generalized as an exact test of its modern performance. Modern text queried with pre-cutoff publication/index dates retains residual temporal uncertainty. Catalog ascertainment is non-exhaustive: 895 unconfirmed or unnominated records remain uncertain, not clinical negatives. Later sensory or ciliary associations are not newly discovered Usher associations, and first-target evidence after another phenotype is reported separately. The post-cutoff development of the score/gate prevents a prospective interpretation. Case/date eligibility was AI-assisted, not blinded to accessible modern workspace outputs, and awaits individual human verification; clinical ascertainment error remains possible. These limits remain despite rules and cases being fixed before new score calculation.</w:t>
      </w:r>
    </w:p>
    <w:p>
      <w:pPr>
        <w:pStyle w:val="BodyText"/>
      </w:pPr>
      <w:r>
        <w:t xml:space="preserve">Production expression excludes cochlear hair cells. Genes active in a narrow developmental window or primarily in auditory cells may be disadvantaged if retinal, proxy, animal or literature evidence is limited. Broad Census coverage including zeros does not resolve this gap. The fetal GSE135913 views are optional annotations in an already selected HIGH group, not independent validation; low fetal expression cannot exclude adult function. The cerebellum-removal analysis exposes meaningful proxy dependence and motivates future author-curated auditory atlases.</w:t>
      </w:r>
    </w:p>
    <w:p>
      <w:pPr>
        <w:pStyle w:val="BodyText"/>
      </w:pPr>
      <w:r>
        <w:t xml:space="preserve">Finally, weighting materially changes shortlist membership despite high global correlations. Animal-only and literature-only baselines better recover the selected Usher and SYSCILIA controls, respectively; logistic fitting risks over-specialization and control reuse. The mantis-ml comparison also reuses 33/35 training seeds and cached predictions. These diagnostics support transparent hypothesis organization, without establishing optimal weights or superiority for novel-gene discovery.</w:t>
      </w:r>
    </w:p>
    <w:bookmarkEnd w:id="45"/>
    <w:bookmarkStart w:id="46" w:name="_707010c892ad289977b58d18b7386c9f8c65454"/>
    <w:p>
      <w:pPr>
        <w:pStyle w:val="Heading3"/>
      </w:pPr>
      <w:r>
        <w:t xml:space="preserve">Future directions</w:t>
      </w:r>
    </w:p>
    <w:p>
      <w:pPr>
        <w:pStyle w:val="FirstParagraph"/>
      </w:pPr>
      <w:r>
        <w:t xml:space="preserve">Promising extensions include protein-protein interaction network analysis (leveraging the Usher protein interactome [57]),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bookmarkEnd w:id="46"/>
    <w:bookmarkEnd w:id="47"/>
    <w:bookmarkStart w:id="48" w:name="_a3efa5e942983b9cd4a27220ab1abcd034beddf"/>
    <w:p>
      <w:pPr>
        <w:pStyle w:val="Heading2"/>
      </w:pPr>
      <w:r>
        <w:t xml:space="preserve">Conclusions</w:t>
      </w:r>
    </w:p>
    <w:p>
      <w:pPr>
        <w:pStyle w:val="FirstParagraph"/>
      </w:pPr>
      <w:r>
        <w:t xml:space="preserve">UsherPipe provides a transparent, NULL-aware ranking of cilia/sensory-related hypotheses for follow-up in the Usher context. Nine Usher and 28 SYSCILIA controls had median raw percentiles of 97.77% and 91.93%, with only two and one classified HIGH. Specificity, missingness and weight/proxy sensitivities limit interpretation. The 62-gene HIGH tier is a control-calibrated heuristic shortlist; the retrospective temporal analogues showed weak later-association recovery and do not establish reliable novel disease-gene prediction. Functional and clinical validation remain necessary. The repository [58] and Additional files 11/12 provide derived replay inputs, protocols and the complete diagnostic output families.</w:t>
      </w:r>
    </w:p>
    <w:p>
      <w:r>
        <w:pict>
          <v:rect style="width:0;height:1.5pt" o:hralign="center" o:hrstd="t" o:hr="t"/>
        </w:pict>
      </w:r>
    </w:p>
    <w:bookmarkEnd w:id="48"/>
    <w:bookmarkStart w:id="49" w:name="_e1353f398eec98604d2a131b1900f3298b196be"/>
    <w:p>
      <w:pPr>
        <w:pStyle w:val="Heading2"/>
      </w:pPr>
      <w:r>
        <w:t xml:space="preserve">List of abbreviations</w:t>
      </w:r>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bookmarkEnd w:id="49"/>
    <w:bookmarkStart w:id="58" w:name="_declarations"/>
    <w:p>
      <w:pPr>
        <w:pStyle w:val="Heading2"/>
      </w:pPr>
      <w:r>
        <w:t xml:space="preserve">Declarations</w:t>
      </w:r>
    </w:p>
    <w:bookmarkStart w:id="50" w:name="_d182db0490b2de20bd2b4e4cc8698599182035f"/>
    <w:p>
      <w:pPr>
        <w:pStyle w:val="Heading3"/>
      </w:pPr>
      <w:r>
        <w:t xml:space="preserve">Ethics approval and consent to participate</w:t>
      </w:r>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bookmarkEnd w:id="50"/>
    <w:bookmarkStart w:id="51" w:name="_84344d093a8825a4b6ef5ff428e967a69e0670e"/>
    <w:p>
      <w:pPr>
        <w:pStyle w:val="Heading3"/>
      </w:pPr>
      <w:r>
        <w:t xml:space="preserve">Consent for publication</w:t>
      </w:r>
    </w:p>
    <w:p>
      <w:pPr>
        <w:pStyle w:val="FirstParagraph"/>
      </w:pPr>
      <w:r>
        <w:t xml:space="preserve">No individual-level data, personal details, images, or videos are included in this manuscript; therefore, consent for publication is not applicable.</w:t>
      </w:r>
    </w:p>
    <w:bookmarkEnd w:id="51"/>
    <w:bookmarkStart w:id="52" w:name="_9a573444a22e2be6eba2934793359c7df890c01"/>
    <w:p>
      <w:pPr>
        <w:pStyle w:val="Heading3"/>
      </w:pPr>
      <w:r>
        <w:t xml:space="preserve">Availability of data and materials</w:t>
      </w:r>
    </w:p>
    <w:p>
      <w:pPr>
        <w:pStyle w:val="FirstParagraph"/>
      </w:pPr>
      <w:r>
        <w:t xml:space="preserve">The analysis uses publicly available resources: mygene.info, Ensembl, gnomAD (including historical v2.1.1), GO, UniProt, KEGG, Reactome, ClinGen, HGNC, HPO, Europe PMC, GSE135913, GTEx, the Human Protein Atlas, CELLxGENE Census, NCBI gene2pubmed/PubMed, HCOP, MGI, ZFIN, IMPC, the SYSCILIA SCGSv2 resource, RetNet, PanelApp and original GEO retinal datasets GSE137537/GSE137846. The code, generated tables, figures, available provenance and derived numerical replay inputs are available in the UsherPipe repository. Numerical replay is distinguished from complete raw-source regeneration (Supplementary Methods S7). Additional file 11 contains revision diagnostics and derived replay inputs; Additional file 12 contains the temporal protocols, clinical ledger, historical components, full results and source hashes. Large third-party raw archives and local caches are not part of these bundles. An exact-version archive DOI has not been minted; the identified Git checkpoints and delivered-file hashes specify the versions.</w:t>
      </w:r>
    </w:p>
    <w:p>
      <w:pPr>
        <w:pStyle w:val="Compact"/>
        <w:numPr>
          <w:ilvl w:val="0"/>
          <w:numId w:val="1001"/>
        </w:numPr>
      </w:pPr>
      <w:r>
        <w:rPr>
          <w:b/>
          <w:bCs/>
        </w:rPr>
        <w:t xml:space="preserve">Repository:</w:t>
      </w:r>
      <w:r>
        <w:t xml:space="preserve"> </w:t>
      </w:r>
      <w:r>
        <w:t xml:space="preserve">https://github.com/gbanyan/usher-exploring</w:t>
      </w:r>
    </w:p>
    <w:p>
      <w:pPr>
        <w:pStyle w:val="Compact"/>
        <w:numPr>
          <w:ilvl w:val="0"/>
          <w:numId w:val="1001"/>
        </w:numPr>
      </w:pPr>
      <w:r>
        <w:rPr>
          <w:b/>
          <w:bCs/>
        </w:rPr>
        <w:t xml:space="preserve">Fixed author-review release:</w:t>
      </w:r>
      <w:r>
        <w:t xml:space="preserve"> </w:t>
      </w:r>
      <w:r>
        <w:t xml:space="preserve">https://github.com/gbanyan/usher-exploring/tree/major-revision-author-review-20261007</w:t>
      </w:r>
    </w:p>
    <w:p>
      <w:pPr>
        <w:pStyle w:val="Compact"/>
        <w:numPr>
          <w:ilvl w:val="0"/>
          <w:numId w:val="1001"/>
        </w:numPr>
      </w:pPr>
      <w:r>
        <w:rPr>
          <w:b/>
          <w:bCs/>
        </w:rPr>
        <w:t xml:space="preserve">Conservative revision checkpoint:</w:t>
      </w:r>
      <w:r>
        <w:t xml:space="preserve"> </w:t>
      </w:r>
      <w:r>
        <w:t xml:space="preserve">https://github.com/gbanyan/usher-exploring/tree/0e1634a</w:t>
      </w:r>
    </w:p>
    <w:p>
      <w:pPr>
        <w:pStyle w:val="Compact"/>
        <w:numPr>
          <w:ilvl w:val="0"/>
          <w:numId w:val="1001"/>
        </w:numPr>
      </w:pPr>
      <w:r>
        <w:rPr>
          <w:b/>
          <w:bCs/>
        </w:rPr>
        <w:t xml:space="preserve">Expanded temporal analysis version:</w:t>
      </w:r>
      <w:r>
        <w:t xml:space="preserve"> </w:t>
      </w:r>
      <w:r>
        <w:t xml:space="preserve">https://github.com/gbanyan/usher-exploring/tree/736e16f</w:t>
      </w:r>
    </w:p>
    <w:p>
      <w:pPr>
        <w:pStyle w:val="Compact"/>
        <w:numPr>
          <w:ilvl w:val="0"/>
          <w:numId w:val="1001"/>
        </w:numPr>
      </w:pPr>
      <w:r>
        <w:rPr>
          <w:b/>
          <w:bCs/>
        </w:rPr>
        <w:t xml:space="preserve">Original submitted public code/data version:</w:t>
      </w:r>
      <w:r>
        <w:t xml:space="preserve"> </w:t>
      </w:r>
      <w:r>
        <w:t xml:space="preserve">https://github.com/gbanyan/usher-exploring/tree/4cf8c5b</w:t>
      </w:r>
    </w:p>
    <w:p>
      <w:pPr>
        <w:pStyle w:val="Compact"/>
        <w:numPr>
          <w:ilvl w:val="0"/>
          <w:numId w:val="1001"/>
        </w:numPr>
      </w:pPr>
      <w:r>
        <w:rPr>
          <w:b/>
          <w:bCs/>
        </w:rPr>
        <w:t xml:space="preserve">Preserved original submission files:</w:t>
      </w:r>
      <w:r>
        <w:t xml:space="preserve"> </w:t>
      </w:r>
      <w:r>
        <w:t xml:space="preserve">https://github.com/gbanyan/usher-exploring/tree/ed2d00d/submission/bmc_bioinformatics</w:t>
      </w:r>
    </w:p>
    <w:p>
      <w:pPr>
        <w:pStyle w:val="FirstParagraph"/>
      </w:pPr>
      <w:r>
        <w:t xml:space="preserve">The original submission reproducibility artifacts record configured data-version labels, the configuration hash, stage input/output counts, and the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they provide incomplete source-level provenance, with six source records, six checksums, two URLs, two versions, and no retrieval times. Raw third-party inputs are not redistributed where excluded by source terms or size limits; their configured versions and recorded checksums are included where available.</w:t>
      </w:r>
    </w:p>
    <w:bookmarkEnd w:id="52"/>
    <w:bookmarkStart w:id="53" w:name="_8cee396d015a9d413c62f6622c8a35236e1bb10"/>
    <w:p>
      <w:pPr>
        <w:pStyle w:val="Heading3"/>
      </w:pPr>
      <w:r>
        <w:t xml:space="preserve">Competing interests</w:t>
      </w:r>
    </w:p>
    <w:p>
      <w:pPr>
        <w:pStyle w:val="FirstParagraph"/>
      </w:pPr>
      <w:r>
        <w:t xml:space="preserve">J-R.H. has personal lived experience of Usher syndrome but no financial competing interests. Y-H.C. and W-H.L. declare no competing interests.</w:t>
      </w:r>
    </w:p>
    <w:bookmarkEnd w:id="53"/>
    <w:bookmarkStart w:id="54" w:name="_funding"/>
    <w:p>
      <w:pPr>
        <w:pStyle w:val="Heading3"/>
      </w:pPr>
      <w:r>
        <w:t xml:space="preserve">Funding</w:t>
      </w:r>
    </w:p>
    <w:p>
      <w:pPr>
        <w:pStyle w:val="FirstParagraph"/>
      </w:pPr>
      <w:r>
        <w:t xml:space="preserve">No specific funding was received for this study.</w:t>
      </w:r>
    </w:p>
    <w:bookmarkEnd w:id="54"/>
    <w:bookmarkStart w:id="55" w:name="_b8356044e1855f49faa1ecb5e0ecc373fd3b25d"/>
    <w:p>
      <w:pPr>
        <w:pStyle w:val="Heading3"/>
      </w:pPr>
      <w:r>
        <w:t xml:space="preserve">Authors’ contributions</w:t>
      </w:r>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bookmarkEnd w:id="55"/>
    <w:bookmarkStart w:id="56" w:name="_acknowledgements"/>
    <w:p>
      <w:pPr>
        <w:pStyle w:val="Heading3"/>
      </w:pPr>
      <w:r>
        <w:t xml:space="preserve">Acknowledgements</w:t>
      </w:r>
    </w:p>
    <w:p>
      <w:pPr>
        <w:pStyle w:val="FirstParagraph"/>
      </w:pPr>
      <w:r>
        <w:t xml:space="preserve">Not applicable.</w:t>
      </w:r>
    </w:p>
    <w:bookmarkEnd w:id="56"/>
    <w:bookmarkStart w:id="57" w:name="_8b10a45f2d04aff461dbe0b2a5dd9c913ede074"/>
    <w:p>
      <w:pPr>
        <w:pStyle w:val="Heading3"/>
      </w:pPr>
      <w:r>
        <w:t xml:space="preserve">Use of artificial intelligence tools</w:t>
      </w:r>
    </w:p>
    <w:p>
      <w:pPr>
        <w:pStyle w:val="FirstParagraph"/>
      </w:pPr>
      <w:r>
        <w:t xml:space="preserve">See the Methods section above. No AI system is listed as an author.</w:t>
      </w:r>
    </w:p>
    <w:bookmarkEnd w:id="57"/>
    <w:bookmarkEnd w:id="58"/>
    <w:bookmarkStart w:id="59" w:name="_5e64ea862fbbcc7a83a9336c2ef220848545eed"/>
    <w:p>
      <w:pPr>
        <w:pStyle w:val="Heading2"/>
      </w:pPr>
      <w:r>
        <w:t xml:space="preserve">Additional files</w:t>
      </w:r>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analysis identifiers (not current canonical HGNC validation).</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SHA-256 checksums of the actual delivered additional files 1–9 and 11–12; self-hashing is excluded.</w:t>
      </w:r>
    </w:p>
    <w:p>
      <w:pPr>
        <w:pStyle w:val="Compact"/>
        <w:numPr>
          <w:ilvl w:val="0"/>
          <w:numId w:val="1002"/>
        </w:numPr>
      </w:pPr>
      <w:r>
        <w:rPr>
          <w:b/>
          <w:bCs/>
        </w:rPr>
        <w:t xml:space="preserve">Additional file 11 (ZIP):</w:t>
      </w:r>
      <w:r>
        <w:t xml:space="preserve"> </w:t>
      </w:r>
      <w:r>
        <w:rPr>
          <w:rStyle w:val="VerbatimChar"/>
        </w:rPr>
        <w:t xml:space="preserve">Additional_file_11_Revision_Diagnostics_and_Replay.zip</w:t>
      </w:r>
      <w:r>
        <w:t xml:space="preserve">, numerical diagnostics, matched comparator records, preserved pilot and derived production replay inputs.</w:t>
      </w:r>
    </w:p>
    <w:p>
      <w:pPr>
        <w:pStyle w:val="Compact"/>
        <w:numPr>
          <w:ilvl w:val="0"/>
          <w:numId w:val="1002"/>
        </w:numPr>
      </w:pPr>
      <w:r>
        <w:rPr>
          <w:b/>
          <w:bCs/>
        </w:rPr>
        <w:t xml:space="preserve">Additional file 12 (ZIP):</w:t>
      </w:r>
      <w:r>
        <w:t xml:space="preserve"> </w:t>
      </w:r>
      <w:r>
        <w:rPr>
          <w:rStyle w:val="VerbatimChar"/>
        </w:rPr>
        <w:t xml:space="preserve">Additional_file_12_Temporal_Evaluation.zip</w:t>
      </w:r>
      <w:r>
        <w:t xml:space="preserve">, frozen temporal protocol, source inventory, clinical/date ledger, historical components, all 23 scheme outcomes and reconstruction code.</w:t>
      </w:r>
    </w:p>
    <w:p>
      <w:r>
        <w:pict>
          <v:rect style="width:0;height:1.5pt" o:hralign="center" o:hrstd="t" o:hr="t"/>
        </w:pict>
      </w:r>
    </w:p>
    <w:bookmarkEnd w:id="59"/>
    <w:bookmarkStart w:id="87" w:name="_75cb7b9576aaaaf1ce145bf5cbbb5cf2ece5db8"/>
    <w:p>
      <w:pPr>
        <w:pStyle w:val="Heading2"/>
      </w:pPr>
      <w:r>
        <w:t xml:space="preserve">Figure legends</w:t>
      </w:r>
    </w:p>
    <w:p>
      <w:pPr>
        <w:pStyle w:val="FirstParagraph"/>
        <w:keepNext/>
      </w:pPr>
      <w:r>
        <w:drawing>
          <wp:inline>
            <wp:extent cx="5334000" cy="5844351"/>
            <wp:effectExtent b="0" l="0" r="0" t="0"/>
            <wp:docPr descr="" title="" id="61" name="Picture"/>
            <a:graphic>
              <a:graphicData uri="http://schemas.openxmlformats.org/drawingml/2006/picture">
                <pic:pic>
                  <pic:nvPicPr>
                    <pic:cNvPr descr="/Users/gbanyan/Project/usher/usher-exploring/submission/bmc_bioinformatics_major_revision_20261007/figures/fig1_architecture.png" id="62" name="Picture"/>
                    <pic:cNvPicPr>
                      <a:picLocks noChangeArrowheads="1" noChangeAspect="1"/>
                    </pic:cNvPicPr>
                  </pic:nvPicPr>
                  <pic:blipFill>
                    <a:blip r:embed="rId60"/>
                    <a:stretch>
                      <a:fillRect/>
                    </a:stretch>
                  </pic:blipFill>
                  <pic:spPr bwMode="auto">
                    <a:xfrm>
                      <a:off x="0" y="0"/>
                      <a:ext cx="5334000" cy="5844351"/>
                    </a:xfrm>
                    <a:prstGeom prst="rect">
                      <a:avLst/>
                    </a:prstGeom>
                    <a:noFill/>
                    <a:ln w="9525">
                      <a:noFill/>
                      <a:headEnd/>
                      <a:tailEnd/>
                    </a:ln>
                  </pic:spPr>
                </pic:pic>
              </a:graphicData>
            </a:graphic>
          </wp:inline>
        </w:drawing>
      </w:r>
    </w:p>
    <w:p>
      <w:pPr>
        <w:pStyle w:val="BodyText"/>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The configured release label does not prove source immutability.</w:t>
      </w:r>
    </w:p>
    <w:p>
      <w:pPr>
        <w:pStyle w:val="BodyText"/>
        <w:keepNext/>
      </w:pPr>
      <w:r>
        <w:drawing>
          <wp:inline>
            <wp:extent cx="5334000" cy="3454716"/>
            <wp:effectExtent b="0" l="0" r="0" t="0"/>
            <wp:docPr descr="" title="" id="64" name="Picture"/>
            <a:graphic>
              <a:graphicData uri="http://schemas.openxmlformats.org/drawingml/2006/picture">
                <pic:pic>
                  <pic:nvPicPr>
                    <pic:cNvPr descr="/Users/gbanyan/Project/usher/usher-exploring/submission/bmc_bioinformatics_major_revision_20261007/figures/fig2_score_distribution.png" id="65" name="Picture"/>
                    <pic:cNvPicPr>
                      <a:picLocks noChangeArrowheads="1" noChangeAspect="1"/>
                    </pic:cNvPicPr>
                  </pic:nvPicPr>
                  <pic:blipFill>
                    <a:blip r:embed="rId63"/>
                    <a:stretch>
                      <a:fillRect/>
                    </a:stretch>
                  </pic:blipFill>
                  <pic:spPr bwMode="auto">
                    <a:xfrm>
                      <a:off x="0" y="0"/>
                      <a:ext cx="5334000" cy="3454716"/>
                    </a:xfrm>
                    <a:prstGeom prst="rect">
                      <a:avLst/>
                    </a:prstGeom>
                    <a:noFill/>
                    <a:ln w="9525">
                      <a:noFill/>
                      <a:headEnd/>
                      <a:tailEnd/>
                    </a:ln>
                  </pic:spPr>
                </pic:pic>
              </a:graphicData>
            </a:graphic>
          </wp:inline>
        </w:drawing>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priority tier (HIGH, MEDIUM, LOW); labels below the LOW threshold (composite score &lt; 0.2) are excluded and not shown. Most analysis labels fall in the MEDIUM range, and the HIGH tier is a small shortlist at composite score ≥ 0.7 plus the cilia-signal gate.</w:t>
      </w:r>
    </w:p>
    <w:p>
      <w:pPr>
        <w:pStyle w:val="BodyText"/>
        <w:keepNext/>
      </w:pPr>
      <w:r>
        <w:drawing>
          <wp:inline>
            <wp:extent cx="5334000" cy="3338403"/>
            <wp:effectExtent b="0" l="0" r="0" t="0"/>
            <wp:docPr descr="" title="" id="67" name="Picture"/>
            <a:graphic>
              <a:graphicData uri="http://schemas.openxmlformats.org/drawingml/2006/picture">
                <pic:pic>
                  <pic:nvPicPr>
                    <pic:cNvPr descr="/Users/gbanyan/Project/usher/usher-exploring/submission/bmc_bioinformatics_major_revision_20261007/figures/fig3_layer_coverage.png" id="68" name="Picture"/>
                    <pic:cNvPicPr>
                      <a:picLocks noChangeArrowheads="1" noChangeAspect="1"/>
                    </pic:cNvPicPr>
                  </pic:nvPicPr>
                  <pic:blipFill>
                    <a:blip r:embed="rId66"/>
                    <a:stretch>
                      <a:fillRect/>
                    </a:stretch>
                  </pic:blipFill>
                  <pic:spPr bwMode="auto">
                    <a:xfrm>
                      <a:off x="0" y="0"/>
                      <a:ext cx="5334000" cy="3338403"/>
                    </a:xfrm>
                    <a:prstGeom prst="rect">
                      <a:avLst/>
                    </a:prstGeom>
                    <a:noFill/>
                    <a:ln w="9525">
                      <a:noFill/>
                      <a:headEnd/>
                      <a:tailEnd/>
                    </a:ln>
                  </pic:spPr>
                </pic:pic>
              </a:graphicData>
            </a:graphic>
          </wp:inline>
        </w:drawing>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keepNext/>
      </w:pPr>
      <w:r>
        <w:drawing>
          <wp:inline>
            <wp:extent cx="5334000" cy="4496493"/>
            <wp:effectExtent b="0" l="0" r="0" t="0"/>
            <wp:docPr descr="" title="" id="70" name="Picture"/>
            <a:graphic>
              <a:graphicData uri="http://schemas.openxmlformats.org/drawingml/2006/picture">
                <pic:pic>
                  <pic:nvPicPr>
                    <pic:cNvPr descr="/Users/gbanyan/Project/usher/usher-exploring/submission/bmc_bioinformatics_major_revision_20261007/figures/fig4_top_candidates_heatmap.png" id="71" name="Picture"/>
                    <pic:cNvPicPr>
                      <a:picLocks noChangeArrowheads="1" noChangeAspect="1"/>
                    </pic:cNvPicPr>
                  </pic:nvPicPr>
                  <pic:blipFill>
                    <a:blip r:embed="rId69"/>
                    <a:stretch>
                      <a:fillRect/>
                    </a:stretch>
                  </pic:blipFill>
                  <pic:spPr bwMode="auto">
                    <a:xfrm>
                      <a:off x="0" y="0"/>
                      <a:ext cx="5334000" cy="4496493"/>
                    </a:xfrm>
                    <a:prstGeom prst="rect">
                      <a:avLst/>
                    </a:prstGeom>
                    <a:noFill/>
                    <a:ln w="9525">
                      <a:noFill/>
                      <a:headEnd/>
                      <a:tailEnd/>
                    </a:ln>
                  </pic:spPr>
                </pic:pic>
              </a:graphicData>
            </a:graphic>
          </wp:inline>
        </w:drawing>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keepNext/>
      </w:pPr>
      <w:r>
        <w:drawing>
          <wp:inline>
            <wp:extent cx="5334000" cy="3596873"/>
            <wp:effectExtent b="0" l="0" r="0" t="0"/>
            <wp:docPr descr="" title="" id="73" name="Picture"/>
            <a:graphic>
              <a:graphicData uri="http://schemas.openxmlformats.org/drawingml/2006/picture">
                <pic:pic>
                  <pic:nvPicPr>
                    <pic:cNvPr descr="/Users/gbanyan/Project/usher/usher-exploring/submission/bmc_bioinformatics_major_revision_20261007/figures/fig5_validation_controls.png" id="74" name="Picture"/>
                    <pic:cNvPicPr>
                      <a:picLocks noChangeArrowheads="1" noChangeAspect="1"/>
                    </pic:cNvPicPr>
                  </pic:nvPicPr>
                  <pic:blipFill>
                    <a:blip r:embed="rId72"/>
                    <a:stretch>
                      <a:fillRect/>
                    </a:stretch>
                  </pic:blipFill>
                  <pic:spPr bwMode="auto">
                    <a:xfrm>
                      <a:off x="0" y="0"/>
                      <a:ext cx="5334000" cy="3596873"/>
                    </a:xfrm>
                    <a:prstGeom prst="rect">
                      <a:avLst/>
                    </a:prstGeom>
                    <a:noFill/>
                    <a:ln w="9525">
                      <a:noFill/>
                      <a:headEnd/>
                      <a:tailEnd/>
                    </a:ln>
                  </pic:spPr>
                </pic:pic>
              </a:graphicData>
            </a:graphic>
          </wp:inline>
        </w:drawing>
      </w:r>
    </w:p>
    <w:p>
      <w:pPr>
        <w:pStyle w:val="BodyText"/>
      </w:pPr>
      <w:r>
        <w:rPr>
          <w:b/>
          <w:bCs/>
        </w:rPr>
        <w:t xml:space="preserve">Figure 5. Internal control recovery.</w:t>
      </w:r>
      <w:r>
        <w:t xml:space="preserve"> </w:t>
      </w:r>
      <w:r>
        <w:t xml:space="preserve">Percentile-rank distributions for the nine established Usher genes, the 28 SYSCILIA ciliary genes, and a sample of 500 non-control scored background genes drawn without replacement with</w:t>
      </w:r>
      <w:r>
        <w:t xml:space="preserve"> </w:t>
      </w:r>
      <w:r>
        <w:rPr>
          <w:rStyle w:val="VerbatimChar"/>
        </w:rPr>
        <w:t xml:space="preserve">numpy.random.default_rng(42)</w:t>
      </w:r>
      <w:r>
        <w:t xml:space="preserve"> </w:t>
      </w:r>
      <w:r>
        <w:t xml:space="preserve">after ordering eligible labels by retained Ensembl ID, shown as box plots with the controls also plotted as individual points. The dashed line marks the 75th percentile and the dotted line the median. The control set is curated and is not an independent validation cohort.</w:t>
      </w:r>
    </w:p>
    <w:p>
      <w:pPr>
        <w:pStyle w:val="BodyText"/>
        <w:keepNext/>
      </w:pPr>
      <w:r>
        <w:drawing>
          <wp:inline>
            <wp:extent cx="5334000" cy="7523652"/>
            <wp:effectExtent b="0" l="0" r="0" t="0"/>
            <wp:docPr descr="" title="" id="76" name="Picture"/>
            <a:graphic>
              <a:graphicData uri="http://schemas.openxmlformats.org/drawingml/2006/picture">
                <pic:pic>
                  <pic:nvPicPr>
                    <pic:cNvPr descr="/Users/gbanyan/Project/usher/usher-exploring/submission/bmc_bioinformatics_major_revision_20261007/figures/fig6_ablation.png" id="77" name="Picture"/>
                    <pic:cNvPicPr>
                      <a:picLocks noChangeArrowheads="1" noChangeAspect="1"/>
                    </pic:cNvPicPr>
                  </pic:nvPicPr>
                  <pic:blipFill>
                    <a:blip r:embed="rId75"/>
                    <a:stretch>
                      <a:fillRect/>
                    </a:stretch>
                  </pic:blipFill>
                  <pic:spPr bwMode="auto">
                    <a:xfrm>
                      <a:off x="0" y="0"/>
                      <a:ext cx="5334000" cy="7523652"/>
                    </a:xfrm>
                    <a:prstGeom prst="rect">
                      <a:avLst/>
                    </a:prstGeom>
                    <a:noFill/>
                    <a:ln w="9525">
                      <a:noFill/>
                      <a:headEnd/>
                      <a:tailEnd/>
                    </a:ln>
                  </pic:spPr>
                </pic:pic>
              </a:graphicData>
            </a:graphic>
          </wp:inline>
        </w:drawing>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keepNext/>
      </w:pPr>
      <w:r>
        <w:drawing>
          <wp:inline>
            <wp:extent cx="5334000" cy="4311751"/>
            <wp:effectExtent b="0" l="0" r="0" t="0"/>
            <wp:docPr descr="" title="" id="79" name="Picture"/>
            <a:graphic>
              <a:graphicData uri="http://schemas.openxmlformats.org/drawingml/2006/picture">
                <pic:pic>
                  <pic:nvPicPr>
                    <pic:cNvPr descr="/Users/gbanyan/Project/usher/usher-exploring/submission/bmc_bioinformatics_major_revision_20261007/figures/fig7_sensitivity_heatmap.png" id="80" name="Picture"/>
                    <pic:cNvPicPr>
                      <a:picLocks noChangeArrowheads="1" noChangeAspect="1"/>
                    </pic:cNvPicPr>
                  </pic:nvPicPr>
                  <pic:blipFill>
                    <a:blip r:embed="rId78"/>
                    <a:stretch>
                      <a:fillRect/>
                    </a:stretch>
                  </pic:blipFill>
                  <pic:spPr bwMode="auto">
                    <a:xfrm>
                      <a:off x="0" y="0"/>
                      <a:ext cx="5334000" cy="4311751"/>
                    </a:xfrm>
                    <a:prstGeom prst="rect">
                      <a:avLst/>
                    </a:prstGeom>
                    <a:noFill/>
                    <a:ln w="9525">
                      <a:noFill/>
                      <a:headEnd/>
                      <a:tailEnd/>
                    </a:ln>
                  </pic:spPr>
                </pic:pic>
              </a:graphicData>
            </a:graphic>
          </wp:inline>
        </w:drawing>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On conditional top-100 correlation, animal-model perturbations were the most sensitive and annotation perturbations the least sensitive; this ordering does not describe whole-universe correlation or shortlist overlap; the top-100 Spearman statistic is conditional on overlapping genes.</w:t>
      </w:r>
    </w:p>
    <w:p>
      <w:pPr>
        <w:pStyle w:val="BodyText"/>
        <w:keepNext/>
      </w:pPr>
      <w:r>
        <w:drawing>
          <wp:inline>
            <wp:extent cx="5334000" cy="2963333"/>
            <wp:effectExtent b="0" l="0" r="0" t="0"/>
            <wp:docPr descr="" title="" id="82" name="Picture"/>
            <a:graphic>
              <a:graphicData uri="http://schemas.openxmlformats.org/drawingml/2006/picture">
                <pic:pic>
                  <pic:nvPicPr>
                    <pic:cNvPr descr="/Users/gbanyan/Project/usher/usher-exploring/submission/bmc_bioinformatics_major_revision_20261007/figures/fig8_principal_recovery.png" id="83" name="Picture"/>
                    <pic:cNvPicPr>
                      <a:picLocks noChangeArrowheads="1" noChangeAspect="1"/>
                    </pic:cNvPicPr>
                  </pic:nvPicPr>
                  <pic:blipFill>
                    <a:blip r:embed="rId81"/>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rPr>
          <w:b/>
          <w:bCs/>
        </w:rPr>
        <w:t xml:space="preserve">Figure 8. Retrospective recovery of later target associations.</w:t>
      </w:r>
      <w:r>
        <w:t xml:space="preserve"> </w:t>
      </w:r>
      <w:r>
        <w:t xml:space="preserve">Five-layer archived and six-layer literature-augmented historical analogues evaluated the 41 principal cases in the 2020 protein-coding universe. Bars show deterministic top 100, top 1,000, top 10% and HIGH recovery; the numerators and denominator are labeled. Four additional noncoding cases remain failures in the 45-case end-to-end analysis (Table 4). Neither version recovers a principal case at top 100 or HIGH. These are retrospective source-analogue results, with post-cutoff method development and catalog-based ascertainment limitations.</w:t>
      </w:r>
    </w:p>
    <w:p>
      <w:pPr>
        <w:pStyle w:val="BodyText"/>
        <w:keepNext/>
      </w:pPr>
      <w:r>
        <w:drawing>
          <wp:inline>
            <wp:extent cx="5334000" cy="2281104"/>
            <wp:effectExtent b="0" l="0" r="0" t="0"/>
            <wp:docPr descr="" title="" id="85" name="Picture"/>
            <a:graphic>
              <a:graphicData uri="http://schemas.openxmlformats.org/drawingml/2006/picture">
                <pic:pic>
                  <pic:nvPicPr>
                    <pic:cNvPr descr="/Users/gbanyan/Project/usher/usher-exploring/submission/bmc_bioinformatics_major_revision_20261007/figures/fig9_mantisml_benchmark.png" id="86" name="Picture"/>
                    <pic:cNvPicPr>
                      <a:picLocks noChangeArrowheads="1" noChangeAspect="1"/>
                    </pic:cNvPicPr>
                  </pic:nvPicPr>
                  <pic:blipFill>
                    <a:blip r:embed="rId84"/>
                    <a:stretch>
                      <a:fillRect/>
                    </a:stretch>
                  </pic:blipFill>
                  <pic:spPr bwMode="auto">
                    <a:xfrm>
                      <a:off x="0" y="0"/>
                      <a:ext cx="5334000" cy="2281104"/>
                    </a:xfrm>
                    <a:prstGeom prst="rect">
                      <a:avLst/>
                    </a:prstGeom>
                    <a:noFill/>
                    <a:ln w="9525">
                      <a:noFill/>
                      <a:headEnd/>
                      <a:tailEnd/>
                    </a:ln>
                  </pic:spPr>
                </pic:pic>
              </a:graphicData>
            </a:graphic>
          </wp:inline>
        </w:drawing>
      </w:r>
    </w:p>
    <w:p>
      <w:pPr>
        <w:pStyle w:val="BodyText"/>
      </w:pPr>
      <w:r>
        <w:rPr>
          <w:b/>
          <w:bCs/>
        </w:rPr>
        <w:t xml:space="preserve">Figure 9. Exploratory benchmark against mantis-ml.</w:t>
      </w:r>
      <w:r>
        <w:t xml:space="preserve"> </w:t>
      </w:r>
      <w:r>
        <w:t xml:space="preserve">(A) Percentile-rank distributions of the 35 curated controls shared by both tools’ gene universes (shared universe: 16,821 labels). Black points show individual controls; boxes show interquartile ranges and median lines, whiskers extend to 1.5 times the interquartile range, open circles mark boxplot outliers and green triangles indicate means. The dashed line marks the 75th percentile. (B) Four cached-output consensus metrics from the six mantis-ml classifier CSVs and the UsherPipe score table: control median percentile (99.7% versus 91.7%), recall at 10% (91.4% versus 54.3%) and 20% (94.3% versus 77.1%), and housekeeping-gene median percentile (82.3% versus 94.2%). Other cached metrics are reported in the main Results. mantis-ml is seed-based (33 of 35 shared controls are training seeds), whereas UsherPipe ranks labels without seed labels; the training run was not recreated, and the comparison does not establish superiority on novel genes.</w:t>
      </w:r>
    </w:p>
    <w:bookmarkEnd w:id="87"/>
    <w:bookmarkStart w:id="88" w:name="_references"/>
    <w:p>
      <w:pPr>
        <w:pStyle w:val="Heading2"/>
      </w:pPr>
      <w:r>
        <w:t xml:space="preserve">References</w:t>
      </w:r>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 https://search.thegencc.org/genes/HGNC%3A24579.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El-Amraoui A, Petit C. Usher I syndrome: unravelling the mechanisms that underlie the cohesion of the growing hair bundle in inner ear sensory cells. J Cell Sci. 2005;118(Pt 20):4593-4603.</w:t>
      </w:r>
    </w:p>
    <w:p>
      <w:pPr>
        <w:pStyle w:val="BodyText"/>
      </w:pPr>
      <w:r>
        <w:t xml:space="preserve">[11] Yang J, et al. Ablation of whirlin long isoform disrupts the USH2 protein complex and causes vision and hearing loss. PLoS Genet. 2010;6(5):e1000955.</w:t>
      </w:r>
    </w:p>
    <w:p>
      <w:pPr>
        <w:pStyle w:val="BodyText"/>
      </w:pPr>
      <w:r>
        <w:t xml:space="preserve">[12] Sahly I, et al. Localization of Usher 1 proteins to the photoreceptor calyceal processes, which are absent from mice. J Cell Biol. 2012;199(2):381-399.</w:t>
      </w:r>
    </w:p>
    <w:p>
      <w:pPr>
        <w:pStyle w:val="BodyText"/>
      </w:pPr>
      <w:r>
        <w:t xml:space="preserve">[13] Lefèvre G, et al. A core cochlear phenotype in USH1 mouse mutants implicates fibrous links of the hair bundle in its cohesion, orientation and differential growth. Development. 2008;135(8):1427-1437.</w:t>
      </w:r>
    </w:p>
    <w:p>
      <w:pPr>
        <w:pStyle w:val="BodyText"/>
      </w:pPr>
      <w:r>
        <w:t xml:space="preserve">[14] Schwander M, Kachar B, Müller U. The cell biology of hearing. J Cell Biol. 2010;190(1):9-20. doi:10.1083/jcb.201001138.</w:t>
      </w:r>
    </w:p>
    <w:p>
      <w:pPr>
        <w:pStyle w:val="BodyText"/>
      </w:pPr>
      <w:r>
        <w:t xml:space="preserve">[15] Bahloul A, et al. Cadherin-23, myosin VIIa and harmonin, encoded by Usher syndrome type I genes, form a ternary complex and interact with membrane phospholipids. Hum Mol Genet. 2010;19(18):3557-3565.</w:t>
      </w:r>
    </w:p>
    <w:p>
      <w:pPr>
        <w:pStyle w:val="BodyText"/>
      </w:pPr>
      <w:r>
        <w:t xml:space="preserve">[16] Wang H, et al. Temporal and spatial assembly of inner ear hair cell ankle link condensate through phase separation. Nat Commun. 2023;14(1):1657. doi:10.1038/s41467-023-37267-5.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 https://gnomad.broadinstitute.org/news/2024-05-gnomad-v4-1-updates/.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Groza T, et al. The International Mouse Phenotyping Consortium: comprehensive knockout phenotyping underpinning the study of human disease. Nucleic Acids Res. 2023;51(D1):D1038-D1045. doi:10.1093/nar/gkac972.</w:t>
      </w:r>
    </w:p>
    <w:p>
      <w:pPr>
        <w:pStyle w:val="BodyText"/>
      </w:pPr>
      <w:r>
        <w:t xml:space="preserve">[39] Bradford Y, et al. Zebrafish information network, the knowledgebase for Danio rerio research. Genetics. 2022;220(4):iyac016. doi:10.1093/genetics/iyac016.</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 https://www.ncbi.nlm.nih.gov/geo/query/acc.cgi?acc=GSE135913. Accessed 14 Aug 2026.</w:t>
      </w:r>
    </w:p>
    <w:p>
      <w:pPr>
        <w:pStyle w:val="BodyText"/>
      </w:pPr>
      <w:r>
        <w:t xml:space="preserve">[42] RetNet, the Retinal Information Network. https://retnet.org/. Accessed 6 October 2026.</w:t>
      </w:r>
    </w:p>
    <w:p>
      <w:pPr>
        <w:pStyle w:val="BodyText"/>
      </w:pPr>
      <w:r>
        <w:t xml:space="preserve">[43] Martin AR, Williams E, Foulger RE, et al. PanelApp crowdsources expert knowledge to establish consensus diagnostic gene panels. Nat Genet. 2019;51:1560-1565. doi:10.1038/s41588-019-0528-2.</w:t>
      </w:r>
    </w:p>
    <w:p>
      <w:pPr>
        <w:pStyle w:val="BodyText"/>
      </w:pPr>
      <w:r>
        <w:t xml:space="preserve">[44] Europe PMC Consortium. Europe PMC: a full-text literature database for the life sciences and platform for innovation. Nucleic Acids Res. 2015;43(Database issue):D1042-D1048. doi:10.1093/nar/gku1061.</w:t>
      </w:r>
    </w:p>
    <w:p>
      <w:pPr>
        <w:pStyle w:val="BodyText"/>
      </w:pPr>
      <w:r>
        <w:t xml:space="preserve">[45] Menon M, Mohammadi S, Davila-Velderrain J, Goods BA, Cadwell TD, Xing Y, et al. Single-cell transcriptomic atlas of the human retina identifies cell types associated with age-related macular degeneration. Nat Commun. 2019;10:4902. doi:10.1038/s41467-019-12780-8.</w:t>
      </w:r>
    </w:p>
    <w:p>
      <w:pPr>
        <w:pStyle w:val="BodyText"/>
      </w:pPr>
      <w:r>
        <w:t xml:space="preserve">[46] Bailly E, Walton A, Borg JP. The planar cell polarity Vangl2 protein: from genetics to cellular and molecular functions. Semin Cell Dev Biol. 2018;81:62-70. doi:10.1016/j.semcdb.2017.10.030.</w:t>
      </w:r>
    </w:p>
    <w:p>
      <w:pPr>
        <w:pStyle w:val="BodyText"/>
      </w:pPr>
      <w:r>
        <w:t xml:space="preserve">[47] Henderson DJ, Phillips HM, Chaudhry B. Vang-like 2 and noncanonical Wnt signaling in outflow tract development. Trends Cardiovasc Med. 2006;16(2):38-45. doi:10.1016/j.tcm.2005.11.005.</w:t>
      </w:r>
    </w:p>
    <w:p>
      <w:pPr>
        <w:pStyle w:val="BodyText"/>
      </w:pPr>
      <w:r>
        <w:t xml:space="preserve">[48] Kibar Z, et al. Contribution of VANGL2 mutations to isolated neural tube defects. Clin Genet. 2011;80(1):76-82.</w:t>
      </w:r>
    </w:p>
    <w:p>
      <w:pPr>
        <w:pStyle w:val="BodyText"/>
      </w:pPr>
      <w:r>
        <w:t xml:space="preserve">[49] Harms MB, et al. Mutations in the tail domain of DYNC1H1 cause dominant spinal muscular atrophy. Neurology. 2012;78(22):1714-1720.</w:t>
      </w:r>
    </w:p>
    <w:p>
      <w:pPr>
        <w:pStyle w:val="BodyText"/>
      </w:pPr>
      <w:r>
        <w:t xml:space="preserve">[50] Hertecant J, et al. A novel de novo mutation in DYNC1H1 gene underlying malformation of cortical development and cataract. Meta Gene. 2016;9:124-127. doi:10.1016/j.mgene.2016.05.004.</w:t>
      </w:r>
    </w:p>
    <w:p>
      <w:pPr>
        <w:pStyle w:val="BodyText"/>
      </w:pPr>
      <w:r>
        <w:t xml:space="preserve">[51] Smits JJ, Oostrik J, Beynon AJ, et al. De novo and inherited loss-of-function variants of ATP2B2 are associated with rapidly progressive hearing impairment. Hum Genet. 2019;138(1):61-72. doi:10.1007/s00439-018-1965-1.</w:t>
      </w:r>
    </w:p>
    <w:p>
      <w:pPr>
        <w:pStyle w:val="BodyText"/>
      </w:pPr>
      <w:r>
        <w:t xml:space="preserve">[52] Street VA, et al. Mutations in a plasma membrane Ca2+-ATPase gene cause deafness in deafwaddler mice. Nat Genet. 1998;19(4):390-394.</w:t>
      </w:r>
    </w:p>
    <w:p>
      <w:pPr>
        <w:pStyle w:val="BodyText"/>
      </w:pPr>
      <w:r>
        <w:t xml:space="preserve">[53] Vasquez SSV, van Dam J, Wheway G. An updated SYSCILIA gold standard (SCGSv2) of known ciliary genes, revealing the vast progress that has been made in the cilia research field. Mol Biol Cell. 2021;32(21):br13.</w:t>
      </w:r>
    </w:p>
    <w:p>
      <w:pPr>
        <w:pStyle w:val="BodyText"/>
      </w:pPr>
      <w:r>
        <w:t xml:space="preserve">[54] ClinGen. Gene–disease validity expert-curated download. Export file date 6 Oct 2026. Available from: https://search.clinicalgenome.org/kb/gene-validity/download. Exact bytes and download-completion metadata retained in the revision source manifest.</w:t>
      </w:r>
    </w:p>
    <w:p>
      <w:pPr>
        <w:pStyle w:val="BodyText"/>
      </w:pPr>
      <w:r>
        <w:t xml:space="preserve">[55] HGNC. Complete approved gene set. Live export frozen 6 Oct 2026. Available from: https://storage.googleapis.com/public-download-files/hgnc/tsv/tsv/hgnc_complete_set.txt. Exact snapshot retained in the revision replay package.</w:t>
      </w:r>
    </w:p>
    <w:p>
      <w:pPr>
        <w:pStyle w:val="BodyText"/>
      </w:pPr>
      <w:r>
        <w:t xml:space="preserve">[56] Human Phenotype Ontology. Release v2026-09-01, ontology and gene-to-phenotype annotations. Available from: https://github.com/obophenotype/human-phenotype-ontology/releases/tag/v2026-09-01. Downloaded 6 Oct 2026.</w:t>
      </w:r>
    </w:p>
    <w:p>
      <w:pPr>
        <w:pStyle w:val="BodyText"/>
      </w:pPr>
      <w:r>
        <w:t xml:space="preserve">[57] Linnert J, et al. Usher syndrome proteins ADGRV1 (USH2C) and CIB2 (USH1J) interact and share a common interactome containing TRiC/CCT-BBS chaperonins. Front Cell Dev Biol. 2023;11:1199069. doi:10.3389/fcell.2023.1199069.</w:t>
      </w:r>
    </w:p>
    <w:p>
      <w:pPr>
        <w:pStyle w:val="BodyText"/>
      </w:pPr>
      <w:r>
        <w:t xml:space="preserve">[58] UsherPipe. Usher syndrome candidate-gene prioritization pipeline. GitHub repository. 2026. Available from: https://github.com/gbanyan/usher-exploring/tree/major-revision-author-review-20261007. Fixed author-review release, 7 Oct 2026; original public code/data version 4cf8c5b; submitted files preserved at ed2d00d.</w:t>
      </w:r>
    </w:p>
    <w:bookmarkEnd w:id="88"/>
    <w:bookmarkEnd w:id="89"/>
    <w:sectPr>
      <w:footerReference w:type="default" r:id="rId9"/>
      <w:footnotePr>
        <w:numRestart w:val="eachSect"/>
      </w:footnotePr>
      <w:pgSz w:w="11909" w:h="16834"/>
      <w:pgMar w:top="1037" w:bottom="1037" w:left="1037" w:right="1037"/>
      <w:lnNumType w:countBy="5"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480" w:lineRule="auto"/>
    </w:pPr>
    <w:rPr>
      <w:rFonts w:ascii="Times New Roman" w:hAnsi="Times New Roman"/>
      <w:color w:val="000000"/>
      <w:sz w:val="22"/>
    </w:rPr>
  </w:style>
  <w:style w:styleId="BodyText" w:type="paragraph">
    <w:name w:val="Body Text"/>
    <w:basedOn w:val="Normal"/>
    <w:link w:val="BodyTextChar"/>
    <w:qFormat/>
    <w:pPr>
      <w:spacing w:after="120" w:before="180" w:line="480" w:lineRule="auto"/>
    </w:pPr>
    <w:rPr>
      <w:rFonts w:ascii="Times New Roman" w:hAnsi="Times New Roman"/>
      <w:color w:val="000000"/>
      <w:sz w:val="22"/>
    </w:rPr>
  </w:style>
  <w:style w:customStyle="1" w:styleId="FirstParagraph" w:type="paragraph">
    <w:name w:val="First Paragraph"/>
    <w:basedOn w:val="BodyText"/>
    <w:next w:val="BodyText"/>
    <w:qFormat/>
    <w:pPr>
      <w:spacing w:after="120" w:line="480" w:lineRule="auto"/>
    </w:pPr>
    <w:rPr>
      <w:rFonts w:ascii="Times New Roman" w:hAnsi="Times New Roman"/>
      <w:color w:val="000000"/>
      <w:sz w:val="22"/>
    </w:rPr>
  </w:style>
  <w:style w:customStyle="1" w:styleId="Compact" w:type="paragraph">
    <w:name w:val="Compact"/>
    <w:basedOn w:val="BodyText"/>
    <w:qFormat/>
    <w:pPr>
      <w:spacing w:after="120" w:before="36" w:line="480" w:lineRule="auto"/>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120" w:line="480" w:lineRule="auto"/>
      <w:contextualSpacing/>
      <w:jc w:val="center"/>
    </w:pPr>
    <w:rPr>
      <w:rFonts w:asciiTheme="majorHAnsi" w:cstheme="majorBidi" w:eastAsiaTheme="majorEastAsia" w:hAnsiTheme="majorHAnsi" w:ascii="Times New Roman" w:hAnsi="Times New Roman"/>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480" w:lineRule="auto"/>
    </w:pPr>
    <w:rPr>
      <w:rFonts w:cstheme="majorBidi" w:eastAsiaTheme="majorEastAsia"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line="480" w:lineRule="auto"/>
    </w:pPr>
    <w:rPr>
      <w:rFonts w:ascii="Times New Roman" w:hAnsi="Times New Roman"/>
      <w:color w:val="000000"/>
      <w:sz w:val="22"/>
      <w:szCs w:val="24"/>
    </w:rPr>
  </w:style>
  <w:style w:styleId="Date" w:type="paragraph">
    <w:name w:val="Date"/>
    <w:basedOn w:val="Title"/>
    <w:next w:val="BodyText"/>
    <w:qFormat/>
    <w:pPr>
      <w:keepNext/>
      <w:keepLines/>
      <w:spacing w:after="120" w:line="480" w:lineRule="auto"/>
    </w:pPr>
    <w:rPr>
      <w:rFonts w:ascii="Times New Roman" w:hAnsi="Times New Roman"/>
      <w:color w:val="000000"/>
      <w:sz w:val="22"/>
      <w:szCs w:val="24"/>
    </w:rPr>
  </w:style>
  <w:style w:customStyle="1" w:styleId="AbstractTitle" w:type="paragraph">
    <w:name w:val="Abstract Title"/>
    <w:basedOn w:val="Normal"/>
    <w:next w:val="Abstract"/>
    <w:qFormat/>
    <w:pPr>
      <w:keepNext/>
      <w:keepLines/>
      <w:spacing w:after="120" w:before="300" w:line="480"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keepLines/>
      <w:spacing w:after="120" w:before="100" w:line="480" w:lineRule="auto"/>
    </w:pPr>
    <w:rPr>
      <w:rFonts w:ascii="Times New Roman" w:hAnsi="Times New Roman"/>
      <w:color w:val="000000"/>
      <w:sz w:val="22"/>
      <w:szCs w:val="20"/>
    </w:rPr>
  </w:style>
  <w:style w:styleId="Bibliography" w:type="paragraph">
    <w:name w:val="Bibliography"/>
    <w:basedOn w:val="Normal"/>
    <w:next w:val="Bibliography"/>
    <w:qFormat/>
    <w:pPr>
      <w:spacing w:after="120" w:line="480" w:lineRule="auto"/>
    </w:pPr>
    <w:rPr>
      <w:rFonts w:ascii="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120" w:before="360" w:line="480" w:lineRule="auto"/>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480" w:lineRule="auto"/>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480" w:lineRule="auto"/>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80" w:line="480" w:lineRule="auto"/>
      <w:outlineLvl w:val="3"/>
    </w:pPr>
    <w:rPr>
      <w:rFonts w:cstheme="majorBidi" w:eastAsiaTheme="majorEastAsia" w:ascii="Times New Roman"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80" w:line="480" w:lineRule="auto"/>
      <w:outlineLvl w:val="4"/>
    </w:pPr>
    <w:rPr>
      <w:rFonts w:cstheme="majorBidi" w:eastAsiaTheme="majorEastAsia" w:ascii="Times New Roman" w:hAnsi="Times New Roman"/>
      <w:b/>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40" w:line="480" w:lineRule="auto"/>
      <w:outlineLvl w:val="5"/>
    </w:pPr>
    <w:rPr>
      <w:rFonts w:cstheme="majorBidi" w:eastAsiaTheme="majorEastAsia" w:ascii="Times New Roman" w:hAnsi="Times New Roman"/>
      <w:b/>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20" w:before="40" w:line="480" w:lineRule="auto"/>
      <w:outlineLvl w:val="6"/>
    </w:pPr>
    <w:rPr>
      <w:rFonts w:cstheme="majorBidi" w:eastAsiaTheme="majorEastAsia" w:ascii="Times New Roman" w:hAnsi="Times New Roman"/>
      <w:b/>
      <w:color w:val="000000"/>
      <w:sz w:val="22"/>
    </w:rPr>
  </w:style>
  <w:style w:styleId="Heading8" w:type="paragraph">
    <w:name w:val="heading 8"/>
    <w:basedOn w:val="Normal"/>
    <w:next w:val="BodyText"/>
    <w:link w:val="Heading8Char"/>
    <w:uiPriority w:val="9"/>
    <w:semiHidden/>
    <w:unhideWhenUsed/>
    <w:qFormat/>
    <w:rsid w:val="00A10FD9"/>
    <w:pPr>
      <w:keepNext/>
      <w:keepLines/>
      <w:spacing w:after="120" w:line="480" w:lineRule="auto"/>
      <w:outlineLvl w:val="7"/>
    </w:pPr>
    <w:rPr>
      <w:rFonts w:cstheme="majorBidi" w:eastAsiaTheme="majorEastAsia" w:ascii="Times New Roman" w:hAnsi="Times New Roman"/>
      <w:b/>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20" w:line="480" w:lineRule="auto"/>
      <w:outlineLvl w:val="8"/>
    </w:pPr>
    <w:rPr>
      <w:rFonts w:cstheme="majorBidi" w:eastAsiaTheme="majorEastAsia" w:ascii="Times New Roman" w:hAnsi="Times New Roman"/>
      <w:b/>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480" w:lineRule="auto"/>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pPr>
      <w:spacing w:after="120" w:line="480" w:lineRule="auto"/>
    </w:pPr>
    <w:rPr>
      <w:rFonts w:ascii="Times New Roman" w:hAnsi="Times New Roman"/>
      <w:color w:val="000000"/>
      <w:sz w:val="22"/>
    </w:rPr>
  </w:style>
  <w:style w:styleId="FootnoteBlockText" w:type="paragraph">
    <w:name w:val="Footnote Block Text"/>
    <w:basedOn w:val="FootnoteText"/>
    <w:next w:val="FootnoteText"/>
    <w:uiPriority w:val="9"/>
    <w:unhideWhenUsed/>
    <w:qFormat/>
    <w:pPr>
      <w:spacing w:after="120" w:before="100" w:line="480" w:lineRule="auto"/>
      <w:ind w:firstLine="0" w:left="480" w:right="480"/>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480" w:lineRule="auto"/>
    </w:pPr>
    <w:rPr>
      <w:rFonts w:ascii="Times New Roman" w:hAnsi="Times New Roman"/>
      <w:b/>
      <w:color w:val="000000"/>
      <w:sz w:val="22"/>
    </w:rPr>
  </w:style>
  <w:style w:customStyle="1" w:styleId="Definition" w:type="paragraph">
    <w:name w:val="Definition"/>
    <w:basedOn w:val="Normal"/>
    <w:pPr>
      <w:spacing w:after="120" w:line="480" w:lineRule="auto"/>
    </w:pPr>
    <w:rPr>
      <w:rFonts w:ascii="Times New Roman" w:hAnsi="Times New Roman"/>
      <w:color w:val="000000"/>
      <w:sz w:val="22"/>
    </w:rPr>
  </w:style>
  <w:style w:styleId="Caption" w:type="paragraph">
    <w:name w:val="Caption"/>
    <w:basedOn w:val="Normal"/>
    <w:link w:val="BodyTextChar"/>
    <w:pPr>
      <w:spacing w:after="120" w:before="0" w:line="480" w:lineRule="auto"/>
    </w:pPr>
    <w:rPr>
      <w:rFonts w:ascii="Times New Roman" w:hAnsi="Times New Roman"/>
      <w:i/>
      <w:color w:val="000000"/>
      <w:sz w:val="22"/>
    </w:rPr>
  </w:style>
  <w:style w:customStyle="1" w:styleId="TableCaption" w:type="paragraph">
    <w:name w:val="Table Caption"/>
    <w:basedOn w:val="Caption"/>
    <w:pPr>
      <w:keepNext/>
      <w:spacing w:after="120" w:line="480" w:lineRule="auto"/>
    </w:pPr>
    <w:rPr>
      <w:rFonts w:ascii="Times New Roman" w:hAnsi="Times New Roman"/>
      <w:color w:val="000000"/>
      <w:sz w:val="22"/>
    </w:rPr>
  </w:style>
  <w:style w:customStyle="1" w:styleId="ImageCaption" w:type="paragraph">
    <w:name w:val="Image Caption"/>
    <w:basedOn w:val="Caption"/>
    <w:pPr>
      <w:spacing w:after="120" w:line="480" w:lineRule="auto"/>
    </w:pPr>
    <w:rPr>
      <w:rFonts w:ascii="Times New Roman" w:hAnsi="Times New Roman"/>
      <w:color w:val="000000"/>
      <w:sz w:val="22"/>
    </w:rPr>
  </w:style>
  <w:style w:customStyle="1" w:styleId="Figure" w:type="paragraph">
    <w:name w:val="Figure"/>
    <w:basedOn w:val="Normal"/>
    <w:pPr>
      <w:spacing w:after="120" w:line="480" w:lineRule="auto"/>
    </w:pPr>
    <w:rPr>
      <w:rFonts w:ascii="Times New Roman" w:hAnsi="Times New Roman"/>
      <w:color w:val="000000"/>
      <w:sz w:val="22"/>
    </w:rPr>
  </w:style>
  <w:style w:customStyle="1" w:styleId="CaptionedFigure" w:type="paragraph">
    <w:name w:val="Captioned Figure"/>
    <w:basedOn w:val="Figure"/>
    <w:pPr>
      <w:keepNext/>
      <w:spacing w:after="120" w:line="480" w:lineRule="auto"/>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after="120"/>
      <w:outlineLvl w:val="9"/>
    </w:pPr>
    <w:rPr>
      <w:rFonts w:asciiTheme="majorHAnsi" w:cstheme="majorBidi" w:eastAsiaTheme="majorEastAsia" w:hAnsiTheme="majorHAns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2026-10-06T18:31:43Z</dcterms:created>
  <dcterms:modified xsi:type="dcterms:W3CDTF">2026-10-06T18:31:43Z</dcterms:modified>
</cp:coreProperties>
</file>

<file path=docProps/custom.xml><?xml version="1.0" encoding="utf-8"?>
<Properties xmlns="http://schemas.openxmlformats.org/officeDocument/2006/custom-properties" xmlns:vt="http://schemas.openxmlformats.org/officeDocument/2006/docPropsVTypes"/>
</file>