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SERVIÇO NACIONAL DE APRENDIZAGEM INDUSTRIAL – SENAI-SP</w:t>
      </w:r>
    </w:p>
    <w:p>
      <w:pPr>
        <w:spacing w:after="160" w:before="160"/>
        <w:jc w:val="center"/>
      </w:pPr>
      <w:r>
        <w:drawing>
          <wp:inline distT="0" distB="0" distL="0" distR="0">
            <wp:extent cx="1809750" cy="514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0" w:before="160"/>
        <w:jc w:val="center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APERFEIÇOAMENTO PROFISSIONAL – MARKETING DIGITAL COM INTELIGÊNCIA ARTIFICIAL</w:t>
      </w:r>
    </w:p>
    <w:p>
      <w:pPr>
        <w:spacing w:after="200" w:before="4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ATIVIDADE 2 – NEUROMARKETING E CALENDÁRIO DE CONTEÚDO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Persona, neuromarketing e mensuração de resultados com apoio de Inteligência Artificial</w:t>
      </w:r>
    </w:p>
    <w:p>
      <w:pPr>
        <w:spacing w:after="80" w:before="8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Gabriel Guimarães Carneiro</w:t>
      </w:r>
    </w:p>
    <w:p>
      <w:pPr>
        <w:spacing w:after="80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Instrutor – SENAI-SP</w:t>
      </w:r>
    </w:p>
    <w:p>
      <w:pPr>
        <w:spacing w:after="0" w:before="160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Registro – SP</w:t>
      </w:r>
    </w:p>
    <w:p>
      <w:pPr>
        <w:spacing w:after="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2026</w:t>
      </w:r>
    </w:p>
    <w:p>
      <w:r>
        <w:br w:type="page"/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RESUMO</w:t>
      </w:r>
    </w:p>
    <w:p>
      <w:pPr>
        <w:spacing w:after="160" w:line="240" w:lineRule="auto"/>
        <w:jc w:val="both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Este caderno apresenta a Atividade 2 (Tarde (bloco 1), duração de 2h) da sessão de encerramento do curso de Aperfeiçoamento Profissional Marketing Digital com Inteligência Artificial, do SENAI-SP. A atividade é individual, segue as estratégias de estudo de caso e situação-problema, e exige o uso de Inteligência Artificial generativa.</w:t>
      </w:r>
    </w:p>
    <w:p>
      <w:pPr>
        <w:spacing w:after="3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Palavras-chave: </w:t>
      </w:r>
      <w:r>
        <w:rPr>
          <w:rFonts w:ascii="Calibri" w:cs="Calibri" w:eastAsia="Calibri" w:hAnsi="Calibri"/>
          <w:sz w:val="24"/>
          <w:szCs w:val="24"/>
        </w:rPr>
        <w:t xml:space="preserve">Marketing Digital. Inteligência Artificial. Neuromarketing. Persona. Avaliação por capacidades.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Aluno(a): </w:t>
      </w:r>
      <w:r>
        <w:rPr>
          <w:rFonts w:ascii="Calibri" w:cs="Calibri" w:eastAsia="Calibri" w:hAnsi="Calibri"/>
          <w:sz w:val="24"/>
          <w:szCs w:val="24"/>
        </w:rPr>
        <w:t xml:space="preserve">_______________________________________________</w:t>
      </w:r>
    </w:p>
    <w:p>
      <w:pPr>
        <w:spacing w:after="3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Data: </w:t>
      </w:r>
      <w:r>
        <w:rPr>
          <w:rFonts w:ascii="Calibri" w:cs="Calibri" w:eastAsia="Calibri" w:hAnsi="Calibri"/>
          <w:sz w:val="24"/>
          <w:szCs w:val="24"/>
        </w:rPr>
        <w:t xml:space="preserve">_____ / _____ / 2026</w:t>
      </w:r>
    </w:p>
    <w:p>
      <w:pPr>
        <w:spacing w:after="240" w:before="4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1 INSTRUÇÕES GERAIS</w:t>
      </w:r>
    </w:p>
    <w:p>
      <w:pPr>
        <w:spacing w:after="160" w:line="360" w:lineRule="auto"/>
        <w:ind w:firstLine="708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Esta atividade é individual, precisa usar Inteligência Artificial generativa e deve ser entregue até o fim da aula. Anote o(s) prompt(s) que você usou: esse registro faz parte da entrega e mostra como a IA foi usada no seu trabalho. Reaproveite as personas e as peças produzidas nas atividades anteriores, pois o dia de hoje simula um único projeto de consultoria, do início ao fim. O Quadro 1 mostra as capacidades do plano de curso trabalhadas nesta atividade.</w:t>
      </w:r>
    </w:p>
    <w:tbl>
      <w:tblPr>
        <w:tblW w:type="dxa" w:w="9071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000000" w:sz="2"/>
          <w:insideV w:val="single" w:color="000000" w:sz="2"/>
        </w:tblBorders>
      </w:tblPr>
      <w:tblGrid>
        <w:gridCol w:w="1247"/>
        <w:gridCol w:w="7824"/>
      </w:tblGrid>
      <w:tr>
        <w:tc>
          <w:tcPr>
            <w:tcW w:type="dxa" w:w="124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Código</w:t>
            </w:r>
          </w:p>
        </w:tc>
        <w:tc>
          <w:tcPr>
            <w:tcW w:type="dxa" w:w="782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Capacidade (conforme plano de curso)</w:t>
            </w:r>
          </w:p>
        </w:tc>
      </w:tr>
      <w:tr>
        <w:tc>
          <w:tcPr>
            <w:tcW w:type="dxa" w:w="124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CT1</w:t>
            </w:r>
          </w:p>
        </w:tc>
        <w:tc>
          <w:tcPr>
            <w:tcW w:type="dxa" w:w="782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Reconhecer os principais pilares do marketing digital.</w:t>
            </w:r>
          </w:p>
        </w:tc>
      </w:tr>
      <w:tr>
        <w:tc>
          <w:tcPr>
            <w:tcW w:type="dxa" w:w="124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CT4</w:t>
            </w:r>
          </w:p>
        </w:tc>
        <w:tc>
          <w:tcPr>
            <w:tcW w:type="dxa" w:w="782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Compreender a importância da experiência do cliente com personalização de campanhas.</w:t>
            </w:r>
          </w:p>
        </w:tc>
      </w:tr>
      <w:tr>
        <w:tc>
          <w:tcPr>
            <w:tcW w:type="dxa" w:w="124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CSE2</w:t>
            </w:r>
          </w:p>
        </w:tc>
        <w:tc>
          <w:tcPr>
            <w:tcW w:type="dxa" w:w="782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Demonstrar senso crítico (pensamento analítico).</w:t>
            </w:r>
          </w:p>
        </w:tc>
      </w:tr>
      <w:tr>
        <w:tc>
          <w:tcPr>
            <w:tcW w:type="dxa" w:w="1247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CSE3</w:t>
            </w:r>
          </w:p>
        </w:tc>
        <w:tc>
          <w:tcPr>
            <w:tcW w:type="dxa" w:w="782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Demonstrar capacidade de propor soluções inovadoras (criatividade e inovação).</w:t>
            </w:r>
          </w:p>
        </w:tc>
      </w:tr>
    </w:tbl>
    <w:p>
      <w:pPr>
        <w:spacing w:after="200" w:before="12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Quadro 1 – Capacidades mobilizadas nesta atividade</w:t>
      </w:r>
    </w:p>
    <w:p>
      <w:pPr>
        <w:spacing w:after="240" w:before="4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 SITUAÇÃO DE APRENDIZAGEM</w:t>
      </w:r>
    </w:p>
    <w:p>
      <w:pPr>
        <w:spacing w:after="160" w:line="360" w:lineRule="auto"/>
        <w:ind w:firstLine="708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A Grão Vivo é uma torrefadora e loja virtual de cafés especiais que atua há dois anos por meio de uma feira física semanal e de vendas via WhatsApp. Com o objetivo de profissionalizar sua presença digital, a empresa contratou você, e sua turma, como consultoria júnior de marketing digital para planejar, com apoio de Inteligência Artificial, o lançamento de uma nova linha de cafés especiais. O Quadro 2 apresenta as informações que a empresa passou.</w:t>
      </w:r>
    </w:p>
    <w:tbl>
      <w:tblPr>
        <w:tblW w:type="dxa" w:w="9071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000000" w:sz="2"/>
          <w:insideV w:val="single" w:color="000000" w:sz="2"/>
        </w:tblBorders>
      </w:tblPr>
      <w:tblGrid>
        <w:gridCol w:w="2551"/>
        <w:gridCol w:w="6520"/>
      </w:tblGrid>
      <w:tr>
        <w:tc>
          <w:tcPr>
            <w:tcW w:type="dxa" w:w="255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Aspecto</w:t>
            </w:r>
          </w:p>
        </w:tc>
        <w:tc>
          <w:tcPr>
            <w:tcW w:type="dxa" w:w="65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Informação disponibilizada pelo cliente</w:t>
            </w:r>
          </w:p>
        </w:tc>
      </w:tr>
      <w:tr>
        <w:tc>
          <w:tcPr>
            <w:tcW w:type="dxa" w:w="255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Canais atuais</w:t>
            </w:r>
          </w:p>
        </w:tc>
        <w:tc>
          <w:tcPr>
            <w:tcW w:type="dxa" w:w="65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Instagram (8.200 seguidores), WhatsApp Business e feira física aos sábados.</w:t>
            </w:r>
          </w:p>
        </w:tc>
      </w:tr>
      <w:tr>
        <w:tc>
          <w:tcPr>
            <w:tcW w:type="dxa" w:w="255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Ticket médio</w:t>
            </w:r>
          </w:p>
        </w:tc>
        <w:tc>
          <w:tcPr>
            <w:tcW w:type="dxa" w:w="65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R$ 45,00.</w:t>
            </w:r>
          </w:p>
        </w:tc>
      </w:tr>
      <w:tr>
        <w:tc>
          <w:tcPr>
            <w:tcW w:type="dxa" w:w="255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Perfil de quem já compra</w:t>
            </w:r>
          </w:p>
        </w:tc>
        <w:tc>
          <w:tcPr>
            <w:tcW w:type="dxa" w:w="65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majoritariamente entre 28 e 45 anos, moradores da região.</w:t>
            </w:r>
          </w:p>
        </w:tc>
      </w:tr>
      <w:tr>
        <w:tc>
          <w:tcPr>
            <w:tcW w:type="dxa" w:w="255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Dado relevante</w:t>
            </w:r>
          </w:p>
        </w:tc>
        <w:tc>
          <w:tcPr>
            <w:tcW w:type="dxa" w:w="65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cerca de 60% dos seguidores no Instagram nunca realizaram uma compra.</w:t>
            </w:r>
          </w:p>
        </w:tc>
      </w:tr>
      <w:tr>
        <w:tc>
          <w:tcPr>
            <w:tcW w:type="dxa" w:w="255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Reclamação recorrente</w:t>
            </w:r>
          </w:p>
        </w:tc>
        <w:tc>
          <w:tcPr>
            <w:tcW w:type="dxa" w:w="65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dificuldade dos clientes em escolher entre os tipos de café oferecidos.</w:t>
            </w:r>
          </w:p>
        </w:tc>
      </w:tr>
      <w:tr>
        <w:tc>
          <w:tcPr>
            <w:tcW w:type="dxa" w:w="255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Comentários captados nas redes sociais</w:t>
            </w:r>
          </w:p>
        </w:tc>
        <w:tc>
          <w:tcPr>
            <w:tcW w:type="dxa" w:w="652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300" w:lineRule="auto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“Sigo a página faz tempo, mas nunca sei qual café combina comigo.”</w:t>
            </w:r>
          </w:p>
          <w:p>
            <w:pPr>
              <w:spacing w:after="60" w:line="300" w:lineRule="auto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“Vi um preço parecido em outro lugar e fiquei em dúvida se vale a pena aqui.”</w:t>
            </w:r>
          </w:p>
          <w:p>
            <w:pPr>
              <w:spacing w:after="60" w:line="300" w:lineRule="auto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“Queria comprar, mas não vi ninguém comentando se é bom.”</w:t>
            </w:r>
          </w:p>
          <w:p>
            <w:pPr>
              <w:spacing w:after="60" w:line="300" w:lineRule="auto"/>
            </w:pP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“Mandei mensagem no WhatsApp perguntando sobre um produto e demorou pra responder.”</w:t>
            </w:r>
          </w:p>
        </w:tc>
      </w:tr>
      <w:tr>
        <w:tc>
          <w:tcPr>
            <w:tcW w:type="dxa" w:w="255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Nova linha de produto</w:t>
            </w:r>
          </w:p>
        </w:tc>
        <w:tc>
          <w:tcPr>
            <w:tcW w:type="dxa" w:w="65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cafés especiais de torra média, posicionados como produto premium.</w:t>
            </w:r>
          </w:p>
        </w:tc>
      </w:tr>
      <w:tr>
        <w:tc>
          <w:tcPr>
            <w:tcW w:type="dxa" w:w="2551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Meta da campanha de lançamento</w:t>
            </w:r>
          </w:p>
        </w:tc>
        <w:tc>
          <w:tcPr>
            <w:tcW w:type="dxa" w:w="65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aumentar em 20% as vendas digitais no primeiro mês.</w:t>
            </w:r>
          </w:p>
        </w:tc>
      </w:tr>
    </w:tbl>
    <w:p>
      <w:pPr>
        <w:spacing w:after="200" w:before="12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Quadro 2 – Perfil da empresa Grão Vivo</w:t>
      </w:r>
    </w:p>
    <w:p>
      <w:pPr>
        <w:spacing w:after="240" w:before="4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 CRONOGRAMA DA SESSÃO</w:t>
      </w:r>
    </w:p>
    <w:p>
      <w:pPr>
        <w:spacing w:after="160" w:line="360" w:lineRule="auto"/>
        <w:ind w:firstLine="708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Esta atividade corresponde ao bloco de tarde (bloco 1), destacado no Quadro 3.</w:t>
      </w:r>
    </w:p>
    <w:tbl>
      <w:tblPr>
        <w:tblW w:type="dxa" w:w="9071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000000" w:sz="2"/>
          <w:insideV w:val="single" w:color="000000" w:sz="2"/>
        </w:tblBorders>
      </w:tblPr>
      <w:tblGrid>
        <w:gridCol w:w="1474"/>
        <w:gridCol w:w="3685"/>
        <w:gridCol w:w="1020"/>
        <w:gridCol w:w="2892"/>
      </w:tblGrid>
      <w:tr>
        <w:tc>
          <w:tcPr>
            <w:tcW w:type="dxa" w:w="147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Horário</w:t>
            </w:r>
          </w:p>
        </w:tc>
        <w:tc>
          <w:tcPr>
            <w:tcW w:type="dxa" w:w="368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Atividade</w:t>
            </w:r>
          </w:p>
        </w:tc>
        <w:tc>
          <w:tcPr>
            <w:tcW w:type="dxa" w:w="1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Duração</w:t>
            </w:r>
          </w:p>
        </w:tc>
        <w:tc>
          <w:tcPr>
            <w:tcW w:type="dxa" w:w="289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Capacidades</w:t>
            </w:r>
          </w:p>
        </w:tc>
      </w:tr>
      <w:tr>
        <w:tc>
          <w:tcPr>
            <w:tcW w:type="dxa" w:w="147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09h15–09h30</w:t>
            </w:r>
          </w:p>
        </w:tc>
        <w:tc>
          <w:tcPr>
            <w:tcW w:type="dxa" w:w="368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Abertura e apresentação da situação de aprendizagem</w:t>
            </w:r>
          </w:p>
        </w:tc>
        <w:tc>
          <w:tcPr>
            <w:tcW w:type="dxa" w:w="1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 min</w:t>
            </w:r>
          </w:p>
        </w:tc>
        <w:tc>
          <w:tcPr>
            <w:tcW w:type="dxa" w:w="289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7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09h30–10h45</w:t>
            </w:r>
          </w:p>
        </w:tc>
        <w:tc>
          <w:tcPr>
            <w:tcW w:type="dxa" w:w="368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Atividade 1 – Da Persona à Experiência do Cliente</w:t>
            </w:r>
          </w:p>
        </w:tc>
        <w:tc>
          <w:tcPr>
            <w:tcW w:type="dxa" w:w="1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1h15</w:t>
            </w:r>
          </w:p>
        </w:tc>
        <w:tc>
          <w:tcPr>
            <w:tcW w:type="dxa" w:w="289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CT2, CT4, CSE1, CSE2</w:t>
            </w:r>
          </w:p>
        </w:tc>
      </w:tr>
      <w:tr>
        <w:tc>
          <w:tcPr>
            <w:tcW w:type="dxa" w:w="147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10h45–11h00</w:t>
            </w:r>
          </w:p>
        </w:tc>
        <w:tc>
          <w:tcPr>
            <w:tcW w:type="dxa" w:w="368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Intervalo</w:t>
            </w:r>
          </w:p>
        </w:tc>
        <w:tc>
          <w:tcPr>
            <w:tcW w:type="dxa" w:w="1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 min</w:t>
            </w:r>
          </w:p>
        </w:tc>
        <w:tc>
          <w:tcPr>
            <w:tcW w:type="dxa" w:w="289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7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11h00–13h00</w:t>
            </w:r>
          </w:p>
        </w:tc>
        <w:tc>
          <w:tcPr>
            <w:tcW w:type="dxa" w:w="368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Atividade 1 (continuação)</w:t>
            </w:r>
          </w:p>
        </w:tc>
        <w:tc>
          <w:tcPr>
            <w:tcW w:type="dxa" w:w="1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2h</w:t>
            </w:r>
          </w:p>
        </w:tc>
        <w:tc>
          <w:tcPr>
            <w:tcW w:type="dxa" w:w="289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CT2, CT4, CSE1, CSE2</w:t>
            </w:r>
          </w:p>
        </w:tc>
      </w:tr>
      <w:tr>
        <w:tc>
          <w:tcPr>
            <w:tcW w:type="dxa" w:w="147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13h00–14h00</w:t>
            </w:r>
          </w:p>
        </w:tc>
        <w:tc>
          <w:tcPr>
            <w:tcW w:type="dxa" w:w="368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Intervalo para almoço</w:t>
            </w:r>
          </w:p>
        </w:tc>
        <w:tc>
          <w:tcPr>
            <w:tcW w:type="dxa" w:w="1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1h</w:t>
            </w:r>
          </w:p>
        </w:tc>
        <w:tc>
          <w:tcPr>
            <w:tcW w:type="dxa" w:w="289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7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14h00–16h00</w:t>
            </w:r>
          </w:p>
        </w:tc>
        <w:tc>
          <w:tcPr>
            <w:tcW w:type="dxa" w:w="368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Atividade 2 – Neuromarketing e Calendário de Conteúdo</w:t>
            </w:r>
          </w:p>
        </w:tc>
        <w:tc>
          <w:tcPr>
            <w:tcW w:type="dxa" w:w="1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2h</w:t>
            </w:r>
          </w:p>
        </w:tc>
        <w:tc>
          <w:tcPr>
            <w:tcW w:type="dxa" w:w="289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CT1, CT4, CSE2, CSE3</w:t>
            </w:r>
          </w:p>
        </w:tc>
      </w:tr>
      <w:tr>
        <w:tc>
          <w:tcPr>
            <w:tcW w:type="dxa" w:w="147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16h00–16h15</w:t>
            </w:r>
          </w:p>
        </w:tc>
        <w:tc>
          <w:tcPr>
            <w:tcW w:type="dxa" w:w="368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Intervalo</w:t>
            </w:r>
          </w:p>
        </w:tc>
        <w:tc>
          <w:tcPr>
            <w:tcW w:type="dxa" w:w="1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 min</w:t>
            </w:r>
          </w:p>
        </w:tc>
        <w:tc>
          <w:tcPr>
            <w:tcW w:type="dxa" w:w="289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7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16h15–18h00</w:t>
            </w:r>
          </w:p>
        </w:tc>
        <w:tc>
          <w:tcPr>
            <w:tcW w:type="dxa" w:w="368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Atividade 3 – Produção dos Criativos e Medição de Resultados</w:t>
            </w:r>
          </w:p>
        </w:tc>
        <w:tc>
          <w:tcPr>
            <w:tcW w:type="dxa" w:w="1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1h45</w:t>
            </w:r>
          </w:p>
        </w:tc>
        <w:tc>
          <w:tcPr>
            <w:tcW w:type="dxa" w:w="289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CT3, CT5, CT6, CSE1, CSE3</w:t>
            </w:r>
          </w:p>
        </w:tc>
      </w:tr>
      <w:tr>
        <w:tc>
          <w:tcPr>
            <w:tcW w:type="dxa" w:w="147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18h00–18h15</w:t>
            </w:r>
          </w:p>
        </w:tc>
        <w:tc>
          <w:tcPr>
            <w:tcW w:type="dxa" w:w="368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Encerramento, entrega e autoavaliação</w:t>
            </w:r>
          </w:p>
        </w:tc>
        <w:tc>
          <w:tcPr>
            <w:tcW w:type="dxa" w:w="102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 w:lineRule="auto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15 min</w:t>
            </w:r>
          </w:p>
        </w:tc>
        <w:tc>
          <w:tcPr>
            <w:tcW w:type="dxa" w:w="289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200" w:before="12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Quadro 3 – Cronograma da sessão (8h)</w:t>
      </w:r>
    </w:p>
    <w:p>
      <w:r>
        <w:br w:type="page"/>
      </w:r>
    </w:p>
    <w:p>
      <w:pPr>
        <w:spacing w:after="240" w:before="4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4 ATIVIDADE 2 – NEUROMARKETING E CALENDÁRIO DE CONTEÚDO</w:t>
      </w:r>
    </w:p>
    <w:p>
      <w:pPr>
        <w:spacing w:after="240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Turno: Tarde (bloco 1)   |   Duração: 2h   |   Modalidade: Individual</w:t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4.1 Situação-problema</w:t>
      </w:r>
    </w:p>
    <w:p>
      <w:pPr>
        <w:spacing w:after="160" w:line="360" w:lineRule="auto"/>
        <w:ind w:firstLine="708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Os primeiros anúncios de teste da nova linha de cafés da Grão Vivo usaram só argumentos racionais (ficha técnica da torra, comparação de preço) e converteram pouco no fundo de funil. Antes de produzir qualquer peça de comunicação, o cliente pede um planejamento: quais gatilhos mentais usar, para qual persona, em qual etapa do funil e em qual canal — ou seja, um calendário de conteúdo baseado em neuromarketing para a semana de lançamento.</w:t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4.2 Tarefas</w:t>
      </w:r>
    </w:p>
    <w:p>
      <w:pPr>
        <w:spacing w:after="80" w:line="360" w:lineRule="auto"/>
        <w:ind w:left="3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a) retomar os conceitos apresentados na aula de Comportamento do Consumidor (Sistema 1 e Sistema 2, gatilhos mentais e marketing sensorial);</w:t>
      </w:r>
    </w:p>
    <w:p>
      <w:pPr>
        <w:spacing w:after="80" w:line="360" w:lineRule="auto"/>
        <w:ind w:left="3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b) selecionar, para cada uma das 2 (duas) personas da Atividade 1, no mínimo 3 (três) gatilhos mentais distintos (escassez, urgência, prova social, reciprocidade, ancoragem, identidade/pertencimento ou dopamina), associando-os às etapas do funil de vendas (topo, meio e fundo);</w:t>
      </w:r>
    </w:p>
    <w:p>
      <w:pPr>
        <w:spacing w:after="80" w:line="360" w:lineRule="auto"/>
        <w:ind w:left="3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c) elaborar um calendário de conteúdo com 3 (três) postagens para a semana de lançamento da nova linha de cafés, indicando, para cada postagem, o canal, o objetivo no funil (topo, meio ou fundo) e o gatilho mental de referência selecionado no item anterior;</w:t>
      </w:r>
    </w:p>
    <w:p>
      <w:pPr>
        <w:spacing w:after="80" w:line="360" w:lineRule="auto"/>
        <w:ind w:left="3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d) usar uma Inteligência Artificial generativa para revisar e melhorar a lógica do calendário (a relação entre gatilho mental, canal e etapa do funil), registrando o prompt usado e avaliando criticamente a resposta;</w:t>
      </w:r>
    </w:p>
    <w:p>
      <w:pPr>
        <w:spacing w:after="80" w:line="360" w:lineRule="auto"/>
        <w:ind w:left="3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e) escrever uma justificativa técnica, com base nos conceitos de Sistema 1 e Sistema 2, sobre o motivo pelo qual os gatilhos escolhidos tendem a aumentar a conversão.</w:t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4.3 Uso de Inteligência Artificial</w:t>
      </w:r>
    </w:p>
    <w:p>
      <w:pPr>
        <w:spacing w:after="160" w:line="360" w:lineRule="auto"/>
        <w:ind w:firstLine="708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Usar uma IA generativa para revisar e melhorar a lógica do calendário de conteúdo (a relação entre gatilho mental, canal e etapa do funil), registrando o prompt usado e avaliando criticamente a resposta.</w:t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4.4 Entregável</w:t>
      </w:r>
    </w:p>
    <w:p>
      <w:pPr>
        <w:spacing w:after="160" w:line="360" w:lineRule="auto"/>
        <w:ind w:firstLine="708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Documento (Word, PDF ou apresentação) contendo:</w:t>
      </w:r>
    </w:p>
    <w:p>
      <w:pPr>
        <w:spacing w:after="80" w:line="360" w:lineRule="auto"/>
        <w:ind w:left="3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a) gatilhos mentais atribuídos a cada persona e etapa do funil;</w:t>
      </w:r>
    </w:p>
    <w:p>
      <w:pPr>
        <w:spacing w:after="80" w:line="360" w:lineRule="auto"/>
        <w:ind w:left="3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b) calendário de 3 (três) postagens, com canal, objetivo de funil e gatilho mental de referência para cada uma;</w:t>
      </w:r>
    </w:p>
    <w:p>
      <w:pPr>
        <w:spacing w:after="80" w:line="360" w:lineRule="auto"/>
        <w:ind w:left="3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c) prompt usado na IA para revisar a lógica do calendário e a avaliação crítica da resposta;</w:t>
      </w:r>
    </w:p>
    <w:p>
      <w:pPr>
        <w:spacing w:after="80" w:line="360" w:lineRule="auto"/>
        <w:ind w:left="340"/>
        <w:jc w:val="both"/>
      </w:pPr>
      <w:r>
        <w:rPr>
          <w:rFonts w:ascii="Calibri" w:cs="Calibri" w:eastAsia="Calibri" w:hAnsi="Calibri"/>
          <w:sz w:val="24"/>
          <w:szCs w:val="24"/>
        </w:rPr>
        <w:t xml:space="preserve">d) justificativa técnica fundamentada em Sistema 1 e Sistema 2.</w:t>
      </w:r>
    </w:p>
    <w:p>
      <w:pPr>
        <w:spacing w:after="160" w:before="3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4.5 Critérios de Avaliação</w:t>
      </w:r>
    </w:p>
    <w:tbl>
      <w:tblPr>
        <w:tblW w:type="dxa" w:w="9071"/>
        <w:tblBorders>
          <w:top w:val="single" w:color="000000" w:sz="2"/>
          <w:left w:val="single" w:color="000000" w:sz="2"/>
          <w:bottom w:val="single" w:color="000000" w:sz="2"/>
          <w:right w:val="single" w:color="000000" w:sz="2"/>
          <w:insideH w:val="single" w:color="000000" w:sz="2"/>
          <w:insideV w:val="single" w:color="000000" w:sz="2"/>
        </w:tblBorders>
      </w:tblPr>
      <w:tblGrid>
        <w:gridCol w:w="4535"/>
        <w:gridCol w:w="4535"/>
      </w:tblGrid>
      <w:tr>
        <w:tc>
          <w:tcPr>
            <w:tcW w:type="dxa" w:w="453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Critérios Críticos</w:t>
            </w:r>
          </w:p>
        </w:tc>
        <w:tc>
          <w:tcPr>
            <w:tcW w:type="dxa" w:w="4535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30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18"/>
                <w:szCs w:val="18"/>
              </w:rPr>
              <w:t xml:space="preserve">Critérios Desejáveis</w:t>
            </w:r>
          </w:p>
        </w:tc>
      </w:tr>
      <w:tr>
        <w:tc>
          <w:tcPr>
            <w:tcW w:type="dxa" w:w="4535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300" w:lineRule="auto"/>
              <w:ind w:left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a) associa corretamente cada gatilho mental ao Sistema 1 (emocional) ou ao Sistema 2 (racional);</w:t>
            </w:r>
          </w:p>
          <w:p>
            <w:pPr>
              <w:spacing w:after="60" w:line="300" w:lineRule="auto"/>
              <w:ind w:left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b) aplica no mínimo 3 (três) gatilhos mentais distintos, vinculados às personas e às etapas do funil;</w:t>
            </w:r>
          </w:p>
          <w:p>
            <w:pPr>
              <w:spacing w:after="60" w:line="300" w:lineRule="auto"/>
              <w:ind w:left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c) apresenta um calendário de 3 (três) postagens com canal, objetivo de funil e gatilho mental coerentes entre si;</w:t>
            </w:r>
          </w:p>
          <w:p>
            <w:pPr>
              <w:spacing w:after="60" w:line="300" w:lineRule="auto"/>
              <w:ind w:left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d) mostra o uso da IA generativa (prompt e resultado) e a revisão crítica da lógica do calendário.</w:t>
            </w:r>
          </w:p>
        </w:tc>
        <w:tc>
          <w:tcPr>
            <w:tcW w:type="dxa" w:w="4535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line="300" w:lineRule="auto"/>
              <w:ind w:left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a) relaciona a estratégia a um ou mais dos quatro perfis de consumidor apresentados em aula (Esperançosos, Autônomos, Imparciais ou Sinérgicos);</w:t>
            </w:r>
          </w:p>
          <w:p>
            <w:pPr>
              <w:spacing w:after="60" w:line="300" w:lineRule="auto"/>
              <w:ind w:left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b) discute riscos éticos do uso de gatilhos mentais (persuasão ética versus manipulação);</w:t>
            </w:r>
          </w:p>
          <w:p>
            <w:pPr>
              <w:spacing w:after="60" w:line="300" w:lineRule="auto"/>
              <w:ind w:left="8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c) propõe uma métrica específica para avaliar o impacto de cada postagem do calendário.</w:t>
            </w:r>
          </w:p>
        </w:tc>
      </w:tr>
    </w:tbl>
    <w:p>
      <w:r>
        <w:br w:type="page"/>
      </w:r>
    </w:p>
    <w:p>
      <w:pPr>
        <w:spacing w:after="240" w:before="4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REFERÊNCIAS</w:t>
      </w:r>
    </w:p>
    <w:p>
      <w:pPr>
        <w:spacing w:after="240" w:line="240" w:lineRule="auto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CARNEIRO, Gabriel Guimarães. </w:t>
      </w:r>
      <w:r>
        <w:rPr>
          <w:rFonts w:ascii="Calibri" w:cs="Calibri" w:eastAsia="Calibri" w:hAnsi="Calibri"/>
          <w:i/>
          <w:iCs/>
          <w:sz w:val="24"/>
          <w:szCs w:val="24"/>
        </w:rPr>
        <w:t xml:space="preserve">Comportamento do consumidor: gatilhos aplicados ao marketing.</w:t>
      </w:r>
      <w:r>
        <w:rPr>
          <w:rFonts w:ascii="Calibri" w:cs="Calibri" w:eastAsia="Calibri" w:hAnsi="Calibri"/>
          <w:sz w:val="24"/>
          <w:szCs w:val="24"/>
        </w:rPr>
        <w:t xml:space="preserve"> Registro: SENAI-SP, 2026. Material de apoio da unidade curricular.</w:t>
      </w:r>
    </w:p>
    <w:p>
      <w:pPr>
        <w:spacing w:after="240" w:line="240" w:lineRule="auto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GABRIEL, Martha. </w:t>
      </w:r>
      <w:r>
        <w:rPr>
          <w:rFonts w:ascii="Calibri" w:cs="Calibri" w:eastAsia="Calibri" w:hAnsi="Calibri"/>
          <w:i/>
          <w:iCs/>
          <w:sz w:val="24"/>
          <w:szCs w:val="24"/>
        </w:rPr>
        <w:t xml:space="preserve">Marketing na era digital.</w:t>
      </w:r>
      <w:r>
        <w:rPr>
          <w:rFonts w:ascii="Calibri" w:cs="Calibri" w:eastAsia="Calibri" w:hAnsi="Calibri"/>
          <w:sz w:val="24"/>
          <w:szCs w:val="24"/>
        </w:rPr>
        <w:t xml:space="preserve"> São Paulo: Atlas, 2020.</w:t>
      </w:r>
    </w:p>
    <w:p>
      <w:pPr>
        <w:spacing w:after="240" w:line="240" w:lineRule="auto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SENAI. Departamento Regional de São Paulo. </w:t>
      </w:r>
      <w:r>
        <w:rPr>
          <w:rFonts w:ascii="Calibri" w:cs="Calibri" w:eastAsia="Calibri" w:hAnsi="Calibri"/>
          <w:i/>
          <w:iCs/>
          <w:sz w:val="24"/>
          <w:szCs w:val="24"/>
        </w:rPr>
        <w:t xml:space="preserve">Plano de curso: Aperfeiçoamento Profissional – Marketing Digital com Inteligência Artificial.</w:t>
      </w:r>
      <w:r>
        <w:rPr>
          <w:rFonts w:ascii="Calibri" w:cs="Calibri" w:eastAsia="Calibri" w:hAnsi="Calibri"/>
          <w:sz w:val="24"/>
          <w:szCs w:val="24"/>
        </w:rPr>
        <w:t xml:space="preserve"> São Paulo: SENAI-SP, 2024.</w:t>
      </w:r>
    </w:p>
    <w:p>
      <w:pPr>
        <w:spacing w:after="240" w:line="240" w:lineRule="auto"/>
        <w:jc w:val="left"/>
      </w:pPr>
      <w:r>
        <w:rPr>
          <w:rFonts w:ascii="Calibri" w:cs="Calibri" w:eastAsia="Calibri" w:hAnsi="Calibri"/>
          <w:sz w:val="24"/>
          <w:szCs w:val="24"/>
        </w:rPr>
        <w:t xml:space="preserve">YANAZE, Mitsuru Higuchi. </w:t>
      </w:r>
      <w:r>
        <w:rPr>
          <w:rFonts w:ascii="Calibri" w:cs="Calibri" w:eastAsia="Calibri" w:hAnsi="Calibri"/>
          <w:i/>
          <w:iCs/>
          <w:sz w:val="24"/>
          <w:szCs w:val="24"/>
        </w:rPr>
        <w:t xml:space="preserve">Marketing digital.</w:t>
      </w:r>
      <w:r>
        <w:rPr>
          <w:rFonts w:ascii="Calibri" w:cs="Calibri" w:eastAsia="Calibri" w:hAnsi="Calibri"/>
          <w:sz w:val="24"/>
          <w:szCs w:val="24"/>
        </w:rPr>
        <w:t xml:space="preserve"> São Paulo: Saraiva, 2022.</w:t>
      </w:r>
    </w:p>
    <w:sectPr>
      <w:headerReference w:type="default" r:id="rId7"/>
      <w:headerReference w:type="first" r:id="rId8"/>
      <w:pgSz w:w="11906" w:h="16838" w:orient="portrait"/>
      <w:pgMar w:top="1701" w:right="1134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71"/>
      </w:tabs>
    </w:pPr>
    <w:r>
      <w:rPr>
        <w:rFonts w:ascii="Calibri" w:cs="Calibri" w:eastAsia="Calibri" w:hAnsi="Calibri"/>
        <w:sz w:val="18"/>
        <w:szCs w:val="18"/>
      </w:rPr>
      <w:t xml:space="preserve">SENAI-SP — Marketing Digital com Inteligência Artificial</w:t>
    </w:r>
    <w:r>
      <w:rPr>
        <w:rFonts w:ascii="Calibri" w:cs="Calibri" w:eastAsia="Calibri" w:hAnsi="Calibri"/>
        <w:sz w:val="18"/>
        <w:szCs w:val="18"/>
      </w:rPr>
      <w:t xml:space="preserve">	</w:t>
    </w: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image" Target="media/2a301c61651540c70b233d06d33931dd5cb48b9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2026-08-29T12:26:24.023Z</dcterms:created>
  <dcterms:modified xsi:type="dcterms:W3CDTF">2026-08-29T12:26:24.023Z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