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utility-owned family,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(-0.17) adds a factor of about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