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1E60"/>
          <w:sz w:val="48"/>
        </w:rPr>
        <w:t>The Battery Is Not the Project</w:t>
      </w:r>
    </w:p>
    <w:p>
      <w:pPr>
        <w:spacing w:after="40"/>
      </w:pPr>
      <w:r>
        <w:rPr>
          <w:b w:val="0"/>
          <w:i w:val="0"/>
          <w:color w:val="6E1F2E"/>
          <w:sz w:val="26"/>
        </w:rPr>
        <w:t>All-in cost of a utility-owned, distribution-connected battery energy storage station, and how to read vendor pricing against it</w:t>
      </w:r>
    </w:p>
    <w:p>
      <w:pPr>
        <w:spacing w:after="240"/>
      </w:pPr>
      <w:r>
        <w:rPr>
          <w:b w:val="0"/>
          <w:i w:val="0"/>
          <w:color w:val="595959"/>
          <w:sz w:val="20"/>
        </w:rPr>
        <w:t>A cost analysis whitepaper based on the Hyde Park BESS, Project 21334, Eversource Energy (EMA). Cost Estimating Center of Excellence, 29 September 2026. Internal; contains vendor-confidential pricing.</w:t>
      </w:r>
    </w:p>
    <w:p>
      <w:pPr>
        <w:pStyle w:val="Heading1"/>
      </w:pPr>
      <w:r>
        <w:t>Summary</w:t>
      </w:r>
    </w:p>
    <w:p>
      <w:pPr>
        <w:spacing w:after="120"/>
      </w:pPr>
      <w:r>
        <w:rPr>
          <w:b w:val="0"/>
          <w:i w:val="0"/>
        </w:rPr>
        <w:t>Eversource holds a fixed-price contract with Nomad Transportable Power Systems for a 10 MW / 20 MWh battery energy storage system at $12,106,850, or $605 per kWh. The approved-level estimate for the project that puts that battery into service at Hyde Park is $57,247,300, or $2,862 per kWh. Both numbers are correct. They describe different things. The contract price covers twelve containerized battery units with their inverters, controls and fire protection, delivered to a pad and supervised through commissioning. The project estimate covers a new 13.8 kV switching station on a closed landfill, protection upgrades at the source substation so four feeders can accept the battery, a siting case under Boston's Article 80, the engineering and project management to do all of it, and the risk, overhead and cost of money that a regulated utility carries and a merchant developer's quote never shows.</w:t>
      </w:r>
    </w:p>
    <w:p>
      <w:pPr>
        <w:spacing w:after="120"/>
      </w:pPr>
      <w:r>
        <w:rPr>
          <w:b w:val="0"/>
          <w:i w:val="0"/>
        </w:rPr>
        <w:t>This paper separates the two. It extracts every line of the September 2026 estimate into thirteen cost layers and reconciles them to the approved total, states the unit cost at each boundary where a benchmark could be quoted, sets those unit costs beside eighteen published industry figures with their scope definitions, and traces how the project number moved from a $43.9 million conceptual placeholder in December 2023 to $57.2 million today while the battery price itself fell. Four findings carry the argument. The battery supply contract is 21 percent of the project. The station, site and feeder interconnection facilities are 32 percent on a loaded basis, and no vendor quote contains them. The battery equipment inside the contract, at $532 per kWh, is at market for a small two-hour order placed in 2026. And the gap between the project and any published all-in index is explained, item by item, by size, duration, site, interconnection, siting and utility accounting rather than by the price of the battery.</w:t>
      </w:r>
    </w:p>
    <w:tbl>
      <w:tblPr>
        <w:tblStyle w:val="TableGrid"/>
        <w:tblW w:type="auto" w:w="0"/>
        <w:tblLook w:firstColumn="1" w:firstRow="1" w:lastColumn="0" w:lastRow="0" w:noHBand="0" w:noVBand="1" w:val="04A0"/>
      </w:tblPr>
      <w:tblGrid>
        <w:gridCol w:w="9360"/>
      </w:tblGrid>
      <w:tr>
        <w:tc>
          <w:tcPr>
            <w:tcW w:type="dxa" w:w="9360"/>
            <w:shd w:val="clear" w:color="auto" w:fill="FFF3CC"/>
          </w:tcPr>
          <w:p>
            <w:pPr>
              <w:spacing w:after="40"/>
            </w:pPr>
            <w:r/>
            <w:r>
              <w:rPr>
                <w:b/>
                <w:color w:val="001E60"/>
                <w:sz w:val="20"/>
              </w:rPr>
              <w:t xml:space="preserve">Unit costs at each boundary (10 MW / 20 MWh). </w:t>
            </w:r>
            <w:r>
              <w:rPr>
                <w:sz w:val="20"/>
              </w:rPr>
              <w:t>Vendor contract $605/kWh and $1,211/kW. Battery installed with owner-scope integration and balance of plant (layers A to C, direct) $833/kWh. Station 360 approval level $2,500/kWh. Project 21334 approval level $2,862/kWh and $5,725/kW. All-in including the D-Line circuit extension (project 24211, 2024 conceptual) $3,102/kWh. Confidence: High on the project figures; they tie to the ESF Total Rev 3 workbook of 24 September 2026 to the dollar.</w:t>
            </w:r>
          </w:p>
        </w:tc>
      </w:tr>
    </w:tbl>
    <w:p>
      <w:pPr>
        <w:spacing w:after="40"/>
      </w:pPr>
    </w:p>
    <w:p>
      <w:pPr>
        <w:pStyle w:val="Heading1"/>
      </w:pPr>
      <w:r>
        <w:t>1. Why the framing matters</w:t>
      </w:r>
    </w:p>
    <w:p>
      <w:pPr>
        <w:spacing w:after="120"/>
      </w:pPr>
      <w:r>
        <w:rPr>
          <w:b w:val="0"/>
          <w:i w:val="0"/>
        </w:rPr>
        <w:t>When a battery vendor describes a project, the number it quotes is its own scope. Nomad's cover agreement of 10 March 2026 is explicit about that scope: 'furnish a 10 MW / 20 MWh BESS and supervise installation through commissioning.' Installation is by others. The station that connects the containers to the grid is by others. The site is by others. The vendor's price is a true price for what the vendor sells, and it is the number that circulates in trade press, in conference presentations and in conversations with policymakers, because it is the number a vendor is in a position to know.</w:t>
      </w:r>
    </w:p>
    <w:p>
      <w:pPr>
        <w:spacing w:after="120"/>
      </w:pPr>
      <w:r>
        <w:rPr>
          <w:b w:val="0"/>
          <w:i w:val="0"/>
        </w:rPr>
        <w:t>The utility's number is larger because the utility's scope is larger, and the difference is not overhead in the pejorative sense. It is breakers, cable, foundations, relays, permits and people. When the two numbers are placed side by side without their definitions, the utility appears to have paid four or five times the going rate for a battery. That reading has consequences. It shapes how leadership sizes the next storage program, how regulators judge prudence, and how the public understands what grid-connected storage costs. The July 2023 indicative pricing exercise on this same project shows the mechanism at work: five bidders returned prices from $9.6 million to $18.2 million for the same 10 MW / 20 MWh, and the spread was almost entirely a matter of what each bidder chose to leave out. Every one of the five listed interconnection, permits beyond local, below-grade risk, sound walls, spares or long-term service as excluded or as 'Eversource responsibility.' The lowest bid was not the lowest project.</w:t>
      </w:r>
    </w:p>
    <w:p>
      <w:pPr>
        <w:spacing w:after="120"/>
      </w:pPr>
      <w:r>
        <w:rPr>
          <w:b w:val="0"/>
          <w:i w:val="0"/>
        </w:rPr>
        <w:t>The remedy is not to argue with the vendor's number. It is to present the utility's number in layers, so that the battery, the station, the interconnection, the owner's scope and the loaders each carry their own figure and can be compared against the benchmark that matches their definition. That is what the rest of this paper does.</w:t>
      </w:r>
    </w:p>
    <w:p>
      <w:pPr>
        <w:pStyle w:val="Heading1"/>
      </w:pPr>
      <w:r>
        <w:t>2. What the vendor prices: anatomy of the $12.1 million</w:t>
      </w:r>
    </w:p>
    <w:p>
      <w:pPr>
        <w:spacing w:after="120"/>
      </w:pPr>
      <w:r>
        <w:rPr>
          <w:b w:val="0"/>
          <w:i w:val="0"/>
        </w:rPr>
        <w:t>The Nomad schedule of values dated 8 December 2025 and carried into Exhibit C of the cover agreement breaks the fixed price as follows. Confidence: High; the figures are contract documents.</w:t>
      </w:r>
    </w:p>
    <w:tbl>
      <w:tblPr>
        <w:tblStyle w:val="TableGrid"/>
        <w:tblW w:type="auto" w:w="0"/>
        <w:jc w:val="center"/>
        <w:tblLayout w:type="fixed"/>
        <w:tblLook w:firstColumn="1" w:firstRow="1" w:lastColumn="0" w:lastRow="0" w:noHBand="0" w:noVBand="1" w:val="04A0"/>
      </w:tblPr>
      <w:tblGrid>
        <w:gridCol w:w="6336"/>
        <w:gridCol w:w="1584"/>
        <w:gridCol w:w="1152"/>
      </w:tblGrid>
      <w:tr>
        <w:tc>
          <w:tcPr>
            <w:tcW w:type="dxa" w:w="6336"/>
            <w:shd w:val="clear" w:color="auto" w:fill="001E60"/>
          </w:tcPr>
          <w:p>
            <w:pPr>
              <w:spacing w:after="0" w:before="0"/>
            </w:pPr>
            <w:r/>
            <w:r>
              <w:rPr>
                <w:b/>
                <w:i w:val="0"/>
                <w:color w:val="FFFFFF"/>
                <w:sz w:val="19"/>
              </w:rPr>
              <w:t>Item</w:t>
            </w:r>
          </w:p>
        </w:tc>
        <w:tc>
          <w:tcPr>
            <w:tcW w:type="dxa" w:w="1584"/>
            <w:shd w:val="clear" w:color="auto" w:fill="001E60"/>
          </w:tcPr>
          <w:p>
            <w:pPr>
              <w:spacing w:after="0" w:before="0"/>
            </w:pPr>
            <w:r/>
            <w:r>
              <w:rPr>
                <w:b/>
                <w:i w:val="0"/>
                <w:color w:val="FFFFFF"/>
                <w:sz w:val="19"/>
              </w:rPr>
              <w:t>Amount</w:t>
            </w:r>
          </w:p>
        </w:tc>
        <w:tc>
          <w:tcPr>
            <w:tcW w:type="dxa" w:w="1152"/>
            <w:shd w:val="clear" w:color="auto" w:fill="001E60"/>
          </w:tcPr>
          <w:p>
            <w:pPr>
              <w:spacing w:after="0" w:before="0"/>
            </w:pPr>
            <w:r/>
            <w:r>
              <w:rPr>
                <w:b/>
                <w:i w:val="0"/>
                <w:color w:val="FFFFFF"/>
                <w:sz w:val="19"/>
              </w:rPr>
              <w:t>Share</w:t>
            </w:r>
          </w:p>
        </w:tc>
      </w:tr>
      <w:tr>
        <w:tc>
          <w:tcPr>
            <w:tcW w:type="dxa" w:w="6336"/>
          </w:tcPr>
          <w:p>
            <w:pPr>
              <w:spacing w:after="0" w:before="0"/>
            </w:pPr>
            <w:r/>
            <w:r>
              <w:rPr>
                <w:b w:val="0"/>
                <w:i w:val="0"/>
                <w:sz w:val="19"/>
              </w:rPr>
              <w:t>Twelve Voyager 3.0 units: containers, LFP batteries, racks, modules, PCS, BMS, Tier 1 controls, fire protection</w:t>
            </w:r>
          </w:p>
        </w:tc>
        <w:tc>
          <w:tcPr>
            <w:tcW w:type="dxa" w:w="1584"/>
          </w:tcPr>
          <w:p>
            <w:pPr>
              <w:spacing w:after="0" w:before="0"/>
              <w:jc w:val="right"/>
            </w:pPr>
            <w:r/>
            <w:r>
              <w:rPr>
                <w:b w:val="0"/>
                <w:i w:val="0"/>
                <w:sz w:val="19"/>
              </w:rPr>
              <w:t>$10,638,000</w:t>
            </w:r>
          </w:p>
        </w:tc>
        <w:tc>
          <w:tcPr>
            <w:tcW w:type="dxa" w:w="1152"/>
          </w:tcPr>
          <w:p>
            <w:pPr>
              <w:spacing w:after="0" w:before="0"/>
              <w:jc w:val="right"/>
            </w:pPr>
            <w:r/>
            <w:r>
              <w:rPr>
                <w:b w:val="0"/>
                <w:i w:val="0"/>
                <w:sz w:val="19"/>
              </w:rPr>
              <w:t>87.9%</w:t>
            </w:r>
          </w:p>
        </w:tc>
      </w:tr>
      <w:tr>
        <w:tc>
          <w:tcPr>
            <w:tcW w:type="dxa" w:w="6336"/>
            <w:shd w:val="clear" w:color="auto" w:fill="F2F4F8"/>
          </w:tcPr>
          <w:p>
            <w:pPr>
              <w:spacing w:after="0" w:before="0"/>
            </w:pPr>
            <w:r/>
            <w:r>
              <w:rPr>
                <w:b w:val="0"/>
                <w:i w:val="0"/>
                <w:sz w:val="19"/>
              </w:rPr>
              <w:t>Warranty, years 3 to 7 (1.5% per year per unit)</w:t>
            </w:r>
          </w:p>
        </w:tc>
        <w:tc>
          <w:tcPr>
            <w:tcW w:type="dxa" w:w="1584"/>
            <w:shd w:val="clear" w:color="auto" w:fill="F2F4F8"/>
          </w:tcPr>
          <w:p>
            <w:pPr>
              <w:spacing w:after="0" w:before="0"/>
              <w:jc w:val="right"/>
            </w:pPr>
            <w:r/>
            <w:r>
              <w:rPr>
                <w:b w:val="0"/>
                <w:i w:val="0"/>
                <w:sz w:val="19"/>
              </w:rPr>
              <w:t>$797,850</w:t>
            </w:r>
          </w:p>
        </w:tc>
        <w:tc>
          <w:tcPr>
            <w:tcW w:type="dxa" w:w="1152"/>
            <w:shd w:val="clear" w:color="auto" w:fill="F2F4F8"/>
          </w:tcPr>
          <w:p>
            <w:pPr>
              <w:spacing w:after="0" w:before="0"/>
              <w:jc w:val="right"/>
            </w:pPr>
            <w:r/>
            <w:r>
              <w:rPr>
                <w:b w:val="0"/>
                <w:i w:val="0"/>
                <w:sz w:val="19"/>
              </w:rPr>
              <w:t>6.6%</w:t>
            </w:r>
          </w:p>
        </w:tc>
      </w:tr>
      <w:tr>
        <w:tc>
          <w:tcPr>
            <w:tcW w:type="dxa" w:w="6336"/>
          </w:tcPr>
          <w:p>
            <w:pPr>
              <w:spacing w:after="0" w:before="0"/>
            </w:pPr>
            <w:r/>
            <w:r>
              <w:rPr>
                <w:b w:val="0"/>
                <w:i w:val="0"/>
                <w:sz w:val="19"/>
              </w:rPr>
              <w:t>24/7 remote technical support, 7 years</w:t>
            </w:r>
          </w:p>
        </w:tc>
        <w:tc>
          <w:tcPr>
            <w:tcW w:type="dxa" w:w="1584"/>
          </w:tcPr>
          <w:p>
            <w:pPr>
              <w:spacing w:after="0" w:before="0"/>
              <w:jc w:val="right"/>
            </w:pPr>
            <w:r/>
            <w:r>
              <w:rPr>
                <w:b w:val="0"/>
                <w:i w:val="0"/>
                <w:sz w:val="19"/>
              </w:rPr>
              <w:t>$210,000</w:t>
            </w:r>
          </w:p>
        </w:tc>
        <w:tc>
          <w:tcPr>
            <w:tcW w:type="dxa" w:w="1152"/>
          </w:tcPr>
          <w:p>
            <w:pPr>
              <w:spacing w:after="0" w:before="0"/>
              <w:jc w:val="right"/>
            </w:pPr>
            <w:r/>
            <w:r>
              <w:rPr>
                <w:b w:val="0"/>
                <w:i w:val="0"/>
                <w:sz w:val="19"/>
              </w:rPr>
              <w:t>1.7%</w:t>
            </w:r>
          </w:p>
        </w:tc>
      </w:tr>
      <w:tr>
        <w:tc>
          <w:tcPr>
            <w:tcW w:type="dxa" w:w="6336"/>
            <w:shd w:val="clear" w:color="auto" w:fill="F2F4F8"/>
          </w:tcPr>
          <w:p>
            <w:pPr>
              <w:spacing w:after="0" w:before="0"/>
            </w:pPr>
            <w:r/>
            <w:r>
              <w:rPr>
                <w:b w:val="0"/>
                <w:i w:val="0"/>
                <w:sz w:val="19"/>
              </w:rPr>
              <w:t>Spare parts (Schedule 8)</w:t>
            </w:r>
          </w:p>
        </w:tc>
        <w:tc>
          <w:tcPr>
            <w:tcW w:type="dxa" w:w="1584"/>
            <w:shd w:val="clear" w:color="auto" w:fill="F2F4F8"/>
          </w:tcPr>
          <w:p>
            <w:pPr>
              <w:spacing w:after="0" w:before="0"/>
              <w:jc w:val="right"/>
            </w:pPr>
            <w:r/>
            <w:r>
              <w:rPr>
                <w:b w:val="0"/>
                <w:i w:val="0"/>
                <w:sz w:val="19"/>
              </w:rPr>
              <w:t>$125,000</w:t>
            </w:r>
          </w:p>
        </w:tc>
        <w:tc>
          <w:tcPr>
            <w:tcW w:type="dxa" w:w="1152"/>
            <w:shd w:val="clear" w:color="auto" w:fill="F2F4F8"/>
          </w:tcPr>
          <w:p>
            <w:pPr>
              <w:spacing w:after="0" w:before="0"/>
              <w:jc w:val="right"/>
            </w:pPr>
            <w:r/>
            <w:r>
              <w:rPr>
                <w:b w:val="0"/>
                <w:i w:val="0"/>
                <w:sz w:val="19"/>
              </w:rPr>
              <w:t>1.0%</w:t>
            </w:r>
          </w:p>
        </w:tc>
      </w:tr>
      <w:tr>
        <w:tc>
          <w:tcPr>
            <w:tcW w:type="dxa" w:w="6336"/>
          </w:tcPr>
          <w:p>
            <w:pPr>
              <w:spacing w:after="0" w:before="0"/>
            </w:pPr>
            <w:r/>
            <w:r>
              <w:rPr>
                <w:b w:val="0"/>
                <w:i w:val="0"/>
                <w:sz w:val="19"/>
              </w:rPr>
              <w:t>Shipping and unloading of containers</w:t>
            </w:r>
          </w:p>
        </w:tc>
        <w:tc>
          <w:tcPr>
            <w:tcW w:type="dxa" w:w="1584"/>
          </w:tcPr>
          <w:p>
            <w:pPr>
              <w:spacing w:after="0" w:before="0"/>
              <w:jc w:val="right"/>
            </w:pPr>
            <w:r/>
            <w:r>
              <w:rPr>
                <w:b w:val="0"/>
                <w:i w:val="0"/>
                <w:sz w:val="19"/>
              </w:rPr>
              <w:t>$90,000</w:t>
            </w:r>
          </w:p>
        </w:tc>
        <w:tc>
          <w:tcPr>
            <w:tcW w:type="dxa" w:w="1152"/>
          </w:tcPr>
          <w:p>
            <w:pPr>
              <w:spacing w:after="0" w:before="0"/>
              <w:jc w:val="right"/>
            </w:pPr>
            <w:r/>
            <w:r>
              <w:rPr>
                <w:b w:val="0"/>
                <w:i w:val="0"/>
                <w:sz w:val="19"/>
              </w:rPr>
              <w:t>0.7%</w:t>
            </w:r>
          </w:p>
        </w:tc>
      </w:tr>
      <w:tr>
        <w:tc>
          <w:tcPr>
            <w:tcW w:type="dxa" w:w="6336"/>
            <w:shd w:val="clear" w:color="auto" w:fill="F2F4F8"/>
          </w:tcPr>
          <w:p>
            <w:pPr>
              <w:spacing w:after="0" w:before="0"/>
            </w:pPr>
            <w:r/>
            <w:r>
              <w:rPr>
                <w:b w:val="0"/>
                <w:i w:val="0"/>
                <w:sz w:val="19"/>
              </w:rPr>
              <w:t>Testing and commissioning, 2 people x 5 days x 12 units</w:t>
            </w:r>
          </w:p>
        </w:tc>
        <w:tc>
          <w:tcPr>
            <w:tcW w:type="dxa" w:w="1584"/>
            <w:shd w:val="clear" w:color="auto" w:fill="F2F4F8"/>
          </w:tcPr>
          <w:p>
            <w:pPr>
              <w:spacing w:after="0" w:before="0"/>
              <w:jc w:val="right"/>
            </w:pPr>
            <w:r/>
            <w:r>
              <w:rPr>
                <w:b w:val="0"/>
                <w:i w:val="0"/>
                <w:sz w:val="19"/>
              </w:rPr>
              <w:t>$180,000</w:t>
            </w:r>
          </w:p>
        </w:tc>
        <w:tc>
          <w:tcPr>
            <w:tcW w:type="dxa" w:w="1152"/>
            <w:shd w:val="clear" w:color="auto" w:fill="F2F4F8"/>
          </w:tcPr>
          <w:p>
            <w:pPr>
              <w:spacing w:after="0" w:before="0"/>
              <w:jc w:val="right"/>
            </w:pPr>
            <w:r/>
            <w:r>
              <w:rPr>
                <w:b w:val="0"/>
                <w:i w:val="0"/>
                <w:sz w:val="19"/>
              </w:rPr>
              <w:t>1.5%</w:t>
            </w:r>
          </w:p>
        </w:tc>
      </w:tr>
      <w:tr>
        <w:tc>
          <w:tcPr>
            <w:tcW w:type="dxa" w:w="6336"/>
          </w:tcPr>
          <w:p>
            <w:pPr>
              <w:spacing w:after="0" w:before="0"/>
            </w:pPr>
            <w:r/>
            <w:r>
              <w:rPr>
                <w:b w:val="0"/>
                <w:i w:val="0"/>
                <w:sz w:val="19"/>
              </w:rPr>
              <w:t>Field assembly supervision, 2 people x 1 day x 12 containers</w:t>
            </w:r>
          </w:p>
        </w:tc>
        <w:tc>
          <w:tcPr>
            <w:tcW w:type="dxa" w:w="1584"/>
          </w:tcPr>
          <w:p>
            <w:pPr>
              <w:spacing w:after="0" w:before="0"/>
              <w:jc w:val="right"/>
            </w:pPr>
            <w:r/>
            <w:r>
              <w:rPr>
                <w:b w:val="0"/>
                <w:i w:val="0"/>
                <w:sz w:val="19"/>
              </w:rPr>
              <w:t>$36,000</w:t>
            </w:r>
          </w:p>
        </w:tc>
        <w:tc>
          <w:tcPr>
            <w:tcW w:type="dxa" w:w="1152"/>
          </w:tcPr>
          <w:p>
            <w:pPr>
              <w:spacing w:after="0" w:before="0"/>
              <w:jc w:val="right"/>
            </w:pPr>
            <w:r/>
            <w:r>
              <w:rPr>
                <w:b w:val="0"/>
                <w:i w:val="0"/>
                <w:sz w:val="19"/>
              </w:rPr>
              <w:t>0.3%</w:t>
            </w:r>
          </w:p>
        </w:tc>
      </w:tr>
      <w:tr>
        <w:tc>
          <w:tcPr>
            <w:tcW w:type="dxa" w:w="6336"/>
            <w:shd w:val="clear" w:color="auto" w:fill="F2F4F8"/>
          </w:tcPr>
          <w:p>
            <w:pPr>
              <w:spacing w:after="0" w:before="0"/>
            </w:pPr>
            <w:r/>
            <w:r>
              <w:rPr>
                <w:b w:val="0"/>
                <w:i w:val="0"/>
                <w:sz w:val="19"/>
              </w:rPr>
              <w:t>Training, three 3.5-day sessions</w:t>
            </w:r>
          </w:p>
        </w:tc>
        <w:tc>
          <w:tcPr>
            <w:tcW w:type="dxa" w:w="1584"/>
            <w:shd w:val="clear" w:color="auto" w:fill="F2F4F8"/>
          </w:tcPr>
          <w:p>
            <w:pPr>
              <w:spacing w:after="0" w:before="0"/>
              <w:jc w:val="right"/>
            </w:pPr>
            <w:r/>
            <w:r>
              <w:rPr>
                <w:b w:val="0"/>
                <w:i w:val="0"/>
                <w:sz w:val="19"/>
              </w:rPr>
              <w:t>$30,000</w:t>
            </w:r>
          </w:p>
        </w:tc>
        <w:tc>
          <w:tcPr>
            <w:tcW w:type="dxa" w:w="1152"/>
            <w:shd w:val="clear" w:color="auto" w:fill="F2F4F8"/>
          </w:tcPr>
          <w:p>
            <w:pPr>
              <w:spacing w:after="0" w:before="0"/>
              <w:jc w:val="right"/>
            </w:pPr>
            <w:r/>
            <w:r>
              <w:rPr>
                <w:b w:val="0"/>
                <w:i w:val="0"/>
                <w:sz w:val="19"/>
              </w:rPr>
              <w:t>0.2%</w:t>
            </w:r>
          </w:p>
        </w:tc>
      </w:tr>
      <w:tr>
        <w:tc>
          <w:tcPr>
            <w:tcW w:type="dxa" w:w="6336"/>
          </w:tcPr>
          <w:p>
            <w:pPr>
              <w:spacing w:after="0" w:before="0"/>
            </w:pPr>
            <w:r/>
            <w:r>
              <w:rPr>
                <w:b/>
                <w:i w:val="0"/>
                <w:sz w:val="19"/>
              </w:rPr>
              <w:t>Fixed contract price</w:t>
            </w:r>
          </w:p>
        </w:tc>
        <w:tc>
          <w:tcPr>
            <w:tcW w:type="dxa" w:w="1584"/>
          </w:tcPr>
          <w:p>
            <w:pPr>
              <w:spacing w:after="0" w:before="0"/>
              <w:jc w:val="right"/>
            </w:pPr>
            <w:r/>
            <w:r>
              <w:rPr>
                <w:b/>
                <w:i w:val="0"/>
                <w:sz w:val="19"/>
              </w:rPr>
              <w:t>$12,106,850</w:t>
            </w:r>
          </w:p>
        </w:tc>
        <w:tc>
          <w:tcPr>
            <w:tcW w:type="dxa" w:w="1152"/>
          </w:tcPr>
          <w:p>
            <w:pPr>
              <w:spacing w:after="0" w:before="0"/>
              <w:jc w:val="right"/>
            </w:pPr>
            <w:r/>
            <w:r>
              <w:rPr>
                <w:b/>
                <w:i w:val="0"/>
                <w:sz w:val="19"/>
              </w:rPr>
              <w:t>100%</w:t>
            </w:r>
          </w:p>
        </w:tc>
      </w:tr>
    </w:tbl>
    <w:p>
      <w:pPr>
        <w:spacing w:after="40"/>
      </w:pPr>
    </w:p>
    <w:p>
      <w:pPr>
        <w:spacing w:after="120"/>
      </w:pPr>
      <w:r>
        <w:rPr>
          <w:b w:val="0"/>
          <w:i w:val="0"/>
        </w:rPr>
        <w:t>Two features of this scope matter for benchmarking. First, the equipment line alone is $532 per kWh; the contract price of $605 per kWh includes seven years of warranty extension and support that most published equipment indices exclude. Second, the price is fixed until Final Acceptance, with liquidated damages for delay and for availability below 99 percent, capped at 10 percent of contract value. A fixed price with performance guarantees is worth more than an indicative quote, and the 2023 exercise shows how much: the same bidder pool's indicative prices moved by a factor of two on scope alone.</w:t>
      </w:r>
    </w:p>
    <w:p>
      <w:pPr>
        <w:spacing w:after="120"/>
      </w:pPr>
      <w:r>
        <w:rPr>
          <w:b w:val="0"/>
          <w:i w:val="0"/>
        </w:rPr>
        <w:t>The contract also names what it does not include, and the list is the utility's project. Generator step-up transformers are by others; Nomad's technical data feeds the transformer specification, but the four 3 MVA units are Eversource-furnished. Foundations, conduit, cable from the transformers to the containers, the switching station, the ground grid, site development, permits, and every hour of Eversource engineering, siting and project management sit outside the price.</w:t>
      </w:r>
    </w:p>
    <w:p>
      <w:pPr>
        <w:pStyle w:val="Heading1"/>
      </w:pPr>
      <w:r>
        <w:t>3. What the utility builds: thirteen layers of the $57.2 million</w:t>
      </w:r>
    </w:p>
    <w:p>
      <w:pPr>
        <w:spacing w:after="120"/>
      </w:pPr>
      <w:r>
        <w:rPr>
          <w:b w:val="0"/>
          <w:i w:val="0"/>
        </w:rPr>
        <w:t>The September 2026 estimate (ESF Total Rev 3, 24 September 2026) contains 292 line items across two sub-estimates: Station 360, the new BESS station, at $49,994,200, and Station 496, the feeder protection upgrades at the existing Hyde Park substation, at $7,253,100. Each line was assigned to one of thirteen layers. The assignment is reproducible from the companion workbook and reconciles to the unrounded grand total of $57,247,544. Directs are shown as estimated; the loaded column spreads Station 360 risk, contingency, indirects and AFUDC over the Station 360 direct layers in proportion (a factor of 1.685), and carries Station 496 whole at its own approval level.</w:t>
      </w:r>
    </w:p>
    <w:tbl>
      <w:tblPr>
        <w:tblStyle w:val="TableGrid"/>
        <w:tblW w:type="auto" w:w="0"/>
        <w:jc w:val="center"/>
        <w:tblLayout w:type="fixed"/>
        <w:tblLook w:firstColumn="1" w:firstRow="1" w:lastColumn="0" w:lastRow="0" w:noHBand="0" w:noVBand="1" w:val="04A0"/>
      </w:tblPr>
      <w:tblGrid>
        <w:gridCol w:w="5040"/>
        <w:gridCol w:w="1584"/>
        <w:gridCol w:w="1584"/>
        <w:gridCol w:w="1008"/>
      </w:tblGrid>
      <w:tr>
        <w:tc>
          <w:tcPr>
            <w:tcW w:type="dxa" w:w="5040"/>
            <w:shd w:val="clear" w:color="auto" w:fill="001E60"/>
          </w:tcPr>
          <w:p>
            <w:pPr>
              <w:spacing w:after="0" w:before="0"/>
            </w:pPr>
            <w:r/>
            <w:r>
              <w:rPr>
                <w:b/>
                <w:i w:val="0"/>
                <w:color w:val="FFFFFF"/>
                <w:sz w:val="18"/>
              </w:rPr>
              <w:t>Layer</w:t>
            </w:r>
          </w:p>
        </w:tc>
        <w:tc>
          <w:tcPr>
            <w:tcW w:type="dxa" w:w="1584"/>
            <w:shd w:val="clear" w:color="auto" w:fill="001E60"/>
          </w:tcPr>
          <w:p>
            <w:pPr>
              <w:spacing w:after="0" w:before="0"/>
            </w:pPr>
            <w:r/>
            <w:r>
              <w:rPr>
                <w:b/>
                <w:i w:val="0"/>
                <w:color w:val="FFFFFF"/>
                <w:sz w:val="18"/>
              </w:rPr>
              <w:t>Direct</w:t>
            </w:r>
          </w:p>
        </w:tc>
        <w:tc>
          <w:tcPr>
            <w:tcW w:type="dxa" w:w="1584"/>
            <w:shd w:val="clear" w:color="auto" w:fill="001E60"/>
          </w:tcPr>
          <w:p>
            <w:pPr>
              <w:spacing w:after="0" w:before="0"/>
            </w:pPr>
            <w:r/>
            <w:r>
              <w:rPr>
                <w:b/>
                <w:i w:val="0"/>
                <w:color w:val="FFFFFF"/>
                <w:sz w:val="18"/>
              </w:rPr>
              <w:t>Loaded</w:t>
            </w:r>
          </w:p>
        </w:tc>
        <w:tc>
          <w:tcPr>
            <w:tcW w:type="dxa" w:w="1008"/>
            <w:shd w:val="clear" w:color="auto" w:fill="001E60"/>
          </w:tcPr>
          <w:p>
            <w:pPr>
              <w:spacing w:after="0" w:before="0"/>
            </w:pPr>
            <w:r/>
            <w:r>
              <w:rPr>
                <w:b/>
                <w:i w:val="0"/>
                <w:color w:val="FFFFFF"/>
                <w:sz w:val="18"/>
              </w:rPr>
              <w:t>Share</w:t>
            </w:r>
          </w:p>
        </w:tc>
      </w:tr>
      <w:tr>
        <w:tc>
          <w:tcPr>
            <w:tcW w:type="dxa" w:w="5040"/>
          </w:tcPr>
          <w:p>
            <w:pPr>
              <w:spacing w:after="0" w:before="0"/>
            </w:pPr>
            <w:r/>
            <w:r>
              <w:rPr>
                <w:b w:val="0"/>
                <w:i w:val="0"/>
                <w:sz w:val="18"/>
              </w:rPr>
              <w:t>A. Battery supply contract (Nomad)</w:t>
            </w:r>
          </w:p>
        </w:tc>
        <w:tc>
          <w:tcPr>
            <w:tcW w:type="dxa" w:w="1584"/>
          </w:tcPr>
          <w:p>
            <w:pPr>
              <w:spacing w:after="0" w:before="0"/>
              <w:jc w:val="right"/>
            </w:pPr>
            <w:r/>
            <w:r>
              <w:rPr>
                <w:b w:val="0"/>
                <w:i w:val="0"/>
                <w:sz w:val="18"/>
              </w:rPr>
              <w:t>$12,991,104</w:t>
            </w:r>
          </w:p>
        </w:tc>
        <w:tc>
          <w:tcPr>
            <w:tcW w:type="dxa" w:w="1584"/>
          </w:tcPr>
          <w:p>
            <w:pPr>
              <w:spacing w:after="0" w:before="0"/>
              <w:jc w:val="right"/>
            </w:pPr>
            <w:r/>
            <w:r>
              <w:rPr>
                <w:b w:val="0"/>
                <w:i w:val="0"/>
                <w:sz w:val="18"/>
              </w:rPr>
              <w:t>$21,893,672</w:t>
            </w:r>
          </w:p>
        </w:tc>
        <w:tc>
          <w:tcPr>
            <w:tcW w:type="dxa" w:w="1008"/>
          </w:tcPr>
          <w:p>
            <w:pPr>
              <w:spacing w:after="0" w:before="0"/>
              <w:jc w:val="right"/>
            </w:pPr>
            <w:r/>
            <w:r>
              <w:rPr>
                <w:b w:val="0"/>
                <w:i w:val="0"/>
                <w:sz w:val="18"/>
              </w:rPr>
              <w:t>38.2%</w:t>
            </w:r>
          </w:p>
        </w:tc>
      </w:tr>
      <w:tr>
        <w:tc>
          <w:tcPr>
            <w:tcW w:type="dxa" w:w="5040"/>
            <w:shd w:val="clear" w:color="auto" w:fill="F2F4F8"/>
          </w:tcPr>
          <w:p>
            <w:pPr>
              <w:spacing w:after="0" w:before="0"/>
            </w:pPr>
            <w:r/>
            <w:r>
              <w:rPr>
                <w:b w:val="0"/>
                <w:i w:val="0"/>
                <w:sz w:val="18"/>
              </w:rPr>
              <w:t>B. Battery installation &amp; integration (owner scope)</w:t>
            </w:r>
          </w:p>
        </w:tc>
        <w:tc>
          <w:tcPr>
            <w:tcW w:type="dxa" w:w="1584"/>
            <w:shd w:val="clear" w:color="auto" w:fill="F2F4F8"/>
          </w:tcPr>
          <w:p>
            <w:pPr>
              <w:spacing w:after="0" w:before="0"/>
              <w:jc w:val="right"/>
            </w:pPr>
            <w:r/>
            <w:r>
              <w:rPr>
                <w:b w:val="0"/>
                <w:i w:val="0"/>
                <w:sz w:val="18"/>
              </w:rPr>
              <w:t>$1,733,346</w:t>
            </w:r>
          </w:p>
        </w:tc>
        <w:tc>
          <w:tcPr>
            <w:tcW w:type="dxa" w:w="1584"/>
            <w:shd w:val="clear" w:color="auto" w:fill="F2F4F8"/>
          </w:tcPr>
          <w:p>
            <w:pPr>
              <w:spacing w:after="0" w:before="0"/>
              <w:jc w:val="right"/>
            </w:pPr>
            <w:r/>
            <w:r>
              <w:rPr>
                <w:b w:val="0"/>
                <w:i w:val="0"/>
                <w:sz w:val="18"/>
              </w:rPr>
              <w:t>$2,921,177</w:t>
            </w:r>
          </w:p>
        </w:tc>
        <w:tc>
          <w:tcPr>
            <w:tcW w:type="dxa" w:w="1008"/>
            <w:shd w:val="clear" w:color="auto" w:fill="F2F4F8"/>
          </w:tcPr>
          <w:p>
            <w:pPr>
              <w:spacing w:after="0" w:before="0"/>
              <w:jc w:val="right"/>
            </w:pPr>
            <w:r/>
            <w:r>
              <w:rPr>
                <w:b w:val="0"/>
                <w:i w:val="0"/>
                <w:sz w:val="18"/>
              </w:rPr>
              <w:t>5.1%</w:t>
            </w:r>
          </w:p>
        </w:tc>
      </w:tr>
      <w:tr>
        <w:tc>
          <w:tcPr>
            <w:tcW w:type="dxa" w:w="5040"/>
          </w:tcPr>
          <w:p>
            <w:pPr>
              <w:spacing w:after="0" w:before="0"/>
            </w:pPr>
            <w:r/>
            <w:r>
              <w:rPr>
                <w:b w:val="0"/>
                <w:i w:val="0"/>
                <w:sz w:val="18"/>
              </w:rPr>
              <w:t>C. Battery balance-of-plant (GSUs, EMS/comms, aux power)</w:t>
            </w:r>
          </w:p>
        </w:tc>
        <w:tc>
          <w:tcPr>
            <w:tcW w:type="dxa" w:w="1584"/>
          </w:tcPr>
          <w:p>
            <w:pPr>
              <w:spacing w:after="0" w:before="0"/>
              <w:jc w:val="right"/>
            </w:pPr>
            <w:r/>
            <w:r>
              <w:rPr>
                <w:b w:val="0"/>
                <w:i w:val="0"/>
                <w:sz w:val="18"/>
              </w:rPr>
              <w:t>$1,932,802</w:t>
            </w:r>
          </w:p>
        </w:tc>
        <w:tc>
          <w:tcPr>
            <w:tcW w:type="dxa" w:w="1584"/>
          </w:tcPr>
          <w:p>
            <w:pPr>
              <w:spacing w:after="0" w:before="0"/>
              <w:jc w:val="right"/>
            </w:pPr>
            <w:r/>
            <w:r>
              <w:rPr>
                <w:b w:val="0"/>
                <w:i w:val="0"/>
                <w:sz w:val="18"/>
              </w:rPr>
              <w:t>$3,257,316</w:t>
            </w:r>
          </w:p>
        </w:tc>
        <w:tc>
          <w:tcPr>
            <w:tcW w:type="dxa" w:w="1008"/>
          </w:tcPr>
          <w:p>
            <w:pPr>
              <w:spacing w:after="0" w:before="0"/>
              <w:jc w:val="right"/>
            </w:pPr>
            <w:r/>
            <w:r>
              <w:rPr>
                <w:b w:val="0"/>
                <w:i w:val="0"/>
                <w:sz w:val="18"/>
              </w:rPr>
              <w:t>5.7%</w:t>
            </w:r>
          </w:p>
        </w:tc>
      </w:tr>
      <w:tr>
        <w:tc>
          <w:tcPr>
            <w:tcW w:type="dxa" w:w="5040"/>
            <w:shd w:val="clear" w:color="auto" w:fill="F2F4F8"/>
          </w:tcPr>
          <w:p>
            <w:pPr>
              <w:spacing w:after="0" w:before="0"/>
            </w:pPr>
            <w:r/>
            <w:r>
              <w:rPr>
                <w:b w:val="0"/>
                <w:i w:val="0"/>
                <w:sz w:val="18"/>
              </w:rPr>
              <w:t>D. Station 360 13.8 kV switching &amp; interconnection facilities</w:t>
            </w:r>
          </w:p>
        </w:tc>
        <w:tc>
          <w:tcPr>
            <w:tcW w:type="dxa" w:w="1584"/>
            <w:shd w:val="clear" w:color="auto" w:fill="F2F4F8"/>
          </w:tcPr>
          <w:p>
            <w:pPr>
              <w:spacing w:after="0" w:before="0"/>
              <w:jc w:val="right"/>
            </w:pPr>
            <w:r/>
            <w:r>
              <w:rPr>
                <w:b w:val="0"/>
                <w:i w:val="0"/>
                <w:sz w:val="18"/>
              </w:rPr>
              <w:t>$3,846,444</w:t>
            </w:r>
          </w:p>
        </w:tc>
        <w:tc>
          <w:tcPr>
            <w:tcW w:type="dxa" w:w="1584"/>
            <w:shd w:val="clear" w:color="auto" w:fill="F2F4F8"/>
          </w:tcPr>
          <w:p>
            <w:pPr>
              <w:spacing w:after="0" w:before="0"/>
              <w:jc w:val="right"/>
            </w:pPr>
            <w:r/>
            <w:r>
              <w:rPr>
                <w:b w:val="0"/>
                <w:i w:val="0"/>
                <w:sz w:val="18"/>
              </w:rPr>
              <w:t>$6,482,343</w:t>
            </w:r>
          </w:p>
        </w:tc>
        <w:tc>
          <w:tcPr>
            <w:tcW w:type="dxa" w:w="1008"/>
            <w:shd w:val="clear" w:color="auto" w:fill="F2F4F8"/>
          </w:tcPr>
          <w:p>
            <w:pPr>
              <w:spacing w:after="0" w:before="0"/>
              <w:jc w:val="right"/>
            </w:pPr>
            <w:r/>
            <w:r>
              <w:rPr>
                <w:b w:val="0"/>
                <w:i w:val="0"/>
                <w:sz w:val="18"/>
              </w:rPr>
              <w:t>11.3%</w:t>
            </w:r>
          </w:p>
        </w:tc>
      </w:tr>
      <w:tr>
        <w:tc>
          <w:tcPr>
            <w:tcW w:type="dxa" w:w="5040"/>
          </w:tcPr>
          <w:p>
            <w:pPr>
              <w:spacing w:after="0" w:before="0"/>
            </w:pPr>
            <w:r/>
            <w:r>
              <w:rPr>
                <w:b w:val="0"/>
                <w:i w:val="0"/>
                <w:sz w:val="18"/>
              </w:rPr>
              <w:t>E. Site development &amp; civil (former landfill site)</w:t>
            </w:r>
          </w:p>
        </w:tc>
        <w:tc>
          <w:tcPr>
            <w:tcW w:type="dxa" w:w="1584"/>
          </w:tcPr>
          <w:p>
            <w:pPr>
              <w:spacing w:after="0" w:before="0"/>
              <w:jc w:val="right"/>
            </w:pPr>
            <w:r/>
            <w:r>
              <w:rPr>
                <w:b w:val="0"/>
                <w:i w:val="0"/>
                <w:sz w:val="18"/>
              </w:rPr>
              <w:t>$2,690,784</w:t>
            </w:r>
          </w:p>
        </w:tc>
        <w:tc>
          <w:tcPr>
            <w:tcW w:type="dxa" w:w="1584"/>
          </w:tcPr>
          <w:p>
            <w:pPr>
              <w:spacing w:after="0" w:before="0"/>
              <w:jc w:val="right"/>
            </w:pPr>
            <w:r/>
            <w:r>
              <w:rPr>
                <w:b w:val="0"/>
                <w:i w:val="0"/>
                <w:sz w:val="18"/>
              </w:rPr>
              <w:t>$4,534,730</w:t>
            </w:r>
          </w:p>
        </w:tc>
        <w:tc>
          <w:tcPr>
            <w:tcW w:type="dxa" w:w="1008"/>
          </w:tcPr>
          <w:p>
            <w:pPr>
              <w:spacing w:after="0" w:before="0"/>
              <w:jc w:val="right"/>
            </w:pPr>
            <w:r/>
            <w:r>
              <w:rPr>
                <w:b w:val="0"/>
                <w:i w:val="0"/>
                <w:sz w:val="18"/>
              </w:rPr>
              <w:t>7.9%</w:t>
            </w:r>
          </w:p>
        </w:tc>
      </w:tr>
      <w:tr>
        <w:tc>
          <w:tcPr>
            <w:tcW w:type="dxa" w:w="5040"/>
            <w:shd w:val="clear" w:color="auto" w:fill="F2F4F8"/>
          </w:tcPr>
          <w:p>
            <w:pPr>
              <w:spacing w:after="0" w:before="0"/>
            </w:pPr>
            <w:r/>
            <w:r>
              <w:rPr>
                <w:b w:val="0"/>
                <w:i w:val="0"/>
                <w:sz w:val="18"/>
              </w:rPr>
              <w:t>F. Station 496 feeder protection upgrades (interconnection)</w:t>
            </w:r>
          </w:p>
        </w:tc>
        <w:tc>
          <w:tcPr>
            <w:tcW w:type="dxa" w:w="1584"/>
            <w:shd w:val="clear" w:color="auto" w:fill="F2F4F8"/>
          </w:tcPr>
          <w:p>
            <w:pPr>
              <w:spacing w:after="0" w:before="0"/>
              <w:jc w:val="right"/>
            </w:pPr>
            <w:r/>
            <w:r>
              <w:rPr>
                <w:b w:val="0"/>
                <w:i w:val="0"/>
                <w:sz w:val="18"/>
              </w:rPr>
              <w:t>$7,253,162</w:t>
            </w:r>
          </w:p>
        </w:tc>
        <w:tc>
          <w:tcPr>
            <w:tcW w:type="dxa" w:w="1584"/>
            <w:shd w:val="clear" w:color="auto" w:fill="F2F4F8"/>
          </w:tcPr>
          <w:p>
            <w:pPr>
              <w:spacing w:after="0" w:before="0"/>
              <w:jc w:val="right"/>
            </w:pPr>
            <w:r/>
            <w:r>
              <w:rPr>
                <w:b w:val="0"/>
                <w:i w:val="0"/>
                <w:sz w:val="18"/>
              </w:rPr>
              <w:t>$7,253,162</w:t>
            </w:r>
          </w:p>
        </w:tc>
        <w:tc>
          <w:tcPr>
            <w:tcW w:type="dxa" w:w="1008"/>
            <w:shd w:val="clear" w:color="auto" w:fill="F2F4F8"/>
          </w:tcPr>
          <w:p>
            <w:pPr>
              <w:spacing w:after="0" w:before="0"/>
              <w:jc w:val="right"/>
            </w:pPr>
            <w:r/>
            <w:r>
              <w:rPr>
                <w:b w:val="0"/>
                <w:i w:val="0"/>
                <w:sz w:val="18"/>
              </w:rPr>
              <w:t>12.7%</w:t>
            </w:r>
          </w:p>
        </w:tc>
      </w:tr>
      <w:tr>
        <w:tc>
          <w:tcPr>
            <w:tcW w:type="dxa" w:w="5040"/>
          </w:tcPr>
          <w:p>
            <w:pPr>
              <w:spacing w:after="0" w:before="0"/>
            </w:pPr>
            <w:r/>
            <w:r>
              <w:rPr>
                <w:b w:val="0"/>
                <w:i w:val="0"/>
                <w:sz w:val="18"/>
              </w:rPr>
              <w:t>G. Testing &amp; commissioning</w:t>
            </w:r>
          </w:p>
        </w:tc>
        <w:tc>
          <w:tcPr>
            <w:tcW w:type="dxa" w:w="1584"/>
          </w:tcPr>
          <w:p>
            <w:pPr>
              <w:spacing w:after="0" w:before="0"/>
              <w:jc w:val="right"/>
            </w:pPr>
            <w:r/>
            <w:r>
              <w:rPr>
                <w:b w:val="0"/>
                <w:i w:val="0"/>
                <w:sz w:val="18"/>
              </w:rPr>
              <w:t>$1,262,914</w:t>
            </w:r>
          </w:p>
        </w:tc>
        <w:tc>
          <w:tcPr>
            <w:tcW w:type="dxa" w:w="1584"/>
          </w:tcPr>
          <w:p>
            <w:pPr>
              <w:spacing w:after="0" w:before="0"/>
              <w:jc w:val="right"/>
            </w:pPr>
            <w:r/>
            <w:r>
              <w:rPr>
                <w:b w:val="0"/>
                <w:i w:val="0"/>
                <w:sz w:val="18"/>
              </w:rPr>
              <w:t>$2,128,365</w:t>
            </w:r>
          </w:p>
        </w:tc>
        <w:tc>
          <w:tcPr>
            <w:tcW w:type="dxa" w:w="1008"/>
          </w:tcPr>
          <w:p>
            <w:pPr>
              <w:spacing w:after="0" w:before="0"/>
              <w:jc w:val="right"/>
            </w:pPr>
            <w:r/>
            <w:r>
              <w:rPr>
                <w:b w:val="0"/>
                <w:i w:val="0"/>
                <w:sz w:val="18"/>
              </w:rPr>
              <w:t>3.7%</w:t>
            </w:r>
          </w:p>
        </w:tc>
      </w:tr>
      <w:tr>
        <w:tc>
          <w:tcPr>
            <w:tcW w:type="dxa" w:w="5040"/>
            <w:shd w:val="clear" w:color="auto" w:fill="F2F4F8"/>
          </w:tcPr>
          <w:p>
            <w:pPr>
              <w:spacing w:after="0" w:before="0"/>
            </w:pPr>
            <w:r/>
            <w:r>
              <w:rPr>
                <w:b w:val="0"/>
                <w:i w:val="0"/>
                <w:sz w:val="18"/>
              </w:rPr>
              <w:t>H. Owner soft costs (engineering, siting, environmental, outreach, PM, land)</w:t>
            </w:r>
          </w:p>
        </w:tc>
        <w:tc>
          <w:tcPr>
            <w:tcW w:type="dxa" w:w="1584"/>
            <w:shd w:val="clear" w:color="auto" w:fill="F2F4F8"/>
          </w:tcPr>
          <w:p>
            <w:pPr>
              <w:spacing w:after="0" w:before="0"/>
              <w:jc w:val="right"/>
            </w:pPr>
            <w:r/>
            <w:r>
              <w:rPr>
                <w:b w:val="0"/>
                <w:i w:val="0"/>
                <w:sz w:val="18"/>
              </w:rPr>
              <w:t>$4,420,366</w:t>
            </w:r>
          </w:p>
        </w:tc>
        <w:tc>
          <w:tcPr>
            <w:tcW w:type="dxa" w:w="1584"/>
            <w:shd w:val="clear" w:color="auto" w:fill="F2F4F8"/>
          </w:tcPr>
          <w:p>
            <w:pPr>
              <w:spacing w:after="0" w:before="0"/>
              <w:jc w:val="right"/>
            </w:pPr>
            <w:r/>
            <w:r>
              <w:rPr>
                <w:b w:val="0"/>
                <w:i w:val="0"/>
                <w:sz w:val="18"/>
              </w:rPr>
              <w:t>$7,449,564</w:t>
            </w:r>
          </w:p>
        </w:tc>
        <w:tc>
          <w:tcPr>
            <w:tcW w:type="dxa" w:w="1008"/>
            <w:shd w:val="clear" w:color="auto" w:fill="F2F4F8"/>
          </w:tcPr>
          <w:p>
            <w:pPr>
              <w:spacing w:after="0" w:before="0"/>
              <w:jc w:val="right"/>
            </w:pPr>
            <w:r/>
            <w:r>
              <w:rPr>
                <w:b w:val="0"/>
                <w:i w:val="0"/>
                <w:sz w:val="18"/>
              </w:rPr>
              <w:t>13.0%</w:t>
            </w:r>
          </w:p>
        </w:tc>
      </w:tr>
      <w:tr>
        <w:tc>
          <w:tcPr>
            <w:tcW w:type="dxa" w:w="5040"/>
          </w:tcPr>
          <w:p>
            <w:pPr>
              <w:spacing w:after="0" w:before="0"/>
            </w:pPr>
            <w:r/>
            <w:r>
              <w:rPr>
                <w:b w:val="0"/>
                <w:i w:val="0"/>
                <w:sz w:val="18"/>
              </w:rPr>
              <w:t>I. Taxes, CWIP, builders-risk insurance</w:t>
            </w:r>
          </w:p>
        </w:tc>
        <w:tc>
          <w:tcPr>
            <w:tcW w:type="dxa" w:w="1584"/>
          </w:tcPr>
          <w:p>
            <w:pPr>
              <w:spacing w:after="0" w:before="0"/>
              <w:jc w:val="right"/>
            </w:pPr>
            <w:r/>
            <w:r>
              <w:rPr>
                <w:b w:val="0"/>
                <w:i w:val="0"/>
                <w:sz w:val="18"/>
              </w:rPr>
              <w:t>$787,533</w:t>
            </w:r>
          </w:p>
        </w:tc>
        <w:tc>
          <w:tcPr>
            <w:tcW w:type="dxa" w:w="1584"/>
          </w:tcPr>
          <w:p>
            <w:pPr>
              <w:spacing w:after="0" w:before="0"/>
              <w:jc w:val="right"/>
            </w:pPr>
            <w:r/>
            <w:r>
              <w:rPr>
                <w:b w:val="0"/>
                <w:i w:val="0"/>
                <w:sz w:val="18"/>
              </w:rPr>
              <w:t>$1,327,215</w:t>
            </w:r>
          </w:p>
        </w:tc>
        <w:tc>
          <w:tcPr>
            <w:tcW w:type="dxa" w:w="1008"/>
          </w:tcPr>
          <w:p>
            <w:pPr>
              <w:spacing w:after="0" w:before="0"/>
              <w:jc w:val="right"/>
            </w:pPr>
            <w:r/>
            <w:r>
              <w:rPr>
                <w:b w:val="0"/>
                <w:i w:val="0"/>
                <w:sz w:val="18"/>
              </w:rPr>
              <w:t>2.3%</w:t>
            </w:r>
          </w:p>
        </w:tc>
      </w:tr>
      <w:tr>
        <w:tc>
          <w:tcPr>
            <w:tcW w:type="dxa" w:w="5040"/>
            <w:shd w:val="clear" w:color="auto" w:fill="F2F4F8"/>
          </w:tcPr>
          <w:p>
            <w:pPr>
              <w:spacing w:after="0" w:before="0"/>
            </w:pPr>
            <w:r/>
            <w:r>
              <w:rPr>
                <w:b w:val="0"/>
                <w:i w:val="0"/>
                <w:sz w:val="18"/>
              </w:rPr>
              <w:t>J. Risk register</w:t>
            </w:r>
          </w:p>
        </w:tc>
        <w:tc>
          <w:tcPr>
            <w:tcW w:type="dxa" w:w="1584"/>
            <w:shd w:val="clear" w:color="auto" w:fill="F2F4F8"/>
          </w:tcPr>
          <w:p>
            <w:pPr>
              <w:spacing w:after="0" w:before="0"/>
              <w:jc w:val="right"/>
            </w:pPr>
            <w:r/>
            <w:r>
              <w:rPr>
                <w:b w:val="0"/>
                <w:i w:val="0"/>
                <w:sz w:val="18"/>
              </w:rPr>
              <w:t>$5,300,000</w:t>
            </w:r>
          </w:p>
        </w:tc>
        <w:tc>
          <w:tcPr>
            <w:tcW w:type="dxa" w:w="1584"/>
            <w:shd w:val="clear" w:color="auto" w:fill="F2F4F8"/>
          </w:tcPr>
          <w:p>
            <w:pPr>
              <w:spacing w:after="0" w:before="0"/>
              <w:jc w:val="right"/>
            </w:pPr>
            <w:r/>
            <w:r>
              <w:rPr>
                <w:b w:val="0"/>
                <w:i w:val="0"/>
                <w:sz w:val="18"/>
              </w:rPr>
              <w:t>spread over A to I</w:t>
            </w:r>
          </w:p>
        </w:tc>
        <w:tc>
          <w:tcPr>
            <w:tcW w:type="dxa" w:w="1008"/>
            <w:shd w:val="clear" w:color="auto" w:fill="F2F4F8"/>
          </w:tcPr>
          <w:p>
            <w:pPr>
              <w:spacing w:after="0" w:before="0"/>
              <w:jc w:val="right"/>
            </w:pPr>
            <w:r/>
            <w:r>
              <w:rPr>
                <w:b w:val="0"/>
                <w:i w:val="0"/>
                <w:sz w:val="18"/>
              </w:rPr>
            </w:r>
          </w:p>
        </w:tc>
      </w:tr>
      <w:tr>
        <w:tc>
          <w:tcPr>
            <w:tcW w:type="dxa" w:w="5040"/>
          </w:tcPr>
          <w:p>
            <w:pPr>
              <w:spacing w:after="0" w:before="0"/>
            </w:pPr>
            <w:r/>
            <w:r>
              <w:rPr>
                <w:b w:val="0"/>
                <w:i w:val="0"/>
                <w:sz w:val="18"/>
              </w:rPr>
              <w:t>K. Contingency</w:t>
            </w:r>
          </w:p>
        </w:tc>
        <w:tc>
          <w:tcPr>
            <w:tcW w:type="dxa" w:w="1584"/>
          </w:tcPr>
          <w:p>
            <w:pPr>
              <w:spacing w:after="0" w:before="0"/>
              <w:jc w:val="right"/>
            </w:pPr>
            <w:r/>
            <w:r>
              <w:rPr>
                <w:b w:val="0"/>
                <w:i w:val="0"/>
                <w:sz w:val="18"/>
              </w:rPr>
              <w:t>$2,283,517</w:t>
            </w:r>
          </w:p>
        </w:tc>
        <w:tc>
          <w:tcPr>
            <w:tcW w:type="dxa" w:w="1584"/>
          </w:tcPr>
          <w:p>
            <w:pPr>
              <w:spacing w:after="0" w:before="0"/>
              <w:jc w:val="right"/>
            </w:pPr>
            <w:r/>
            <w:r>
              <w:rPr>
                <w:b w:val="0"/>
                <w:i w:val="0"/>
                <w:sz w:val="18"/>
              </w:rPr>
              <w:t>spread over A to I</w:t>
            </w:r>
          </w:p>
        </w:tc>
        <w:tc>
          <w:tcPr>
            <w:tcW w:type="dxa" w:w="1008"/>
          </w:tcPr>
          <w:p>
            <w:pPr>
              <w:spacing w:after="0" w:before="0"/>
              <w:jc w:val="right"/>
            </w:pPr>
            <w:r/>
            <w:r>
              <w:rPr>
                <w:b w:val="0"/>
                <w:i w:val="0"/>
                <w:sz w:val="18"/>
              </w:rPr>
            </w:r>
          </w:p>
        </w:tc>
      </w:tr>
      <w:tr>
        <w:tc>
          <w:tcPr>
            <w:tcW w:type="dxa" w:w="5040"/>
            <w:shd w:val="clear" w:color="auto" w:fill="F2F4F8"/>
          </w:tcPr>
          <w:p>
            <w:pPr>
              <w:spacing w:after="0" w:before="0"/>
            </w:pPr>
            <w:r/>
            <w:r>
              <w:rPr>
                <w:b w:val="0"/>
                <w:i w:val="0"/>
                <w:sz w:val="18"/>
              </w:rPr>
              <w:t>L. Indirects / overheads</w:t>
            </w:r>
          </w:p>
        </w:tc>
        <w:tc>
          <w:tcPr>
            <w:tcW w:type="dxa" w:w="1584"/>
            <w:shd w:val="clear" w:color="auto" w:fill="F2F4F8"/>
          </w:tcPr>
          <w:p>
            <w:pPr>
              <w:spacing w:after="0" w:before="0"/>
              <w:jc w:val="right"/>
            </w:pPr>
            <w:r/>
            <w:r>
              <w:rPr>
                <w:b w:val="0"/>
                <w:i w:val="0"/>
                <w:sz w:val="18"/>
              </w:rPr>
              <w:t>$8,064,672</w:t>
            </w:r>
          </w:p>
        </w:tc>
        <w:tc>
          <w:tcPr>
            <w:tcW w:type="dxa" w:w="1584"/>
            <w:shd w:val="clear" w:color="auto" w:fill="F2F4F8"/>
          </w:tcPr>
          <w:p>
            <w:pPr>
              <w:spacing w:after="0" w:before="0"/>
              <w:jc w:val="right"/>
            </w:pPr>
            <w:r/>
            <w:r>
              <w:rPr>
                <w:b w:val="0"/>
                <w:i w:val="0"/>
                <w:sz w:val="18"/>
              </w:rPr>
              <w:t>spread over A to I</w:t>
            </w:r>
          </w:p>
        </w:tc>
        <w:tc>
          <w:tcPr>
            <w:tcW w:type="dxa" w:w="1008"/>
            <w:shd w:val="clear" w:color="auto" w:fill="F2F4F8"/>
          </w:tcPr>
          <w:p>
            <w:pPr>
              <w:spacing w:after="0" w:before="0"/>
              <w:jc w:val="right"/>
            </w:pPr>
            <w:r/>
            <w:r>
              <w:rPr>
                <w:b w:val="0"/>
                <w:i w:val="0"/>
                <w:sz w:val="18"/>
              </w:rPr>
            </w:r>
          </w:p>
        </w:tc>
      </w:tr>
      <w:tr>
        <w:tc>
          <w:tcPr>
            <w:tcW w:type="dxa" w:w="5040"/>
          </w:tcPr>
          <w:p>
            <w:pPr>
              <w:spacing w:after="0" w:before="0"/>
            </w:pPr>
            <w:r/>
            <w:r>
              <w:rPr>
                <w:b w:val="0"/>
                <w:i w:val="0"/>
                <w:sz w:val="18"/>
              </w:rPr>
              <w:t>M. AFUDC</w:t>
            </w:r>
          </w:p>
        </w:tc>
        <w:tc>
          <w:tcPr>
            <w:tcW w:type="dxa" w:w="1584"/>
          </w:tcPr>
          <w:p>
            <w:pPr>
              <w:spacing w:after="0" w:before="0"/>
              <w:jc w:val="right"/>
            </w:pPr>
            <w:r/>
            <w:r>
              <w:rPr>
                <w:b w:val="0"/>
                <w:i w:val="0"/>
                <w:sz w:val="18"/>
              </w:rPr>
              <w:t>$4,680,899</w:t>
            </w:r>
          </w:p>
        </w:tc>
        <w:tc>
          <w:tcPr>
            <w:tcW w:type="dxa" w:w="1584"/>
          </w:tcPr>
          <w:p>
            <w:pPr>
              <w:spacing w:after="0" w:before="0"/>
              <w:jc w:val="right"/>
            </w:pPr>
            <w:r/>
            <w:r>
              <w:rPr>
                <w:b w:val="0"/>
                <w:i w:val="0"/>
                <w:sz w:val="18"/>
              </w:rPr>
              <w:t>spread over A to I</w:t>
            </w:r>
          </w:p>
        </w:tc>
        <w:tc>
          <w:tcPr>
            <w:tcW w:type="dxa" w:w="1008"/>
          </w:tcPr>
          <w:p>
            <w:pPr>
              <w:spacing w:after="0" w:before="0"/>
              <w:jc w:val="right"/>
            </w:pPr>
            <w:r/>
            <w:r>
              <w:rPr>
                <w:b w:val="0"/>
                <w:i w:val="0"/>
                <w:sz w:val="18"/>
              </w:rPr>
            </w:r>
          </w:p>
        </w:tc>
      </w:tr>
      <w:tr>
        <w:tc>
          <w:tcPr>
            <w:tcW w:type="dxa" w:w="5040"/>
            <w:shd w:val="clear" w:color="auto" w:fill="F2F4F8"/>
          </w:tcPr>
          <w:p>
            <w:pPr>
              <w:spacing w:after="0" w:before="0"/>
            </w:pPr>
            <w:r/>
            <w:r>
              <w:rPr>
                <w:b/>
                <w:i w:val="0"/>
                <w:sz w:val="18"/>
              </w:rPr>
              <w:t>Total, project 21334</w:t>
            </w:r>
          </w:p>
        </w:tc>
        <w:tc>
          <w:tcPr>
            <w:tcW w:type="dxa" w:w="1584"/>
            <w:shd w:val="clear" w:color="auto" w:fill="F2F4F8"/>
          </w:tcPr>
          <w:p>
            <w:pPr>
              <w:spacing w:after="0" w:before="0"/>
              <w:jc w:val="right"/>
            </w:pPr>
            <w:r/>
            <w:r>
              <w:rPr>
                <w:b/>
                <w:i w:val="0"/>
                <w:sz w:val="18"/>
              </w:rPr>
              <w:t>$57,247,544</w:t>
            </w:r>
          </w:p>
        </w:tc>
        <w:tc>
          <w:tcPr>
            <w:tcW w:type="dxa" w:w="1584"/>
            <w:shd w:val="clear" w:color="auto" w:fill="F2F4F8"/>
          </w:tcPr>
          <w:p>
            <w:pPr>
              <w:spacing w:after="0" w:before="0"/>
              <w:jc w:val="right"/>
            </w:pPr>
            <w:r/>
            <w:r>
              <w:rPr>
                <w:b/>
                <w:i w:val="0"/>
                <w:sz w:val="18"/>
              </w:rPr>
              <w:t>$57,247,544</w:t>
            </w:r>
          </w:p>
        </w:tc>
        <w:tc>
          <w:tcPr>
            <w:tcW w:type="dxa" w:w="1008"/>
            <w:shd w:val="clear" w:color="auto" w:fill="F2F4F8"/>
          </w:tcPr>
          <w:p>
            <w:pPr>
              <w:spacing w:after="0" w:before="0"/>
              <w:jc w:val="right"/>
            </w:pPr>
            <w:r/>
            <w:r>
              <w:rPr>
                <w:b/>
                <w:i w:val="0"/>
                <w:sz w:val="18"/>
              </w:rPr>
              <w:t>100%</w:t>
            </w:r>
          </w:p>
        </w:tc>
      </w:tr>
    </w:tbl>
    <w:p>
      <w:pPr>
        <w:spacing w:after="40"/>
      </w:pPr>
    </w:p>
    <w:p>
      <w:pPr>
        <w:spacing w:after="120"/>
      </w:pPr>
      <w:r>
        <w:rPr>
          <w:b w:val="0"/>
          <w:i w:val="0"/>
        </w:rPr>
        <w:t>Three groupings carry the argument. The battery-related layers A, B and C total $16.7 million direct and $28.1 million loaded, 49 percent of the project. The station and interconnection layers D, E and F total $13.8 million direct and $18.3 million loaded, 32 percent. The owner's soft costs, testing and taxes, layers G to I, total $6.5 million direct and $10.9 million loaded, 19 percent. Put differently: even after every dollar of risk, contingency, overhead and AFUDC is attributed to the battery in proportion, the battery is under half the project.</w:t>
      </w:r>
    </w:p>
    <w:p>
      <w:pPr>
        <w:pStyle w:val="Heading2"/>
      </w:pPr>
      <w:r>
        <w:t>3.1 The station and the interconnection</w:t>
      </w:r>
    </w:p>
    <w:p>
      <w:pPr>
        <w:spacing w:after="120"/>
      </w:pPr>
      <w:r>
        <w:rPr>
          <w:b w:val="0"/>
          <w:i w:val="0"/>
        </w:rPr>
        <w:t>A 10 MW battery connected at 13.8 kV to four separate feeders needs a switching station. Station 360 as scoped in the 30 June 2026 scope of work consists of four Siemens SDV7 1,200 A standalone breaker skids, each carrying its own relays, potential transformers, disconnects, control cabinet and DC battery at a Siemens budgetary price of $300,000, plus four metering transclosures, a 1,500 kVA station service transformer, eight 45 ft riser poles, 2,750 ft of 250 MCM 15 kV cable from the risers to the step-up transformers, 1,240 ft of duct bank, a 4,400 ft ground grid, lighting and 10,000 ft of control cable. That is layer D: $3.8 million direct, $6.5 million loaded, and none of it is in a battery quote.</w:t>
      </w:r>
    </w:p>
    <w:p>
      <w:pPr>
        <w:spacing w:after="120"/>
      </w:pPr>
      <w:r>
        <w:rPr>
          <w:b w:val="0"/>
          <w:i w:val="0"/>
        </w:rPr>
        <w:t>The feeders themselves must be able to accept 2.5 MW of injection each without mis-operating their protection. That is the Station 496 estimate: twenty SEL relays replacing SEL-551 and ABB REF610 units on the four feeders and their transformers, transfer-trip signaling over dedicated dark fiber between Station 496 and the Station 360 feeders, and SCADA point lists for the RTU and the RTAC. It carries $7.25 million at approval level, of which $1.8 million is testing and commissioning and $1.4 million is construction labor. This is interconnection cost in the plain sense, and it is the single largest non-battery layer.</w:t>
      </w:r>
    </w:p>
    <w:p>
      <w:pPr>
        <w:spacing w:after="120"/>
      </w:pPr>
      <w:r>
        <w:rPr>
          <w:b w:val="0"/>
          <w:i w:val="0"/>
        </w:rPr>
        <w:t>The circuit extension that brings the four feeders 5,465 ft from Cummins Highway into the property is a third interconnection scope under project 24211, with three manholes, 1,270 ft of six-way duct bank, removal of 13,065 ft of 15 kV cable and installation of 16,395 ft of 3-700 cable. Its conceptual estimate from the February 2024 Solution Selection Form is $4.8 million and it has not been re-based; the Haugland Class 3 take-off of September 2026 reads the duct bank at eight 6 in ducts over 10,160 ft, which is larger. The all-in view of $62.0 million in this paper carries the 2024 figure as a memo item, with low confidence on that line.</w:t>
      </w:r>
    </w:p>
    <w:p>
      <w:pPr>
        <w:pStyle w:val="Heading2"/>
      </w:pPr>
      <w:r>
        <w:t>3.2 The site</w:t>
      </w:r>
    </w:p>
    <w:p>
      <w:pPr>
        <w:spacing w:after="120"/>
      </w:pPr>
      <w:r>
        <w:rPr>
          <w:b w:val="0"/>
          <w:i w:val="0"/>
        </w:rPr>
        <w:t>The parcel at 401-433 Cummins Highway is Eversource-owned and is the former Barry construction-debris landfill. Building a 200 ft by 200 ft yard on it requires a MassDEP post-closure use permit, cap protection matting, 36 soil borings, 2,520 CY of cut, 570 CY of imported structural fill on a platform whose depth is a 2.5 ft placeholder pending the geotechnical investigation, a 280 ft formed retaining wall at 14 ft, 4,900 SY of trap rock, a 760 ft access road with a curb cut on a City street, fencing and lighting. Layer E is $2.7 million direct and $4.5 million loaded. Haugland's Attachment 4-F separately carries a geotechnical exposure of $600,000 low, $1.6 million likely and $3.5 million high for the same ground.</w:t>
      </w:r>
    </w:p>
    <w:p>
      <w:pPr>
        <w:pStyle w:val="Heading2"/>
      </w:pPr>
      <w:r>
        <w:t>3.3 The owner's scope and the loaders</w:t>
      </w:r>
    </w:p>
    <w:p>
      <w:pPr>
        <w:spacing w:after="120"/>
      </w:pPr>
      <w:r>
        <w:rPr>
          <w:b w:val="0"/>
          <w:i w:val="0"/>
        </w:rPr>
        <w:t>Engineering ($895,100 for Station 360, of which $501,000 is to go per Substation Engineering on 18 September 2026), siting ($1,255,600 including $1,052,144 of external application and legal for Article 80 Small Project Review and the Zoning Board of Appeal), environmental permits, community outreach in an environmental justice community, project management and construction reps together make layer H, $4.4 million direct. Testing and commissioning of the station adds $1.3 million. Property tax, CWIP, sales and use tax and builders all-risk add $0.8 million.</w:t>
      </w:r>
    </w:p>
    <w:p>
      <w:pPr>
        <w:spacing w:after="120"/>
      </w:pPr>
      <w:r>
        <w:rPr>
          <w:b w:val="0"/>
          <w:i w:val="0"/>
        </w:rPr>
        <w:t>The loaders are the largest single reason the utility number diverges from a developer's. Risk ($6.07 million across twelve enumerated items, led by $1.0 million for material cost and tariffs, $0.8 million each for scope change and labor, and $0.45 million for unforeseen obstructions in the landfill), contingency ($2.6 million), corporate indirects ($10.0 million, 17.4 percent of the approval level, at the EMA station template rates), and AFUDC ($5.0 million, 8.8 percent, on a spend curve that runs from July 2021 to December 2028) total $23.7 million, 41 percent of the approval level. Every one of these is a real cost to customers. None appears in a vendor quote, a BloombergNEF survey or an NREL benchmark.</w:t>
      </w:r>
    </w:p>
    <w:p>
      <w:pPr>
        <w:pStyle w:val="Heading1"/>
      </w:pPr>
      <w:r>
        <w:t>4. Unit cost at each boundary</w:t>
      </w:r>
    </w:p>
    <w:p>
      <w:pPr>
        <w:spacing w:after="120"/>
      </w:pPr>
      <w:r>
        <w:rPr>
          <w:b w:val="0"/>
          <w:i w:val="0"/>
        </w:rPr>
        <w:t>The table below states the same project at seven boundaries. Each row is the answer to a different question, and a benchmark can be compared only against the row whose definition it shares.</w:t>
      </w:r>
    </w:p>
    <w:tbl>
      <w:tblPr>
        <w:tblStyle w:val="TableGrid"/>
        <w:tblW w:type="auto" w:w="0"/>
        <w:jc w:val="center"/>
        <w:tblLayout w:type="fixed"/>
        <w:tblLook w:firstColumn="1" w:firstRow="1" w:lastColumn="0" w:lastRow="0" w:noHBand="0" w:noVBand="1" w:val="04A0"/>
      </w:tblPr>
      <w:tblGrid>
        <w:gridCol w:w="2880"/>
        <w:gridCol w:w="1440"/>
        <w:gridCol w:w="864"/>
        <w:gridCol w:w="864"/>
        <w:gridCol w:w="720"/>
        <w:gridCol w:w="2592"/>
      </w:tblGrid>
      <w:tr>
        <w:tc>
          <w:tcPr>
            <w:tcW w:type="dxa" w:w="2880"/>
            <w:shd w:val="clear" w:color="auto" w:fill="001E60"/>
          </w:tcPr>
          <w:p>
            <w:pPr>
              <w:spacing w:after="0" w:before="0"/>
            </w:pPr>
            <w:r/>
            <w:r>
              <w:rPr>
                <w:b/>
                <w:i w:val="0"/>
                <w:color w:val="FFFFFF"/>
                <w:sz w:val="17"/>
              </w:rPr>
              <w:t>Boundary</w:t>
            </w:r>
          </w:p>
        </w:tc>
        <w:tc>
          <w:tcPr>
            <w:tcW w:type="dxa" w:w="1440"/>
            <w:shd w:val="clear" w:color="auto" w:fill="001E60"/>
          </w:tcPr>
          <w:p>
            <w:pPr>
              <w:spacing w:after="0" w:before="0"/>
            </w:pPr>
            <w:r/>
            <w:r>
              <w:rPr>
                <w:b/>
                <w:i w:val="0"/>
                <w:color w:val="FFFFFF"/>
                <w:sz w:val="17"/>
              </w:rPr>
              <w:t>Total</w:t>
            </w:r>
          </w:p>
        </w:tc>
        <w:tc>
          <w:tcPr>
            <w:tcW w:type="dxa" w:w="864"/>
            <w:shd w:val="clear" w:color="auto" w:fill="001E60"/>
          </w:tcPr>
          <w:p>
            <w:pPr>
              <w:spacing w:after="0" w:before="0"/>
            </w:pPr>
            <w:r/>
            <w:r>
              <w:rPr>
                <w:b/>
                <w:i w:val="0"/>
                <w:color w:val="FFFFFF"/>
                <w:sz w:val="17"/>
              </w:rPr>
              <w:t>$/kW</w:t>
            </w:r>
          </w:p>
        </w:tc>
        <w:tc>
          <w:tcPr>
            <w:tcW w:type="dxa" w:w="864"/>
            <w:shd w:val="clear" w:color="auto" w:fill="001E60"/>
          </w:tcPr>
          <w:p>
            <w:pPr>
              <w:spacing w:after="0" w:before="0"/>
            </w:pPr>
            <w:r/>
            <w:r>
              <w:rPr>
                <w:b/>
                <w:i w:val="0"/>
                <w:color w:val="FFFFFF"/>
                <w:sz w:val="17"/>
              </w:rPr>
              <w:t>$/kWh</w:t>
            </w:r>
          </w:p>
        </w:tc>
        <w:tc>
          <w:tcPr>
            <w:tcW w:type="dxa" w:w="720"/>
            <w:shd w:val="clear" w:color="auto" w:fill="001E60"/>
          </w:tcPr>
          <w:p>
            <w:pPr>
              <w:spacing w:after="0" w:before="0"/>
            </w:pPr>
            <w:r/>
            <w:r>
              <w:rPr>
                <w:b/>
                <w:i w:val="0"/>
                <w:color w:val="FFFFFF"/>
                <w:sz w:val="17"/>
              </w:rPr>
              <w:t>x</w:t>
            </w:r>
          </w:p>
        </w:tc>
        <w:tc>
          <w:tcPr>
            <w:tcW w:type="dxa" w:w="2592"/>
            <w:shd w:val="clear" w:color="auto" w:fill="001E60"/>
          </w:tcPr>
          <w:p>
            <w:pPr>
              <w:spacing w:after="0" w:before="0"/>
            </w:pPr>
            <w:r/>
            <w:r>
              <w:rPr>
                <w:b/>
                <w:i w:val="0"/>
                <w:color w:val="FFFFFF"/>
                <w:sz w:val="17"/>
              </w:rPr>
              <w:t>Definition</w:t>
            </w:r>
          </w:p>
        </w:tc>
      </w:tr>
      <w:tr>
        <w:tc>
          <w:tcPr>
            <w:tcW w:type="dxa" w:w="2880"/>
          </w:tcPr>
          <w:p>
            <w:pPr>
              <w:spacing w:after="0" w:before="0"/>
            </w:pPr>
            <w:r/>
            <w:r>
              <w:rPr>
                <w:b w:val="0"/>
                <w:i w:val="0"/>
                <w:sz w:val="17"/>
              </w:rPr>
              <w:t>1. Vendor contract as quoted</w:t>
            </w:r>
          </w:p>
        </w:tc>
        <w:tc>
          <w:tcPr>
            <w:tcW w:type="dxa" w:w="1440"/>
          </w:tcPr>
          <w:p>
            <w:pPr>
              <w:spacing w:after="0" w:before="0"/>
              <w:jc w:val="right"/>
            </w:pPr>
            <w:r/>
            <w:r>
              <w:rPr>
                <w:b w:val="0"/>
                <w:i w:val="0"/>
                <w:sz w:val="17"/>
              </w:rPr>
              <w:t>$12,106,850</w:t>
            </w:r>
          </w:p>
        </w:tc>
        <w:tc>
          <w:tcPr>
            <w:tcW w:type="dxa" w:w="864"/>
          </w:tcPr>
          <w:p>
            <w:pPr>
              <w:spacing w:after="0" w:before="0"/>
              <w:jc w:val="right"/>
            </w:pPr>
            <w:r/>
            <w:r>
              <w:rPr>
                <w:b w:val="0"/>
                <w:i w:val="0"/>
                <w:sz w:val="17"/>
              </w:rPr>
              <w:t>$1,211</w:t>
            </w:r>
          </w:p>
        </w:tc>
        <w:tc>
          <w:tcPr>
            <w:tcW w:type="dxa" w:w="864"/>
          </w:tcPr>
          <w:p>
            <w:pPr>
              <w:spacing w:after="0" w:before="0"/>
              <w:jc w:val="right"/>
            </w:pPr>
            <w:r/>
            <w:r>
              <w:rPr>
                <w:b w:val="0"/>
                <w:i w:val="0"/>
                <w:sz w:val="17"/>
              </w:rPr>
              <w:t>$605</w:t>
            </w:r>
          </w:p>
        </w:tc>
        <w:tc>
          <w:tcPr>
            <w:tcW w:type="dxa" w:w="720"/>
          </w:tcPr>
          <w:p>
            <w:pPr>
              <w:spacing w:after="0" w:before="0"/>
              <w:jc w:val="right"/>
            </w:pPr>
            <w:r/>
            <w:r>
              <w:rPr>
                <w:b w:val="0"/>
                <w:i w:val="0"/>
                <w:sz w:val="17"/>
              </w:rPr>
              <w:t>1.00</w:t>
            </w:r>
          </w:p>
        </w:tc>
        <w:tc>
          <w:tcPr>
            <w:tcW w:type="dxa" w:w="2592"/>
          </w:tcPr>
          <w:p>
            <w:pPr>
              <w:spacing w:after="0" w:before="0"/>
            </w:pPr>
            <w:r/>
            <w:r>
              <w:rPr>
                <w:b w:val="0"/>
                <w:i w:val="0"/>
                <w:sz w:val="17"/>
              </w:rPr>
              <w:t>Equipment, warranty, support, supervision. The number a vendor reports.</w:t>
            </w:r>
          </w:p>
        </w:tc>
      </w:tr>
      <w:tr>
        <w:tc>
          <w:tcPr>
            <w:tcW w:type="dxa" w:w="2880"/>
            <w:shd w:val="clear" w:color="auto" w:fill="F2F4F8"/>
          </w:tcPr>
          <w:p>
            <w:pPr>
              <w:spacing w:after="0" w:before="0"/>
            </w:pPr>
            <w:r/>
            <w:r>
              <w:rPr>
                <w:b w:val="0"/>
                <w:i w:val="0"/>
                <w:sz w:val="17"/>
              </w:rPr>
              <w:t>2. Battery supply as carried in Rev 3 (layer A)</w:t>
            </w:r>
          </w:p>
        </w:tc>
        <w:tc>
          <w:tcPr>
            <w:tcW w:type="dxa" w:w="1440"/>
            <w:shd w:val="clear" w:color="auto" w:fill="F2F4F8"/>
          </w:tcPr>
          <w:p>
            <w:pPr>
              <w:spacing w:after="0" w:before="0"/>
              <w:jc w:val="right"/>
            </w:pPr>
            <w:r/>
            <w:r>
              <w:rPr>
                <w:b w:val="0"/>
                <w:i w:val="0"/>
                <w:sz w:val="17"/>
              </w:rPr>
              <w:t>$12,991,104</w:t>
            </w:r>
          </w:p>
        </w:tc>
        <w:tc>
          <w:tcPr>
            <w:tcW w:type="dxa" w:w="864"/>
            <w:shd w:val="clear" w:color="auto" w:fill="F2F4F8"/>
          </w:tcPr>
          <w:p>
            <w:pPr>
              <w:spacing w:after="0" w:before="0"/>
              <w:jc w:val="right"/>
            </w:pPr>
            <w:r/>
            <w:r>
              <w:rPr>
                <w:b w:val="0"/>
                <w:i w:val="0"/>
                <w:sz w:val="17"/>
              </w:rPr>
              <w:t>$1,299</w:t>
            </w:r>
          </w:p>
        </w:tc>
        <w:tc>
          <w:tcPr>
            <w:tcW w:type="dxa" w:w="864"/>
            <w:shd w:val="clear" w:color="auto" w:fill="F2F4F8"/>
          </w:tcPr>
          <w:p>
            <w:pPr>
              <w:spacing w:after="0" w:before="0"/>
              <w:jc w:val="right"/>
            </w:pPr>
            <w:r/>
            <w:r>
              <w:rPr>
                <w:b w:val="0"/>
                <w:i w:val="0"/>
                <w:sz w:val="17"/>
              </w:rPr>
              <w:t>$650</w:t>
            </w:r>
          </w:p>
        </w:tc>
        <w:tc>
          <w:tcPr>
            <w:tcW w:type="dxa" w:w="720"/>
            <w:shd w:val="clear" w:color="auto" w:fill="F2F4F8"/>
          </w:tcPr>
          <w:p>
            <w:pPr>
              <w:spacing w:after="0" w:before="0"/>
              <w:jc w:val="right"/>
            </w:pPr>
            <w:r/>
            <w:r>
              <w:rPr>
                <w:b w:val="0"/>
                <w:i w:val="0"/>
                <w:sz w:val="17"/>
              </w:rPr>
              <w:t>1.07</w:t>
            </w:r>
          </w:p>
        </w:tc>
        <w:tc>
          <w:tcPr>
            <w:tcW w:type="dxa" w:w="2592"/>
            <w:shd w:val="clear" w:color="auto" w:fill="F2F4F8"/>
          </w:tcPr>
          <w:p>
            <w:pPr>
              <w:spacing w:after="0" w:before="0"/>
            </w:pPr>
            <w:r/>
            <w:r>
              <w:rPr>
                <w:b w:val="0"/>
                <w:i w:val="0"/>
                <w:sz w:val="17"/>
              </w:rPr>
              <w:t>Contract plus $1.13 million of escalation on the unpaid balance.</w:t>
            </w:r>
          </w:p>
        </w:tc>
      </w:tr>
      <w:tr>
        <w:tc>
          <w:tcPr>
            <w:tcW w:type="dxa" w:w="2880"/>
          </w:tcPr>
          <w:p>
            <w:pPr>
              <w:spacing w:after="0" w:before="0"/>
            </w:pPr>
            <w:r/>
            <w:r>
              <w:rPr>
                <w:b w:val="0"/>
                <w:i w:val="0"/>
                <w:sz w:val="17"/>
              </w:rPr>
              <w:t>3. Battery installed, direct (layers A+B+C)</w:t>
            </w:r>
          </w:p>
        </w:tc>
        <w:tc>
          <w:tcPr>
            <w:tcW w:type="dxa" w:w="1440"/>
          </w:tcPr>
          <w:p>
            <w:pPr>
              <w:spacing w:after="0" w:before="0"/>
              <w:jc w:val="right"/>
            </w:pPr>
            <w:r/>
            <w:r>
              <w:rPr>
                <w:b w:val="0"/>
                <w:i w:val="0"/>
                <w:sz w:val="17"/>
              </w:rPr>
              <w:t>$16,657,252</w:t>
            </w:r>
          </w:p>
        </w:tc>
        <w:tc>
          <w:tcPr>
            <w:tcW w:type="dxa" w:w="864"/>
          </w:tcPr>
          <w:p>
            <w:pPr>
              <w:spacing w:after="0" w:before="0"/>
              <w:jc w:val="right"/>
            </w:pPr>
            <w:r/>
            <w:r>
              <w:rPr>
                <w:b w:val="0"/>
                <w:i w:val="0"/>
                <w:sz w:val="17"/>
              </w:rPr>
              <w:t>$1,666</w:t>
            </w:r>
          </w:p>
        </w:tc>
        <w:tc>
          <w:tcPr>
            <w:tcW w:type="dxa" w:w="864"/>
          </w:tcPr>
          <w:p>
            <w:pPr>
              <w:spacing w:after="0" w:before="0"/>
              <w:jc w:val="right"/>
            </w:pPr>
            <w:r/>
            <w:r>
              <w:rPr>
                <w:b w:val="0"/>
                <w:i w:val="0"/>
                <w:sz w:val="17"/>
              </w:rPr>
              <w:t>$833</w:t>
            </w:r>
          </w:p>
        </w:tc>
        <w:tc>
          <w:tcPr>
            <w:tcW w:type="dxa" w:w="720"/>
          </w:tcPr>
          <w:p>
            <w:pPr>
              <w:spacing w:after="0" w:before="0"/>
              <w:jc w:val="right"/>
            </w:pPr>
            <w:r/>
            <w:r>
              <w:rPr>
                <w:b w:val="0"/>
                <w:i w:val="0"/>
                <w:sz w:val="17"/>
              </w:rPr>
              <w:t>1.38</w:t>
            </w:r>
          </w:p>
        </w:tc>
        <w:tc>
          <w:tcPr>
            <w:tcW w:type="dxa" w:w="2592"/>
          </w:tcPr>
          <w:p>
            <w:pPr>
              <w:spacing w:after="0" w:before="0"/>
            </w:pPr>
            <w:r/>
            <w:r>
              <w:rPr>
                <w:b w:val="0"/>
                <w:i w:val="0"/>
                <w:sz w:val="17"/>
              </w:rPr>
              <w:t>Adds installation labor, pads, fire suppression, GSUs, EMS, auxiliary power. Closest analogue to a 'turnkey' index.</w:t>
            </w:r>
          </w:p>
        </w:tc>
      </w:tr>
      <w:tr>
        <w:tc>
          <w:tcPr>
            <w:tcW w:type="dxa" w:w="2880"/>
            <w:shd w:val="clear" w:color="auto" w:fill="F2F4F8"/>
          </w:tcPr>
          <w:p>
            <w:pPr>
              <w:spacing w:after="0" w:before="0"/>
            </w:pPr>
            <w:r/>
            <w:r>
              <w:rPr>
                <w:b w:val="0"/>
                <w:i w:val="0"/>
                <w:sz w:val="17"/>
              </w:rPr>
              <w:t>4. Station complete, direct (A to I, no loaders)</w:t>
            </w:r>
          </w:p>
        </w:tc>
        <w:tc>
          <w:tcPr>
            <w:tcW w:type="dxa" w:w="1440"/>
            <w:shd w:val="clear" w:color="auto" w:fill="F2F4F8"/>
          </w:tcPr>
          <w:p>
            <w:pPr>
              <w:spacing w:after="0" w:before="0"/>
              <w:jc w:val="right"/>
            </w:pPr>
            <w:r/>
            <w:r>
              <w:rPr>
                <w:b w:val="0"/>
                <w:i w:val="0"/>
                <w:sz w:val="17"/>
              </w:rPr>
              <w:t>$29,665,294</w:t>
            </w:r>
          </w:p>
        </w:tc>
        <w:tc>
          <w:tcPr>
            <w:tcW w:type="dxa" w:w="864"/>
            <w:shd w:val="clear" w:color="auto" w:fill="F2F4F8"/>
          </w:tcPr>
          <w:p>
            <w:pPr>
              <w:spacing w:after="0" w:before="0"/>
              <w:jc w:val="right"/>
            </w:pPr>
            <w:r/>
            <w:r>
              <w:rPr>
                <w:b w:val="0"/>
                <w:i w:val="0"/>
                <w:sz w:val="17"/>
              </w:rPr>
              <w:t>$2,967</w:t>
            </w:r>
          </w:p>
        </w:tc>
        <w:tc>
          <w:tcPr>
            <w:tcW w:type="dxa" w:w="864"/>
            <w:shd w:val="clear" w:color="auto" w:fill="F2F4F8"/>
          </w:tcPr>
          <w:p>
            <w:pPr>
              <w:spacing w:after="0" w:before="0"/>
              <w:jc w:val="right"/>
            </w:pPr>
            <w:r/>
            <w:r>
              <w:rPr>
                <w:b w:val="0"/>
                <w:i w:val="0"/>
                <w:sz w:val="17"/>
              </w:rPr>
              <w:t>$1,483</w:t>
            </w:r>
          </w:p>
        </w:tc>
        <w:tc>
          <w:tcPr>
            <w:tcW w:type="dxa" w:w="720"/>
            <w:shd w:val="clear" w:color="auto" w:fill="F2F4F8"/>
          </w:tcPr>
          <w:p>
            <w:pPr>
              <w:spacing w:after="0" w:before="0"/>
              <w:jc w:val="right"/>
            </w:pPr>
            <w:r/>
            <w:r>
              <w:rPr>
                <w:b w:val="0"/>
                <w:i w:val="0"/>
                <w:sz w:val="17"/>
              </w:rPr>
              <w:t>2.45</w:t>
            </w:r>
          </w:p>
        </w:tc>
        <w:tc>
          <w:tcPr>
            <w:tcW w:type="dxa" w:w="2592"/>
            <w:shd w:val="clear" w:color="auto" w:fill="F2F4F8"/>
          </w:tcPr>
          <w:p>
            <w:pPr>
              <w:spacing w:after="0" w:before="0"/>
            </w:pPr>
            <w:r/>
            <w:r>
              <w:rPr>
                <w:b w:val="0"/>
                <w:i w:val="0"/>
                <w:sz w:val="17"/>
              </w:rPr>
              <w:t>Adds the switching station, site, testing, owner soft costs, taxes. Closest analogue to an all-in developer index, less the developer's margin and financing.</w:t>
            </w:r>
          </w:p>
        </w:tc>
      </w:tr>
      <w:tr>
        <w:tc>
          <w:tcPr>
            <w:tcW w:type="dxa" w:w="2880"/>
          </w:tcPr>
          <w:p>
            <w:pPr>
              <w:spacing w:after="0" w:before="0"/>
            </w:pPr>
            <w:r/>
            <w:r>
              <w:rPr>
                <w:b w:val="0"/>
                <w:i w:val="0"/>
                <w:sz w:val="17"/>
              </w:rPr>
              <w:t>5. Station 360 approval level</w:t>
            </w:r>
          </w:p>
        </w:tc>
        <w:tc>
          <w:tcPr>
            <w:tcW w:type="dxa" w:w="1440"/>
          </w:tcPr>
          <w:p>
            <w:pPr>
              <w:spacing w:after="0" w:before="0"/>
              <w:jc w:val="right"/>
            </w:pPr>
            <w:r/>
            <w:r>
              <w:rPr>
                <w:b w:val="0"/>
                <w:i w:val="0"/>
                <w:sz w:val="17"/>
              </w:rPr>
              <w:t>$49,994,200</w:t>
            </w:r>
          </w:p>
        </w:tc>
        <w:tc>
          <w:tcPr>
            <w:tcW w:type="dxa" w:w="864"/>
          </w:tcPr>
          <w:p>
            <w:pPr>
              <w:spacing w:after="0" w:before="0"/>
              <w:jc w:val="right"/>
            </w:pPr>
            <w:r/>
            <w:r>
              <w:rPr>
                <w:b w:val="0"/>
                <w:i w:val="0"/>
                <w:sz w:val="17"/>
              </w:rPr>
              <w:t>$4,999</w:t>
            </w:r>
          </w:p>
        </w:tc>
        <w:tc>
          <w:tcPr>
            <w:tcW w:type="dxa" w:w="864"/>
          </w:tcPr>
          <w:p>
            <w:pPr>
              <w:spacing w:after="0" w:before="0"/>
              <w:jc w:val="right"/>
            </w:pPr>
            <w:r/>
            <w:r>
              <w:rPr>
                <w:b w:val="0"/>
                <w:i w:val="0"/>
                <w:sz w:val="17"/>
              </w:rPr>
              <w:t>$2,500</w:t>
            </w:r>
          </w:p>
        </w:tc>
        <w:tc>
          <w:tcPr>
            <w:tcW w:type="dxa" w:w="720"/>
          </w:tcPr>
          <w:p>
            <w:pPr>
              <w:spacing w:after="0" w:before="0"/>
              <w:jc w:val="right"/>
            </w:pPr>
            <w:r/>
            <w:r>
              <w:rPr>
                <w:b w:val="0"/>
                <w:i w:val="0"/>
                <w:sz w:val="17"/>
              </w:rPr>
              <w:t>4.13</w:t>
            </w:r>
          </w:p>
        </w:tc>
        <w:tc>
          <w:tcPr>
            <w:tcW w:type="dxa" w:w="2592"/>
          </w:tcPr>
          <w:p>
            <w:pPr>
              <w:spacing w:after="0" w:before="0"/>
            </w:pPr>
            <w:r/>
            <w:r>
              <w:rPr>
                <w:b w:val="0"/>
                <w:i w:val="0"/>
                <w:sz w:val="17"/>
              </w:rPr>
              <w:t>Adds risk, contingency, indirects, AFUDC.</w:t>
            </w:r>
          </w:p>
        </w:tc>
      </w:tr>
      <w:tr>
        <w:tc>
          <w:tcPr>
            <w:tcW w:type="dxa" w:w="2880"/>
            <w:shd w:val="clear" w:color="auto" w:fill="F2F4F8"/>
          </w:tcPr>
          <w:p>
            <w:pPr>
              <w:spacing w:after="0" w:before="0"/>
            </w:pPr>
            <w:r/>
            <w:r>
              <w:rPr>
                <w:b w:val="0"/>
                <w:i w:val="0"/>
                <w:sz w:val="17"/>
              </w:rPr>
              <w:t>6. Project 21334 approval level</w:t>
            </w:r>
          </w:p>
        </w:tc>
        <w:tc>
          <w:tcPr>
            <w:tcW w:type="dxa" w:w="1440"/>
            <w:shd w:val="clear" w:color="auto" w:fill="F2F4F8"/>
          </w:tcPr>
          <w:p>
            <w:pPr>
              <w:spacing w:after="0" w:before="0"/>
              <w:jc w:val="right"/>
            </w:pPr>
            <w:r/>
            <w:r>
              <w:rPr>
                <w:b w:val="0"/>
                <w:i w:val="0"/>
                <w:sz w:val="17"/>
              </w:rPr>
              <w:t>$57,247,300</w:t>
            </w:r>
          </w:p>
        </w:tc>
        <w:tc>
          <w:tcPr>
            <w:tcW w:type="dxa" w:w="864"/>
            <w:shd w:val="clear" w:color="auto" w:fill="F2F4F8"/>
          </w:tcPr>
          <w:p>
            <w:pPr>
              <w:spacing w:after="0" w:before="0"/>
              <w:jc w:val="right"/>
            </w:pPr>
            <w:r/>
            <w:r>
              <w:rPr>
                <w:b w:val="0"/>
                <w:i w:val="0"/>
                <w:sz w:val="17"/>
              </w:rPr>
              <w:t>$5,725</w:t>
            </w:r>
          </w:p>
        </w:tc>
        <w:tc>
          <w:tcPr>
            <w:tcW w:type="dxa" w:w="864"/>
            <w:shd w:val="clear" w:color="auto" w:fill="F2F4F8"/>
          </w:tcPr>
          <w:p>
            <w:pPr>
              <w:spacing w:after="0" w:before="0"/>
              <w:jc w:val="right"/>
            </w:pPr>
            <w:r/>
            <w:r>
              <w:rPr>
                <w:b w:val="0"/>
                <w:i w:val="0"/>
                <w:sz w:val="17"/>
              </w:rPr>
              <w:t>$2,862</w:t>
            </w:r>
          </w:p>
        </w:tc>
        <w:tc>
          <w:tcPr>
            <w:tcW w:type="dxa" w:w="720"/>
            <w:shd w:val="clear" w:color="auto" w:fill="F2F4F8"/>
          </w:tcPr>
          <w:p>
            <w:pPr>
              <w:spacing w:after="0" w:before="0"/>
              <w:jc w:val="right"/>
            </w:pPr>
            <w:r/>
            <w:r>
              <w:rPr>
                <w:b w:val="0"/>
                <w:i w:val="0"/>
                <w:sz w:val="17"/>
              </w:rPr>
              <w:t>4.73</w:t>
            </w:r>
          </w:p>
        </w:tc>
        <w:tc>
          <w:tcPr>
            <w:tcW w:type="dxa" w:w="2592"/>
            <w:shd w:val="clear" w:color="auto" w:fill="F2F4F8"/>
          </w:tcPr>
          <w:p>
            <w:pPr>
              <w:spacing w:after="0" w:before="0"/>
            </w:pPr>
            <w:r/>
            <w:r>
              <w:rPr>
                <w:b w:val="0"/>
                <w:i w:val="0"/>
                <w:sz w:val="17"/>
              </w:rPr>
              <w:t>Adds Station 496 feeder protection.</w:t>
            </w:r>
          </w:p>
        </w:tc>
      </w:tr>
      <w:tr>
        <w:tc>
          <w:tcPr>
            <w:tcW w:type="dxa" w:w="2880"/>
          </w:tcPr>
          <w:p>
            <w:pPr>
              <w:spacing w:after="0" w:before="0"/>
            </w:pPr>
            <w:r/>
            <w:r>
              <w:rPr>
                <w:b w:val="0"/>
                <w:i w:val="0"/>
                <w:sz w:val="17"/>
              </w:rPr>
              <w:t>7. All-in including D-Line 24211 (memo)</w:t>
            </w:r>
          </w:p>
        </w:tc>
        <w:tc>
          <w:tcPr>
            <w:tcW w:type="dxa" w:w="1440"/>
          </w:tcPr>
          <w:p>
            <w:pPr>
              <w:spacing w:after="0" w:before="0"/>
              <w:jc w:val="right"/>
            </w:pPr>
            <w:r/>
            <w:r>
              <w:rPr>
                <w:b w:val="0"/>
                <w:i w:val="0"/>
                <w:sz w:val="17"/>
              </w:rPr>
              <w:t>$62,040,300</w:t>
            </w:r>
          </w:p>
        </w:tc>
        <w:tc>
          <w:tcPr>
            <w:tcW w:type="dxa" w:w="864"/>
          </w:tcPr>
          <w:p>
            <w:pPr>
              <w:spacing w:after="0" w:before="0"/>
              <w:jc w:val="right"/>
            </w:pPr>
            <w:r/>
            <w:r>
              <w:rPr>
                <w:b w:val="0"/>
                <w:i w:val="0"/>
                <w:sz w:val="17"/>
              </w:rPr>
              <w:t>$6,204</w:t>
            </w:r>
          </w:p>
        </w:tc>
        <w:tc>
          <w:tcPr>
            <w:tcW w:type="dxa" w:w="864"/>
          </w:tcPr>
          <w:p>
            <w:pPr>
              <w:spacing w:after="0" w:before="0"/>
              <w:jc w:val="right"/>
            </w:pPr>
            <w:r/>
            <w:r>
              <w:rPr>
                <w:b w:val="0"/>
                <w:i w:val="0"/>
                <w:sz w:val="17"/>
              </w:rPr>
              <w:t>$3,102</w:t>
            </w:r>
          </w:p>
        </w:tc>
        <w:tc>
          <w:tcPr>
            <w:tcW w:type="dxa" w:w="720"/>
          </w:tcPr>
          <w:p>
            <w:pPr>
              <w:spacing w:after="0" w:before="0"/>
              <w:jc w:val="right"/>
            </w:pPr>
            <w:r/>
            <w:r>
              <w:rPr>
                <w:b w:val="0"/>
                <w:i w:val="0"/>
                <w:sz w:val="17"/>
              </w:rPr>
              <w:t>5.12</w:t>
            </w:r>
          </w:p>
        </w:tc>
        <w:tc>
          <w:tcPr>
            <w:tcW w:type="dxa" w:w="2592"/>
          </w:tcPr>
          <w:p>
            <w:pPr>
              <w:spacing w:after="0" w:before="0"/>
            </w:pPr>
            <w:r/>
            <w:r>
              <w:rPr>
                <w:b w:val="0"/>
                <w:i w:val="0"/>
                <w:sz w:val="17"/>
              </w:rPr>
              <w:t>Adds the 2024 conceptual circuit extension.</w:t>
            </w:r>
          </w:p>
        </w:tc>
      </w:tr>
    </w:tbl>
    <w:p>
      <w:pPr>
        <w:spacing w:after="40"/>
      </w:pPr>
    </w:p>
    <w:p>
      <w:pPr>
        <w:pStyle w:val="Heading1"/>
      </w:pPr>
      <w:r>
        <w:t>5. Published benchmarks and how to read them</w:t>
      </w:r>
    </w:p>
    <w:p>
      <w:pPr>
        <w:spacing w:after="120"/>
      </w:pPr>
      <w:r>
        <w:rPr>
          <w:b w:val="0"/>
          <w:i w:val="0"/>
        </w:rPr>
        <w:t>Eighteen published figures were assembled for this paper, each with its metric definition, dollar year, duration and a confidence tag. They fall into four families that must not be mixed. Pack and cell prices stop at the factory door. Turnkey system prices stop at the fence line of the battery yard. All-in developer benchmarks include interconnection allowances, EPC and developer overhead for a large four-hour project on a greenfield site. Disclosed utility-owned project costs are the only family that includes a utility's actual scope, and even those rarely include a separate station or a feeder protection program.</w:t>
      </w:r>
    </w:p>
    <w:tbl>
      <w:tblPr>
        <w:tblStyle w:val="TableGrid"/>
        <w:tblW w:type="auto" w:w="0"/>
        <w:jc w:val="center"/>
        <w:tblLayout w:type="fixed"/>
        <w:tblLook w:firstColumn="1" w:firstRow="1" w:lastColumn="0" w:lastRow="0" w:noHBand="0" w:noVBand="1" w:val="04A0"/>
      </w:tblPr>
      <w:tblGrid>
        <w:gridCol w:w="2160"/>
        <w:gridCol w:w="648"/>
        <w:gridCol w:w="1224"/>
        <w:gridCol w:w="1296"/>
        <w:gridCol w:w="3312"/>
        <w:gridCol w:w="792"/>
      </w:tblGrid>
      <w:tr>
        <w:tc>
          <w:tcPr>
            <w:tcW w:type="dxa" w:w="2160"/>
            <w:shd w:val="clear" w:color="auto" w:fill="001E60"/>
          </w:tcPr>
          <w:p>
            <w:pPr>
              <w:spacing w:after="0" w:before="0"/>
            </w:pPr>
            <w:r/>
            <w:r>
              <w:rPr>
                <w:b/>
                <w:i w:val="0"/>
                <w:color w:val="FFFFFF"/>
                <w:sz w:val="16"/>
              </w:rPr>
              <w:t>Source</w:t>
            </w:r>
          </w:p>
        </w:tc>
        <w:tc>
          <w:tcPr>
            <w:tcW w:type="dxa" w:w="648"/>
            <w:shd w:val="clear" w:color="auto" w:fill="001E60"/>
          </w:tcPr>
          <w:p>
            <w:pPr>
              <w:spacing w:after="0" w:before="0"/>
            </w:pPr>
            <w:r/>
            <w:r>
              <w:rPr>
                <w:b/>
                <w:i w:val="0"/>
                <w:color w:val="FFFFFF"/>
                <w:sz w:val="16"/>
              </w:rPr>
              <w:t>Year</w:t>
            </w:r>
          </w:p>
        </w:tc>
        <w:tc>
          <w:tcPr>
            <w:tcW w:type="dxa" w:w="1224"/>
            <w:shd w:val="clear" w:color="auto" w:fill="001E60"/>
          </w:tcPr>
          <w:p>
            <w:pPr>
              <w:spacing w:after="0" w:before="0"/>
            </w:pPr>
            <w:r/>
            <w:r>
              <w:rPr>
                <w:b/>
                <w:i w:val="0"/>
                <w:color w:val="FFFFFF"/>
                <w:sz w:val="16"/>
              </w:rPr>
              <w:t>Value</w:t>
            </w:r>
          </w:p>
        </w:tc>
        <w:tc>
          <w:tcPr>
            <w:tcW w:type="dxa" w:w="1296"/>
            <w:shd w:val="clear" w:color="auto" w:fill="001E60"/>
          </w:tcPr>
          <w:p>
            <w:pPr>
              <w:spacing w:after="0" w:before="0"/>
            </w:pPr>
            <w:r/>
            <w:r>
              <w:rPr>
                <w:b/>
                <w:i w:val="0"/>
                <w:color w:val="FFFFFF"/>
                <w:sz w:val="16"/>
              </w:rPr>
              <w:t>Duration / size</w:t>
            </w:r>
          </w:p>
        </w:tc>
        <w:tc>
          <w:tcPr>
            <w:tcW w:type="dxa" w:w="3312"/>
            <w:shd w:val="clear" w:color="auto" w:fill="001E60"/>
          </w:tcPr>
          <w:p>
            <w:pPr>
              <w:spacing w:after="0" w:before="0"/>
            </w:pPr>
            <w:r/>
            <w:r>
              <w:rPr>
                <w:b/>
                <w:i w:val="0"/>
                <w:color w:val="FFFFFF"/>
                <w:sz w:val="16"/>
              </w:rPr>
              <w:t>What it includes</w:t>
            </w:r>
          </w:p>
        </w:tc>
        <w:tc>
          <w:tcPr>
            <w:tcW w:type="dxa" w:w="792"/>
            <w:shd w:val="clear" w:color="auto" w:fill="001E60"/>
          </w:tcPr>
          <w:p>
            <w:pPr>
              <w:spacing w:after="0" w:before="0"/>
            </w:pPr>
            <w:r/>
            <w:r>
              <w:rPr>
                <w:b/>
                <w:i w:val="0"/>
                <w:color w:val="FFFFFF"/>
                <w:sz w:val="16"/>
              </w:rPr>
              <w:t>Conf.</w:t>
            </w:r>
          </w:p>
        </w:tc>
      </w:tr>
      <w:tr>
        <w:tc>
          <w:tcPr>
            <w:tcW w:type="dxa" w:w="2160"/>
          </w:tcPr>
          <w:p>
            <w:pPr>
              <w:spacing w:after="0" w:before="0"/>
            </w:pPr>
            <w:r/>
            <w:r>
              <w:rPr>
                <w:b w:val="0"/>
                <w:i w:val="0"/>
                <w:sz w:val="16"/>
              </w:rPr>
              <w:t>BloombergNEF battery pack price survey</w:t>
            </w:r>
          </w:p>
        </w:tc>
        <w:tc>
          <w:tcPr>
            <w:tcW w:type="dxa" w:w="648"/>
          </w:tcPr>
          <w:p>
            <w:pPr>
              <w:spacing w:after="0" w:before="0"/>
            </w:pPr>
            <w:r/>
            <w:r>
              <w:rPr>
                <w:b w:val="0"/>
                <w:i w:val="0"/>
                <w:sz w:val="16"/>
              </w:rPr>
              <w:t>2025</w:t>
            </w:r>
          </w:p>
        </w:tc>
        <w:tc>
          <w:tcPr>
            <w:tcW w:type="dxa" w:w="1224"/>
          </w:tcPr>
          <w:p>
            <w:pPr>
              <w:spacing w:after="0" w:before="0"/>
            </w:pPr>
            <w:r/>
            <w:r>
              <w:rPr>
                <w:b w:val="0"/>
                <w:i w:val="0"/>
                <w:sz w:val="16"/>
              </w:rPr>
              <w:t>70 $/kWh</w:t>
            </w:r>
          </w:p>
        </w:tc>
        <w:tc>
          <w:tcPr>
            <w:tcW w:type="dxa" w:w="1296"/>
          </w:tcPr>
          <w:p>
            <w:pPr>
              <w:spacing w:after="0" w:before="0"/>
            </w:pPr>
            <w:r/>
            <w:r>
              <w:rPr>
                <w:b w:val="0"/>
                <w:i w:val="0"/>
                <w:sz w:val="16"/>
              </w:rPr>
              <w:t>n/a</w:t>
            </w:r>
          </w:p>
        </w:tc>
        <w:tc>
          <w:tcPr>
            <w:tcW w:type="dxa" w:w="3312"/>
          </w:tcPr>
          <w:p>
            <w:pPr>
              <w:spacing w:after="0" w:before="0"/>
            </w:pPr>
            <w:r/>
            <w:r>
              <w:rPr>
                <w:b w:val="0"/>
                <w:i w:val="0"/>
                <w:sz w:val="16"/>
              </w:rPr>
              <w:t>Cells and pack hardware only, ex-works. No PCS, enclosure, BOS, installation or interconnection.</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BloombergNEF battery pack price survey</w:t>
            </w:r>
          </w:p>
        </w:tc>
        <w:tc>
          <w:tcPr>
            <w:tcW w:type="dxa" w:w="648"/>
            <w:shd w:val="clear" w:color="auto" w:fill="F2F4F8"/>
          </w:tcPr>
          <w:p>
            <w:pPr>
              <w:spacing w:after="0" w:before="0"/>
            </w:pPr>
            <w:r/>
            <w:r>
              <w:rPr>
                <w:b w:val="0"/>
                <w:i w:val="0"/>
                <w:sz w:val="16"/>
              </w:rPr>
              <w:t>2025</w:t>
            </w:r>
          </w:p>
        </w:tc>
        <w:tc>
          <w:tcPr>
            <w:tcW w:type="dxa" w:w="1224"/>
            <w:shd w:val="clear" w:color="auto" w:fill="F2F4F8"/>
          </w:tcPr>
          <w:p>
            <w:pPr>
              <w:spacing w:after="0" w:before="0"/>
            </w:pPr>
            <w:r/>
            <w:r>
              <w:rPr>
                <w:b w:val="0"/>
                <w:i w:val="0"/>
                <w:sz w:val="16"/>
              </w:rPr>
              <w:t>108 $/kWh</w:t>
            </w:r>
          </w:p>
        </w:tc>
        <w:tc>
          <w:tcPr>
            <w:tcW w:type="dxa" w:w="1296"/>
            <w:shd w:val="clear" w:color="auto" w:fill="F2F4F8"/>
          </w:tcPr>
          <w:p>
            <w:pPr>
              <w:spacing w:after="0" w:before="0"/>
            </w:pPr>
            <w:r/>
            <w:r>
              <w:rPr>
                <w:b w:val="0"/>
                <w:i w:val="0"/>
                <w:sz w:val="16"/>
              </w:rPr>
              <w:t>n/a</w:t>
            </w:r>
          </w:p>
        </w:tc>
        <w:tc>
          <w:tcPr>
            <w:tcW w:type="dxa" w:w="3312"/>
            <w:shd w:val="clear" w:color="auto" w:fill="F2F4F8"/>
          </w:tcPr>
          <w:p>
            <w:pPr>
              <w:spacing w:after="0" w:before="0"/>
            </w:pPr>
            <w:r/>
            <w:r>
              <w:rPr>
                <w:b w:val="0"/>
                <w:i w:val="0"/>
                <w:sz w:val="16"/>
              </w:rPr>
              <w:t>Cells and pack hardware only.</w:t>
            </w:r>
          </w:p>
        </w:tc>
        <w:tc>
          <w:tcPr>
            <w:tcW w:type="dxa" w:w="792"/>
            <w:shd w:val="clear" w:color="auto" w:fill="F2F4F8"/>
          </w:tcPr>
          <w:p>
            <w:pPr>
              <w:spacing w:after="0" w:before="0"/>
            </w:pPr>
            <w:r/>
            <w:r>
              <w:rPr>
                <w:b w:val="0"/>
                <w:i w:val="0"/>
                <w:sz w:val="16"/>
              </w:rPr>
              <w:t>Medium</w:t>
            </w:r>
          </w:p>
        </w:tc>
      </w:tr>
      <w:tr>
        <w:tc>
          <w:tcPr>
            <w:tcW w:type="dxa" w:w="2160"/>
          </w:tcPr>
          <w:p>
            <w:pPr>
              <w:spacing w:after="0" w:before="0"/>
            </w:pPr>
            <w:r/>
            <w:r>
              <w:rPr>
                <w:b w:val="0"/>
                <w:i w:val="0"/>
                <w:sz w:val="16"/>
              </w:rPr>
              <w:t>Anza Renewables pricing insights</w:t>
            </w:r>
          </w:p>
        </w:tc>
        <w:tc>
          <w:tcPr>
            <w:tcW w:type="dxa" w:w="648"/>
          </w:tcPr>
          <w:p>
            <w:pPr>
              <w:spacing w:after="0" w:before="0"/>
            </w:pPr>
            <w:r/>
            <w:r>
              <w:rPr>
                <w:b w:val="0"/>
                <w:i w:val="0"/>
                <w:sz w:val="16"/>
              </w:rPr>
              <w:t>2026</w:t>
            </w:r>
          </w:p>
        </w:tc>
        <w:tc>
          <w:tcPr>
            <w:tcW w:type="dxa" w:w="1224"/>
          </w:tcPr>
          <w:p>
            <w:pPr>
              <w:spacing w:after="0" w:before="0"/>
            </w:pPr>
            <w:r/>
            <w:r>
              <w:rPr>
                <w:b w:val="0"/>
                <w:i w:val="0"/>
                <w:sz w:val="16"/>
              </w:rPr>
              <w:t>203 $/kWh</w:t>
            </w:r>
          </w:p>
        </w:tc>
        <w:tc>
          <w:tcPr>
            <w:tcW w:type="dxa" w:w="1296"/>
          </w:tcPr>
          <w:p>
            <w:pPr>
              <w:spacing w:after="0" w:before="0"/>
            </w:pPr>
            <w:r/>
            <w:r>
              <w:rPr>
                <w:b w:val="0"/>
                <w:i w:val="0"/>
                <w:sz w:val="16"/>
              </w:rPr>
              <w:t>distribution-scale</w:t>
            </w:r>
          </w:p>
        </w:tc>
        <w:tc>
          <w:tcPr>
            <w:tcW w:type="dxa" w:w="3312"/>
          </w:tcPr>
          <w:p>
            <w:pPr>
              <w:spacing w:after="0" w:before="0"/>
            </w:pPr>
            <w:r/>
            <w:r>
              <w:rPr>
                <w:b w:val="0"/>
                <w:i w:val="0"/>
                <w:sz w:val="16"/>
              </w:rPr>
              <w:t>Equipment delivered (DC blocks + PCS). No EPC, civil, station or interconnection.</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BloombergNEF Energy Storage System Cost Survey</w:t>
            </w:r>
          </w:p>
        </w:tc>
        <w:tc>
          <w:tcPr>
            <w:tcW w:type="dxa" w:w="648"/>
            <w:shd w:val="clear" w:color="auto" w:fill="F2F4F8"/>
          </w:tcPr>
          <w:p>
            <w:pPr>
              <w:spacing w:after="0" w:before="0"/>
            </w:pPr>
            <w:r/>
            <w:r>
              <w:rPr>
                <w:b w:val="0"/>
                <w:i w:val="0"/>
                <w:sz w:val="16"/>
              </w:rPr>
              <w:t>2025</w:t>
            </w:r>
          </w:p>
        </w:tc>
        <w:tc>
          <w:tcPr>
            <w:tcW w:type="dxa" w:w="1224"/>
            <w:shd w:val="clear" w:color="auto" w:fill="F2F4F8"/>
          </w:tcPr>
          <w:p>
            <w:pPr>
              <w:spacing w:after="0" w:before="0"/>
            </w:pPr>
            <w:r/>
            <w:r>
              <w:rPr>
                <w:b w:val="0"/>
                <w:i w:val="0"/>
                <w:sz w:val="16"/>
              </w:rPr>
              <w:t>219 $/kWh</w:t>
            </w:r>
          </w:p>
        </w:tc>
        <w:tc>
          <w:tcPr>
            <w:tcW w:type="dxa" w:w="1296"/>
            <w:shd w:val="clear" w:color="auto" w:fill="F2F4F8"/>
          </w:tcPr>
          <w:p>
            <w:pPr>
              <w:spacing w:after="0" w:before="0"/>
            </w:pPr>
            <w:r/>
            <w:r>
              <w:rPr>
                <w:b w:val="0"/>
                <w:i w:val="0"/>
                <w:sz w:val="16"/>
              </w:rPr>
              <w:t>4-h reference</w:t>
            </w:r>
          </w:p>
        </w:tc>
        <w:tc>
          <w:tcPr>
            <w:tcW w:type="dxa" w:w="3312"/>
            <w:shd w:val="clear" w:color="auto" w:fill="F2F4F8"/>
          </w:tcPr>
          <w:p>
            <w:pPr>
              <w:spacing w:after="0" w:before="0"/>
            </w:pPr>
            <w:r/>
            <w:r>
              <w:rPr>
                <w:b w:val="0"/>
                <w:i w:val="0"/>
                <w:sz w:val="16"/>
              </w:rPr>
              <w:t>Racks/DC blocks, PCS, BOS, EMS, integration, installation and commissioning. Excludes grid connection, land, development and owner's costs (scope word</w:t>
            </w:r>
          </w:p>
        </w:tc>
        <w:tc>
          <w:tcPr>
            <w:tcW w:type="dxa" w:w="792"/>
            <w:shd w:val="clear" w:color="auto" w:fill="F2F4F8"/>
          </w:tcPr>
          <w:p>
            <w:pPr>
              <w:spacing w:after="0" w:before="0"/>
            </w:pPr>
            <w:r/>
            <w:r>
              <w:rPr>
                <w:b w:val="0"/>
                <w:i w:val="0"/>
                <w:sz w:val="16"/>
              </w:rPr>
              <w:t>Medium</w:t>
            </w:r>
          </w:p>
        </w:tc>
      </w:tr>
      <w:tr>
        <w:tc>
          <w:tcPr>
            <w:tcW w:type="dxa" w:w="2160"/>
          </w:tcPr>
          <w:p>
            <w:pPr>
              <w:spacing w:after="0" w:before="0"/>
            </w:pPr>
            <w:r/>
            <w:r>
              <w:rPr>
                <w:b w:val="0"/>
                <w:i w:val="0"/>
                <w:sz w:val="16"/>
              </w:rPr>
              <w:t>BloombergNEF Energy Storage System Cost Survey</w:t>
            </w:r>
          </w:p>
        </w:tc>
        <w:tc>
          <w:tcPr>
            <w:tcW w:type="dxa" w:w="648"/>
          </w:tcPr>
          <w:p>
            <w:pPr>
              <w:spacing w:after="0" w:before="0"/>
            </w:pPr>
            <w:r/>
            <w:r>
              <w:rPr>
                <w:b w:val="0"/>
                <w:i w:val="0"/>
                <w:sz w:val="16"/>
              </w:rPr>
              <w:t>2024</w:t>
            </w:r>
          </w:p>
        </w:tc>
        <w:tc>
          <w:tcPr>
            <w:tcW w:type="dxa" w:w="1224"/>
          </w:tcPr>
          <w:p>
            <w:pPr>
              <w:spacing w:after="0" w:before="0"/>
            </w:pPr>
            <w:r/>
            <w:r>
              <w:rPr>
                <w:b w:val="0"/>
                <w:i w:val="0"/>
                <w:sz w:val="16"/>
              </w:rPr>
              <w:t>236 $/kWh</w:t>
            </w:r>
          </w:p>
        </w:tc>
        <w:tc>
          <w:tcPr>
            <w:tcW w:type="dxa" w:w="1296"/>
          </w:tcPr>
          <w:p>
            <w:pPr>
              <w:spacing w:after="0" w:before="0"/>
            </w:pPr>
            <w:r/>
            <w:r>
              <w:rPr>
                <w:b w:val="0"/>
                <w:i w:val="0"/>
                <w:sz w:val="16"/>
              </w:rPr>
              <w:t>4-h reference</w:t>
            </w:r>
          </w:p>
        </w:tc>
        <w:tc>
          <w:tcPr>
            <w:tcW w:type="dxa" w:w="3312"/>
          </w:tcPr>
          <w:p>
            <w:pPr>
              <w:spacing w:after="0" w:before="0"/>
            </w:pPr>
            <w:r/>
            <w:r>
              <w:rPr>
                <w:b w:val="0"/>
                <w:i w:val="0"/>
                <w:sz w:val="16"/>
              </w:rPr>
              <w:t>As above.</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BloombergNEF Energy Storage System Cost Survey</w:t>
            </w:r>
          </w:p>
        </w:tc>
        <w:tc>
          <w:tcPr>
            <w:tcW w:type="dxa" w:w="648"/>
            <w:shd w:val="clear" w:color="auto" w:fill="F2F4F8"/>
          </w:tcPr>
          <w:p>
            <w:pPr>
              <w:spacing w:after="0" w:before="0"/>
            </w:pPr>
            <w:r/>
            <w:r>
              <w:rPr>
                <w:b w:val="0"/>
                <w:i w:val="0"/>
                <w:sz w:val="16"/>
              </w:rPr>
              <w:t>2023</w:t>
            </w:r>
          </w:p>
        </w:tc>
        <w:tc>
          <w:tcPr>
            <w:tcW w:type="dxa" w:w="1224"/>
            <w:shd w:val="clear" w:color="auto" w:fill="F2F4F8"/>
          </w:tcPr>
          <w:p>
            <w:pPr>
              <w:spacing w:after="0" w:before="0"/>
            </w:pPr>
            <w:r/>
            <w:r>
              <w:rPr>
                <w:b w:val="0"/>
                <w:i w:val="0"/>
                <w:sz w:val="16"/>
              </w:rPr>
              <w:t>263 $/kWh</w:t>
            </w:r>
          </w:p>
        </w:tc>
        <w:tc>
          <w:tcPr>
            <w:tcW w:type="dxa" w:w="1296"/>
            <w:shd w:val="clear" w:color="auto" w:fill="F2F4F8"/>
          </w:tcPr>
          <w:p>
            <w:pPr>
              <w:spacing w:after="0" w:before="0"/>
            </w:pPr>
            <w:r/>
            <w:r>
              <w:rPr>
                <w:b w:val="0"/>
                <w:i w:val="0"/>
                <w:sz w:val="16"/>
              </w:rPr>
              <w:t>4-h reference</w:t>
            </w:r>
          </w:p>
        </w:tc>
        <w:tc>
          <w:tcPr>
            <w:tcW w:type="dxa" w:w="3312"/>
            <w:shd w:val="clear" w:color="auto" w:fill="F2F4F8"/>
          </w:tcPr>
          <w:p>
            <w:pPr>
              <w:spacing w:after="0" w:before="0"/>
            </w:pPr>
            <w:r/>
            <w:r>
              <w:rPr>
                <w:b w:val="0"/>
                <w:i w:val="0"/>
                <w:sz w:val="16"/>
              </w:rPr>
              <w:t>As above.</w:t>
            </w:r>
          </w:p>
        </w:tc>
        <w:tc>
          <w:tcPr>
            <w:tcW w:type="dxa" w:w="792"/>
            <w:shd w:val="clear" w:color="auto" w:fill="F2F4F8"/>
          </w:tcPr>
          <w:p>
            <w:pPr>
              <w:spacing w:after="0" w:before="0"/>
            </w:pPr>
            <w:r/>
            <w:r>
              <w:rPr>
                <w:b w:val="0"/>
                <w:i w:val="0"/>
                <w:sz w:val="16"/>
              </w:rPr>
              <w:t>Medium</w:t>
            </w:r>
          </w:p>
        </w:tc>
      </w:tr>
      <w:tr>
        <w:tc>
          <w:tcPr>
            <w:tcW w:type="dxa" w:w="2160"/>
          </w:tcPr>
          <w:p>
            <w:pPr>
              <w:spacing w:after="0" w:before="0"/>
            </w:pPr>
            <w:r/>
            <w:r>
              <w:rPr>
                <w:b w:val="0"/>
                <w:i w:val="0"/>
                <w:sz w:val="16"/>
              </w:rPr>
              <w:t>NREL</w:t>
            </w:r>
          </w:p>
        </w:tc>
        <w:tc>
          <w:tcPr>
            <w:tcW w:type="dxa" w:w="648"/>
          </w:tcPr>
          <w:p>
            <w:pPr>
              <w:spacing w:after="0" w:before="0"/>
            </w:pPr>
            <w:r/>
            <w:r>
              <w:rPr>
                <w:b w:val="0"/>
                <w:i w:val="0"/>
                <w:sz w:val="16"/>
              </w:rPr>
              <w:t>2025</w:t>
            </w:r>
          </w:p>
        </w:tc>
        <w:tc>
          <w:tcPr>
            <w:tcW w:type="dxa" w:w="1224"/>
          </w:tcPr>
          <w:p>
            <w:pPr>
              <w:spacing w:after="0" w:before="0"/>
            </w:pPr>
            <w:r/>
            <w:r>
              <w:rPr>
                <w:b w:val="0"/>
                <w:i w:val="0"/>
                <w:sz w:val="16"/>
              </w:rPr>
              <w:t>334 $/kWh</w:t>
            </w:r>
          </w:p>
        </w:tc>
        <w:tc>
          <w:tcPr>
            <w:tcW w:type="dxa" w:w="1296"/>
          </w:tcPr>
          <w:p>
            <w:pPr>
              <w:spacing w:after="0" w:before="0"/>
            </w:pPr>
            <w:r/>
            <w:r>
              <w:rPr>
                <w:b w:val="0"/>
                <w:i w:val="0"/>
                <w:sz w:val="16"/>
              </w:rPr>
              <w:t>4-h, 60 MW</w:t>
            </w:r>
          </w:p>
        </w:tc>
        <w:tc>
          <w:tcPr>
            <w:tcW w:type="dxa" w:w="3312"/>
          </w:tcPr>
          <w:p>
            <w:pPr>
              <w:spacing w:after="0" w:before="0"/>
            </w:pPr>
            <w:r/>
            <w:r>
              <w:rPr>
                <w:b w:val="0"/>
                <w:i w:val="0"/>
                <w:sz w:val="16"/>
              </w:rPr>
              <w:t>Pack, PCS, structural and electrical BOS, installation labor, EPC overhead, developer overhead, sales tax, permitting and an interconnection allowance</w:t>
            </w:r>
          </w:p>
        </w:tc>
        <w:tc>
          <w:tcPr>
            <w:tcW w:type="dxa" w:w="792"/>
          </w:tcPr>
          <w:p>
            <w:pPr>
              <w:spacing w:after="0" w:before="0"/>
            </w:pPr>
            <w:r/>
            <w:r>
              <w:rPr>
                <w:b w:val="0"/>
                <w:i w:val="0"/>
                <w:sz w:val="16"/>
              </w:rPr>
              <w:t>High</w:t>
            </w:r>
          </w:p>
        </w:tc>
      </w:tr>
      <w:tr>
        <w:tc>
          <w:tcPr>
            <w:tcW w:type="dxa" w:w="2160"/>
            <w:shd w:val="clear" w:color="auto" w:fill="F2F4F8"/>
          </w:tcPr>
          <w:p>
            <w:pPr>
              <w:spacing w:after="0" w:before="0"/>
            </w:pPr>
            <w:r/>
            <w:r>
              <w:rPr>
                <w:b w:val="0"/>
                <w:i w:val="0"/>
                <w:sz w:val="16"/>
              </w:rPr>
              <w:t>EIA / Sargent &amp; Lundy</w:t>
            </w:r>
          </w:p>
        </w:tc>
        <w:tc>
          <w:tcPr>
            <w:tcW w:type="dxa" w:w="648"/>
            <w:shd w:val="clear" w:color="auto" w:fill="F2F4F8"/>
          </w:tcPr>
          <w:p>
            <w:pPr>
              <w:spacing w:after="0" w:before="0"/>
            </w:pPr>
            <w:r/>
            <w:r>
              <w:rPr>
                <w:b w:val="0"/>
                <w:i w:val="0"/>
                <w:sz w:val="16"/>
              </w:rPr>
              <w:t>2024</w:t>
            </w:r>
          </w:p>
        </w:tc>
        <w:tc>
          <w:tcPr>
            <w:tcW w:type="dxa" w:w="1224"/>
            <w:shd w:val="clear" w:color="auto" w:fill="F2F4F8"/>
          </w:tcPr>
          <w:p>
            <w:pPr>
              <w:spacing w:after="0" w:before="0"/>
            </w:pPr>
            <w:r/>
            <w:r>
              <w:rPr>
                <w:b w:val="0"/>
                <w:i w:val="0"/>
                <w:sz w:val="16"/>
              </w:rPr>
              <w:t>436 $/kWh</w:t>
            </w:r>
          </w:p>
        </w:tc>
        <w:tc>
          <w:tcPr>
            <w:tcW w:type="dxa" w:w="1296"/>
            <w:shd w:val="clear" w:color="auto" w:fill="F2F4F8"/>
          </w:tcPr>
          <w:p>
            <w:pPr>
              <w:spacing w:after="0" w:before="0"/>
            </w:pPr>
            <w:r/>
            <w:r>
              <w:rPr>
                <w:b w:val="0"/>
                <w:i w:val="0"/>
                <w:sz w:val="16"/>
              </w:rPr>
              <w:t>4-h, 150 MW</w:t>
            </w:r>
          </w:p>
        </w:tc>
        <w:tc>
          <w:tcPr>
            <w:tcW w:type="dxa" w:w="3312"/>
            <w:shd w:val="clear" w:color="auto" w:fill="F2F4F8"/>
          </w:tcPr>
          <w:p>
            <w:pPr>
              <w:spacing w:after="0" w:before="0"/>
            </w:pPr>
            <w:r/>
            <w:r>
              <w:rPr>
                <w:b w:val="0"/>
                <w:i w:val="0"/>
                <w:sz w:val="16"/>
              </w:rPr>
              <w:t>EPC plus owner's costs (development, land, permitting, owner's engineering, spares, contingency). Overnight: excludes AFUDC. Interconnection limited t</w:t>
            </w:r>
          </w:p>
        </w:tc>
        <w:tc>
          <w:tcPr>
            <w:tcW w:type="dxa" w:w="792"/>
            <w:shd w:val="clear" w:color="auto" w:fill="F2F4F8"/>
          </w:tcPr>
          <w:p>
            <w:pPr>
              <w:spacing w:after="0" w:before="0"/>
            </w:pPr>
            <w:r/>
            <w:r>
              <w:rPr>
                <w:b w:val="0"/>
                <w:i w:val="0"/>
                <w:sz w:val="16"/>
              </w:rPr>
              <w:t>High</w:t>
            </w:r>
          </w:p>
        </w:tc>
      </w:tr>
      <w:tr>
        <w:tc>
          <w:tcPr>
            <w:tcW w:type="dxa" w:w="2160"/>
          </w:tcPr>
          <w:p>
            <w:pPr>
              <w:spacing w:after="0" w:before="0"/>
            </w:pPr>
            <w:r/>
            <w:r>
              <w:rPr>
                <w:b w:val="0"/>
                <w:i w:val="0"/>
                <w:sz w:val="16"/>
              </w:rPr>
              <w:t>LBNL</w:t>
            </w:r>
          </w:p>
        </w:tc>
        <w:tc>
          <w:tcPr>
            <w:tcW w:type="dxa" w:w="648"/>
          </w:tcPr>
          <w:p>
            <w:pPr>
              <w:spacing w:after="0" w:before="0"/>
            </w:pPr>
            <w:r/>
            <w:r>
              <w:rPr>
                <w:b w:val="0"/>
                <w:i w:val="0"/>
                <w:sz w:val="16"/>
              </w:rPr>
              <w:t>2025</w:t>
            </w:r>
          </w:p>
        </w:tc>
        <w:tc>
          <w:tcPr>
            <w:tcW w:type="dxa" w:w="1224"/>
          </w:tcPr>
          <w:p>
            <w:pPr>
              <w:spacing w:after="0" w:before="0"/>
            </w:pPr>
            <w:r/>
            <w:r>
              <w:rPr>
                <w:b w:val="0"/>
                <w:i w:val="0"/>
                <w:sz w:val="16"/>
              </w:rPr>
              <w:t>458 $/kWh</w:t>
            </w:r>
          </w:p>
        </w:tc>
        <w:tc>
          <w:tcPr>
            <w:tcW w:type="dxa" w:w="1296"/>
          </w:tcPr>
          <w:p>
            <w:pPr>
              <w:spacing w:after="0" w:before="0"/>
            </w:pPr>
            <w:r/>
            <w:r>
              <w:rPr>
                <w:b w:val="0"/>
                <w:i w:val="0"/>
                <w:sz w:val="16"/>
              </w:rPr>
              <w:t>avg 3.3-h</w:t>
            </w:r>
          </w:p>
        </w:tc>
        <w:tc>
          <w:tcPr>
            <w:tcW w:type="dxa" w:w="3312"/>
          </w:tcPr>
          <w:p>
            <w:pPr>
              <w:spacing w:after="0" w:before="0"/>
            </w:pPr>
            <w:r/>
            <w:r>
              <w:rPr>
                <w:b w:val="0"/>
                <w:i w:val="0"/>
                <w:sz w:val="16"/>
              </w:rPr>
              <w:t>EIA-860 reported capitalized cost, battery share of hybrid plants.</w:t>
            </w:r>
          </w:p>
        </w:tc>
        <w:tc>
          <w:tcPr>
            <w:tcW w:type="dxa" w:w="792"/>
          </w:tcPr>
          <w:p>
            <w:pPr>
              <w:spacing w:after="0" w:before="0"/>
            </w:pPr>
            <w:r/>
            <w:r>
              <w:rPr>
                <w:b w:val="0"/>
                <w:i w:val="0"/>
                <w:sz w:val="16"/>
              </w:rPr>
              <w:t>High</w:t>
            </w:r>
          </w:p>
        </w:tc>
      </w:tr>
      <w:tr>
        <w:tc>
          <w:tcPr>
            <w:tcW w:type="dxa" w:w="2160"/>
            <w:shd w:val="clear" w:color="auto" w:fill="F2F4F8"/>
          </w:tcPr>
          <w:p>
            <w:pPr>
              <w:spacing w:after="0" w:before="0"/>
            </w:pPr>
            <w:r/>
            <w:r>
              <w:rPr>
                <w:b w:val="0"/>
                <w:i w:val="0"/>
                <w:sz w:val="16"/>
              </w:rPr>
              <w:t>EIA Form 860</w:t>
            </w:r>
          </w:p>
        </w:tc>
        <w:tc>
          <w:tcPr>
            <w:tcW w:type="dxa" w:w="648"/>
            <w:shd w:val="clear" w:color="auto" w:fill="F2F4F8"/>
          </w:tcPr>
          <w:p>
            <w:pPr>
              <w:spacing w:after="0" w:before="0"/>
            </w:pPr>
            <w:r/>
            <w:r>
              <w:rPr>
                <w:b w:val="0"/>
                <w:i w:val="0"/>
                <w:sz w:val="16"/>
              </w:rPr>
              <w:t>2023</w:t>
            </w:r>
          </w:p>
        </w:tc>
        <w:tc>
          <w:tcPr>
            <w:tcW w:type="dxa" w:w="1224"/>
            <w:shd w:val="clear" w:color="auto" w:fill="F2F4F8"/>
          </w:tcPr>
          <w:p>
            <w:pPr>
              <w:spacing w:after="0" w:before="0"/>
            </w:pPr>
            <w:r/>
            <w:r>
              <w:rPr>
                <w:b w:val="0"/>
                <w:i w:val="0"/>
                <w:sz w:val="16"/>
              </w:rPr>
              <w:t>1,361 $/kW</w:t>
            </w:r>
          </w:p>
        </w:tc>
        <w:tc>
          <w:tcPr>
            <w:tcW w:type="dxa" w:w="1296"/>
            <w:shd w:val="clear" w:color="auto" w:fill="F2F4F8"/>
          </w:tcPr>
          <w:p>
            <w:pPr>
              <w:spacing w:after="0" w:before="0"/>
            </w:pPr>
            <w:r/>
            <w:r>
              <w:rPr>
                <w:b w:val="0"/>
                <w:i w:val="0"/>
                <w:sz w:val="16"/>
              </w:rPr>
              <w:t>mixed (not stated)</w:t>
            </w:r>
          </w:p>
        </w:tc>
        <w:tc>
          <w:tcPr>
            <w:tcW w:type="dxa" w:w="3312"/>
            <w:shd w:val="clear" w:color="auto" w:fill="F2F4F8"/>
          </w:tcPr>
          <w:p>
            <w:pPr>
              <w:spacing w:after="0" w:before="0"/>
            </w:pPr>
            <w:r/>
            <w:r>
              <w:rPr>
                <w:b w:val="0"/>
                <w:i w:val="0"/>
                <w:sz w:val="16"/>
              </w:rPr>
              <w:t>Respondent-reported total capitalized construction cost.</w:t>
            </w:r>
          </w:p>
        </w:tc>
        <w:tc>
          <w:tcPr>
            <w:tcW w:type="dxa" w:w="792"/>
            <w:shd w:val="clear" w:color="auto" w:fill="F2F4F8"/>
          </w:tcPr>
          <w:p>
            <w:pPr>
              <w:spacing w:after="0" w:before="0"/>
            </w:pPr>
            <w:r/>
            <w:r>
              <w:rPr>
                <w:b w:val="0"/>
                <w:i w:val="0"/>
                <w:sz w:val="16"/>
              </w:rPr>
              <w:t>High</w:t>
            </w:r>
          </w:p>
        </w:tc>
      </w:tr>
      <w:tr>
        <w:tc>
          <w:tcPr>
            <w:tcW w:type="dxa" w:w="2160"/>
          </w:tcPr>
          <w:p>
            <w:pPr>
              <w:spacing w:after="0" w:before="0"/>
            </w:pPr>
            <w:r/>
            <w:r>
              <w:rPr>
                <w:b w:val="0"/>
                <w:i w:val="0"/>
                <w:sz w:val="16"/>
              </w:rPr>
              <w:t>Wood Mackenzie / ACP</w:t>
            </w:r>
          </w:p>
        </w:tc>
        <w:tc>
          <w:tcPr>
            <w:tcW w:type="dxa" w:w="648"/>
          </w:tcPr>
          <w:p>
            <w:pPr>
              <w:spacing w:after="0" w:before="0"/>
            </w:pPr>
            <w:r/>
            <w:r>
              <w:rPr>
                <w:b w:val="0"/>
                <w:i w:val="0"/>
                <w:sz w:val="16"/>
              </w:rPr>
              <w:t>2026</w:t>
            </w:r>
          </w:p>
        </w:tc>
        <w:tc>
          <w:tcPr>
            <w:tcW w:type="dxa" w:w="1224"/>
          </w:tcPr>
          <w:p>
            <w:pPr>
              <w:spacing w:after="0" w:before="0"/>
            </w:pPr>
            <w:r/>
            <w:r>
              <w:rPr>
                <w:b w:val="0"/>
                <w:i w:val="0"/>
                <w:sz w:val="16"/>
              </w:rPr>
              <w:t>916 $/kW</w:t>
            </w:r>
          </w:p>
        </w:tc>
        <w:tc>
          <w:tcPr>
            <w:tcW w:type="dxa" w:w="1296"/>
          </w:tcPr>
          <w:p>
            <w:pPr>
              <w:spacing w:after="0" w:before="0"/>
            </w:pPr>
            <w:r/>
            <w:r>
              <w:rPr>
                <w:b w:val="0"/>
                <w:i w:val="0"/>
                <w:sz w:val="16"/>
              </w:rPr>
              <w:t>4-h implied</w:t>
            </w:r>
          </w:p>
        </w:tc>
        <w:tc>
          <w:tcPr>
            <w:tcW w:type="dxa" w:w="3312"/>
          </w:tcPr>
          <w:p>
            <w:pPr>
              <w:spacing w:after="0" w:before="0"/>
            </w:pPr>
            <w:r/>
            <w:r>
              <w:rPr>
                <w:b w:val="0"/>
                <w:i w:val="0"/>
                <w:sz w:val="16"/>
              </w:rPr>
              <w:t>Turnkey system incl. EPC; interconnection excluded (verify).</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LBNL</w:t>
            </w:r>
          </w:p>
        </w:tc>
        <w:tc>
          <w:tcPr>
            <w:tcW w:type="dxa" w:w="648"/>
            <w:shd w:val="clear" w:color="auto" w:fill="F2F4F8"/>
          </w:tcPr>
          <w:p>
            <w:pPr>
              <w:spacing w:after="0" w:before="0"/>
            </w:pPr>
            <w:r/>
            <w:r>
              <w:rPr>
                <w:b w:val="0"/>
                <w:i w:val="0"/>
                <w:sz w:val="16"/>
              </w:rPr>
              <w:t>2023</w:t>
            </w:r>
          </w:p>
        </w:tc>
        <w:tc>
          <w:tcPr>
            <w:tcW w:type="dxa" w:w="1224"/>
            <w:shd w:val="clear" w:color="auto" w:fill="F2F4F8"/>
          </w:tcPr>
          <w:p>
            <w:pPr>
              <w:spacing w:after="0" w:before="0"/>
            </w:pPr>
            <w:r/>
            <w:r>
              <w:rPr>
                <w:b w:val="0"/>
                <w:i w:val="0"/>
                <w:sz w:val="16"/>
              </w:rPr>
              <w:t>230 $/kW</w:t>
            </w:r>
          </w:p>
        </w:tc>
        <w:tc>
          <w:tcPr>
            <w:tcW w:type="dxa" w:w="1296"/>
            <w:shd w:val="clear" w:color="auto" w:fill="F2F4F8"/>
          </w:tcPr>
          <w:p>
            <w:pPr>
              <w:spacing w:after="0" w:before="0"/>
            </w:pPr>
            <w:r/>
            <w:r>
              <w:rPr>
                <w:b w:val="0"/>
                <w:i w:val="0"/>
                <w:sz w:val="16"/>
              </w:rPr>
              <w:t>n/a</w:t>
            </w:r>
          </w:p>
        </w:tc>
        <w:tc>
          <w:tcPr>
            <w:tcW w:type="dxa" w:w="3312"/>
            <w:shd w:val="clear" w:color="auto" w:fill="F2F4F8"/>
          </w:tcPr>
          <w:p>
            <w:pPr>
              <w:spacing w:after="0" w:before="0"/>
            </w:pPr>
            <w:r/>
            <w:r>
              <w:rPr>
                <w:b w:val="0"/>
                <w:i w:val="0"/>
                <w:sz w:val="16"/>
              </w:rPr>
              <w:t>Point of interconnection plus network upgrades from ISO studies. Equals $115/kWh for a 10 MW / 20 MWh system.</w:t>
            </w:r>
          </w:p>
        </w:tc>
        <w:tc>
          <w:tcPr>
            <w:tcW w:type="dxa" w:w="792"/>
            <w:shd w:val="clear" w:color="auto" w:fill="F2F4F8"/>
          </w:tcPr>
          <w:p>
            <w:pPr>
              <w:spacing w:after="0" w:before="0"/>
            </w:pPr>
            <w:r/>
            <w:r>
              <w:rPr>
                <w:b w:val="0"/>
                <w:i w:val="0"/>
                <w:sz w:val="16"/>
              </w:rPr>
              <w:t>High</w:t>
            </w:r>
          </w:p>
        </w:tc>
      </w:tr>
      <w:tr>
        <w:tc>
          <w:tcPr>
            <w:tcW w:type="dxa" w:w="2160"/>
          </w:tcPr>
          <w:p>
            <w:pPr>
              <w:spacing w:after="0" w:before="0"/>
            </w:pPr>
            <w:r/>
            <w:r>
              <w:rPr>
                <w:b w:val="0"/>
                <w:i w:val="0"/>
                <w:sz w:val="16"/>
              </w:rPr>
              <w:t>NV Energy</w:t>
            </w:r>
          </w:p>
        </w:tc>
        <w:tc>
          <w:tcPr>
            <w:tcW w:type="dxa" w:w="648"/>
          </w:tcPr>
          <w:p>
            <w:pPr>
              <w:spacing w:after="0" w:before="0"/>
            </w:pPr>
            <w:r/>
            <w:r>
              <w:rPr>
                <w:b w:val="0"/>
                <w:i w:val="0"/>
                <w:sz w:val="16"/>
              </w:rPr>
              <w:t>2023</w:t>
            </w:r>
          </w:p>
        </w:tc>
        <w:tc>
          <w:tcPr>
            <w:tcW w:type="dxa" w:w="1224"/>
          </w:tcPr>
          <w:p>
            <w:pPr>
              <w:spacing w:after="0" w:before="0"/>
            </w:pPr>
            <w:r/>
            <w:r>
              <w:rPr>
                <w:b w:val="0"/>
                <w:i w:val="0"/>
                <w:sz w:val="16"/>
              </w:rPr>
              <w:t>584 $/kWh</w:t>
            </w:r>
          </w:p>
        </w:tc>
        <w:tc>
          <w:tcPr>
            <w:tcW w:type="dxa" w:w="1296"/>
          </w:tcPr>
          <w:p>
            <w:pPr>
              <w:spacing w:after="0" w:before="0"/>
            </w:pPr>
            <w:r/>
            <w:r>
              <w:rPr>
                <w:b w:val="0"/>
                <w:i w:val="0"/>
                <w:sz w:val="16"/>
              </w:rPr>
              <w:t>2-h, 220 MW</w:t>
            </w:r>
          </w:p>
        </w:tc>
        <w:tc>
          <w:tcPr>
            <w:tcW w:type="dxa" w:w="3312"/>
          </w:tcPr>
          <w:p>
            <w:pPr>
              <w:spacing w:after="0" w:before="0"/>
            </w:pPr>
            <w:r/>
            <w:r>
              <w:rPr>
                <w:b w:val="0"/>
                <w:i w:val="0"/>
                <w:sz w:val="16"/>
              </w:rPr>
              <w:t>EPC construction cost using existing interconnection.</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Southern California Edison / Ameresco (CPUC appr</w:t>
            </w:r>
          </w:p>
        </w:tc>
        <w:tc>
          <w:tcPr>
            <w:tcW w:type="dxa" w:w="648"/>
            <w:shd w:val="clear" w:color="auto" w:fill="F2F4F8"/>
          </w:tcPr>
          <w:p>
            <w:pPr>
              <w:spacing w:after="0" w:before="0"/>
            </w:pPr>
            <w:r/>
            <w:r>
              <w:rPr>
                <w:b w:val="0"/>
                <w:i w:val="0"/>
                <w:sz w:val="16"/>
              </w:rPr>
              <w:t>2021</w:t>
            </w:r>
          </w:p>
        </w:tc>
        <w:tc>
          <w:tcPr>
            <w:tcW w:type="dxa" w:w="1224"/>
            <w:shd w:val="clear" w:color="auto" w:fill="F2F4F8"/>
          </w:tcPr>
          <w:p>
            <w:pPr>
              <w:spacing w:after="0" w:before="0"/>
            </w:pPr>
            <w:r/>
            <w:r>
              <w:rPr>
                <w:b w:val="0"/>
                <w:i w:val="0"/>
                <w:sz w:val="16"/>
              </w:rPr>
              <w:t>570 $/kWh</w:t>
            </w:r>
          </w:p>
        </w:tc>
        <w:tc>
          <w:tcPr>
            <w:tcW w:type="dxa" w:w="1296"/>
            <w:shd w:val="clear" w:color="auto" w:fill="F2F4F8"/>
          </w:tcPr>
          <w:p>
            <w:pPr>
              <w:spacing w:after="0" w:before="0"/>
            </w:pPr>
            <w:r/>
            <w:r>
              <w:rPr>
                <w:b w:val="0"/>
                <w:i w:val="0"/>
                <w:sz w:val="16"/>
              </w:rPr>
              <w:t>4-h</w:t>
            </w:r>
          </w:p>
        </w:tc>
        <w:tc>
          <w:tcPr>
            <w:tcW w:type="dxa" w:w="3312"/>
            <w:shd w:val="clear" w:color="auto" w:fill="F2F4F8"/>
          </w:tcPr>
          <w:p>
            <w:pPr>
              <w:spacing w:after="0" w:before="0"/>
            </w:pPr>
            <w:r/>
            <w:r>
              <w:rPr>
                <w:b w:val="0"/>
                <w:i w:val="0"/>
                <w:sz w:val="16"/>
              </w:rPr>
              <w:t>EPC plus maintenance term; sited at existing substations; emergency-procurement timelines.</w:t>
            </w:r>
          </w:p>
        </w:tc>
        <w:tc>
          <w:tcPr>
            <w:tcW w:type="dxa" w:w="792"/>
            <w:shd w:val="clear" w:color="auto" w:fill="F2F4F8"/>
          </w:tcPr>
          <w:p>
            <w:pPr>
              <w:spacing w:after="0" w:before="0"/>
            </w:pPr>
            <w:r/>
            <w:r>
              <w:rPr>
                <w:b w:val="0"/>
                <w:i w:val="0"/>
                <w:sz w:val="16"/>
              </w:rPr>
              <w:t>High</w:t>
            </w:r>
          </w:p>
        </w:tc>
      </w:tr>
      <w:tr>
        <w:tc>
          <w:tcPr>
            <w:tcW w:type="dxa" w:w="2160"/>
          </w:tcPr>
          <w:p>
            <w:pPr>
              <w:spacing w:after="0" w:before="0"/>
            </w:pPr>
            <w:r/>
            <w:r>
              <w:rPr>
                <w:b w:val="0"/>
                <w:i w:val="0"/>
                <w:sz w:val="16"/>
              </w:rPr>
              <w:t>Hawaiian Electric</w:t>
            </w:r>
          </w:p>
        </w:tc>
        <w:tc>
          <w:tcPr>
            <w:tcW w:type="dxa" w:w="648"/>
          </w:tcPr>
          <w:p>
            <w:pPr>
              <w:spacing w:after="0" w:before="0"/>
            </w:pPr>
            <w:r/>
            <w:r>
              <w:rPr>
                <w:b w:val="0"/>
                <w:i w:val="0"/>
                <w:sz w:val="16"/>
              </w:rPr>
              <w:t>2023</w:t>
            </w:r>
          </w:p>
        </w:tc>
        <w:tc>
          <w:tcPr>
            <w:tcW w:type="dxa" w:w="1224"/>
          </w:tcPr>
          <w:p>
            <w:pPr>
              <w:spacing w:after="0" w:before="0"/>
            </w:pPr>
            <w:r/>
            <w:r>
              <w:rPr>
                <w:b w:val="0"/>
                <w:i w:val="0"/>
                <w:sz w:val="16"/>
              </w:rPr>
              <w:t>513 $/kWh</w:t>
            </w:r>
          </w:p>
        </w:tc>
        <w:tc>
          <w:tcPr>
            <w:tcW w:type="dxa" w:w="1296"/>
          </w:tcPr>
          <w:p>
            <w:pPr>
              <w:spacing w:after="0" w:before="0"/>
            </w:pPr>
            <w:r/>
            <w:r>
              <w:rPr>
                <w:b w:val="0"/>
                <w:i w:val="0"/>
                <w:sz w:val="16"/>
              </w:rPr>
              <w:t>4-h, 40 MW</w:t>
            </w:r>
          </w:p>
        </w:tc>
        <w:tc>
          <w:tcPr>
            <w:tcW w:type="dxa" w:w="3312"/>
          </w:tcPr>
          <w:p>
            <w:pPr>
              <w:spacing w:after="0" w:before="0"/>
            </w:pPr>
            <w:r/>
            <w:r>
              <w:rPr>
                <w:b w:val="0"/>
                <w:i w:val="0"/>
                <w:sz w:val="16"/>
              </w:rPr>
              <w:t>Purchase and installation at utility-owned site.</w:t>
            </w:r>
          </w:p>
        </w:tc>
        <w:tc>
          <w:tcPr>
            <w:tcW w:type="dxa" w:w="792"/>
          </w:tcPr>
          <w:p>
            <w:pPr>
              <w:spacing w:after="0" w:before="0"/>
            </w:pPr>
            <w:r/>
            <w:r>
              <w:rPr>
                <w:b w:val="0"/>
                <w:i w:val="0"/>
                <w:sz w:val="16"/>
              </w:rPr>
              <w:t>High</w:t>
            </w:r>
          </w:p>
        </w:tc>
      </w:tr>
      <w:tr>
        <w:tc>
          <w:tcPr>
            <w:tcW w:type="dxa" w:w="2160"/>
            <w:shd w:val="clear" w:color="auto" w:fill="F2F4F8"/>
          </w:tcPr>
          <w:p>
            <w:pPr>
              <w:spacing w:after="0" w:before="0"/>
            </w:pPr>
            <w:r/>
            <w:r>
              <w:rPr>
                <w:b w:val="0"/>
                <w:i w:val="0"/>
                <w:sz w:val="16"/>
              </w:rPr>
              <w:t>National Grid Massachusetts</w:t>
            </w:r>
          </w:p>
        </w:tc>
        <w:tc>
          <w:tcPr>
            <w:tcW w:type="dxa" w:w="648"/>
            <w:shd w:val="clear" w:color="auto" w:fill="F2F4F8"/>
          </w:tcPr>
          <w:p>
            <w:pPr>
              <w:spacing w:after="0" w:before="0"/>
            </w:pPr>
            <w:r/>
            <w:r>
              <w:rPr>
                <w:b w:val="0"/>
                <w:i w:val="0"/>
                <w:sz w:val="16"/>
              </w:rPr>
              <w:t>2018</w:t>
            </w:r>
          </w:p>
        </w:tc>
        <w:tc>
          <w:tcPr>
            <w:tcW w:type="dxa" w:w="1224"/>
            <w:shd w:val="clear" w:color="auto" w:fill="F2F4F8"/>
          </w:tcPr>
          <w:p>
            <w:pPr>
              <w:spacing w:after="0" w:before="0"/>
            </w:pPr>
            <w:r/>
            <w:r>
              <w:rPr>
                <w:b w:val="0"/>
                <w:i w:val="0"/>
                <w:sz w:val="16"/>
              </w:rPr>
              <w:t>893 $/kWh</w:t>
            </w:r>
          </w:p>
        </w:tc>
        <w:tc>
          <w:tcPr>
            <w:tcW w:type="dxa" w:w="1296"/>
            <w:shd w:val="clear" w:color="auto" w:fill="F2F4F8"/>
          </w:tcPr>
          <w:p>
            <w:pPr>
              <w:spacing w:after="0" w:before="0"/>
            </w:pPr>
            <w:r/>
            <w:r>
              <w:rPr>
                <w:b w:val="0"/>
                <w:i w:val="0"/>
                <w:sz w:val="16"/>
              </w:rPr>
              <w:t>4-h, 14 MW</w:t>
            </w:r>
          </w:p>
        </w:tc>
        <w:tc>
          <w:tcPr>
            <w:tcW w:type="dxa" w:w="3312"/>
            <w:shd w:val="clear" w:color="auto" w:fill="F2F4F8"/>
          </w:tcPr>
          <w:p>
            <w:pPr>
              <w:spacing w:after="0" w:before="0"/>
            </w:pPr>
            <w:r/>
            <w:r>
              <w:rPr>
                <w:b w:val="0"/>
                <w:i w:val="0"/>
                <w:sz w:val="16"/>
              </w:rPr>
              <w:t>Utility capital estimate; build status not confirmed.</w:t>
            </w:r>
          </w:p>
        </w:tc>
        <w:tc>
          <w:tcPr>
            <w:tcW w:type="dxa" w:w="792"/>
            <w:shd w:val="clear" w:color="auto" w:fill="F2F4F8"/>
          </w:tcPr>
          <w:p>
            <w:pPr>
              <w:spacing w:after="0" w:before="0"/>
            </w:pPr>
            <w:r/>
            <w:r>
              <w:rPr>
                <w:b w:val="0"/>
                <w:i w:val="0"/>
                <w:sz w:val="16"/>
              </w:rPr>
              <w:t>Medium</w:t>
            </w:r>
          </w:p>
        </w:tc>
      </w:tr>
      <w:tr>
        <w:tc>
          <w:tcPr>
            <w:tcW w:type="dxa" w:w="2160"/>
          </w:tcPr>
          <w:p>
            <w:pPr>
              <w:spacing w:after="0" w:before="0"/>
            </w:pPr>
            <w:r/>
            <w:r>
              <w:rPr>
                <w:b w:val="0"/>
                <w:i w:val="0"/>
                <w:sz w:val="16"/>
              </w:rPr>
              <w:t>Eversource Martha's Vineyard Phase 1 (D.P.U. 18-</w:t>
            </w:r>
          </w:p>
        </w:tc>
        <w:tc>
          <w:tcPr>
            <w:tcW w:type="dxa" w:w="648"/>
          </w:tcPr>
          <w:p>
            <w:pPr>
              <w:spacing w:after="0" w:before="0"/>
            </w:pPr>
            <w:r/>
            <w:r>
              <w:rPr>
                <w:b w:val="0"/>
                <w:i w:val="0"/>
                <w:sz w:val="16"/>
              </w:rPr>
              <w:t>2019</w:t>
            </w:r>
          </w:p>
        </w:tc>
        <w:tc>
          <w:tcPr>
            <w:tcW w:type="dxa" w:w="1224"/>
          </w:tcPr>
          <w:p>
            <w:pPr>
              <w:spacing w:after="0" w:before="0"/>
            </w:pPr>
            <w:r/>
            <w:r>
              <w:rPr>
                <w:b w:val="0"/>
                <w:i w:val="0"/>
                <w:sz w:val="16"/>
              </w:rPr>
              <w:t>750 $/kWh</w:t>
            </w:r>
          </w:p>
        </w:tc>
        <w:tc>
          <w:tcPr>
            <w:tcW w:type="dxa" w:w="1296"/>
          </w:tcPr>
          <w:p>
            <w:pPr>
              <w:spacing w:after="0" w:before="0"/>
            </w:pPr>
            <w:r/>
            <w:r>
              <w:rPr>
                <w:b w:val="0"/>
                <w:i w:val="0"/>
                <w:sz w:val="16"/>
              </w:rPr>
              <w:t>4-h, 4.9 MW</w:t>
            </w:r>
          </w:p>
        </w:tc>
        <w:tc>
          <w:tcPr>
            <w:tcW w:type="dxa" w:w="3312"/>
          </w:tcPr>
          <w:p>
            <w:pPr>
              <w:spacing w:after="0" w:before="0"/>
            </w:pPr>
            <w:r/>
            <w:r>
              <w:rPr>
                <w:b w:val="0"/>
                <w:i w:val="0"/>
                <w:sz w:val="16"/>
              </w:rPr>
              <w:t>Utility capital estimate, indoor building at service center.</w:t>
            </w:r>
          </w:p>
        </w:tc>
        <w:tc>
          <w:tcPr>
            <w:tcW w:type="dxa" w:w="792"/>
          </w:tcPr>
          <w:p>
            <w:pPr>
              <w:spacing w:after="0" w:before="0"/>
            </w:pPr>
            <w:r/>
            <w:r>
              <w:rPr>
                <w:b w:val="0"/>
                <w:i w:val="0"/>
                <w:sz w:val="16"/>
              </w:rPr>
              <w:t>Medium</w:t>
            </w:r>
          </w:p>
        </w:tc>
      </w:tr>
      <w:tr>
        <w:tc>
          <w:tcPr>
            <w:tcW w:type="dxa" w:w="2160"/>
            <w:shd w:val="clear" w:color="auto" w:fill="F2F4F8"/>
          </w:tcPr>
          <w:p>
            <w:pPr>
              <w:spacing w:after="0" w:before="0"/>
            </w:pPr>
            <w:r/>
            <w:r>
              <w:rPr>
                <w:b w:val="0"/>
                <w:i w:val="0"/>
                <w:sz w:val="16"/>
              </w:rPr>
              <w:t>Eversource Outer Cape BESS</w:t>
            </w:r>
          </w:p>
        </w:tc>
        <w:tc>
          <w:tcPr>
            <w:tcW w:type="dxa" w:w="648"/>
            <w:shd w:val="clear" w:color="auto" w:fill="F2F4F8"/>
          </w:tcPr>
          <w:p>
            <w:pPr>
              <w:spacing w:after="0" w:before="0"/>
            </w:pPr>
            <w:r/>
            <w:r>
              <w:rPr>
                <w:b w:val="0"/>
                <w:i w:val="0"/>
                <w:sz w:val="16"/>
              </w:rPr>
              <w:t>2022</w:t>
            </w:r>
          </w:p>
        </w:tc>
        <w:tc>
          <w:tcPr>
            <w:tcW w:type="dxa" w:w="1224"/>
            <w:shd w:val="clear" w:color="auto" w:fill="F2F4F8"/>
          </w:tcPr>
          <w:p>
            <w:pPr>
              <w:spacing w:after="0" w:before="0"/>
            </w:pPr>
            <w:r/>
            <w:r>
              <w:rPr>
                <w:b w:val="0"/>
                <w:i w:val="0"/>
                <w:sz w:val="16"/>
              </w:rPr>
              <w:t>1,289 $/kWh</w:t>
            </w:r>
          </w:p>
        </w:tc>
        <w:tc>
          <w:tcPr>
            <w:tcW w:type="dxa" w:w="1296"/>
            <w:shd w:val="clear" w:color="auto" w:fill="F2F4F8"/>
          </w:tcPr>
          <w:p>
            <w:pPr>
              <w:spacing w:after="0" w:before="0"/>
            </w:pPr>
            <w:r/>
            <w:r>
              <w:rPr>
                <w:b w:val="0"/>
                <w:i w:val="0"/>
                <w:sz w:val="16"/>
              </w:rPr>
              <w:t>1.5-h, 24.9 MW</w:t>
            </w:r>
          </w:p>
        </w:tc>
        <w:tc>
          <w:tcPr>
            <w:tcW w:type="dxa" w:w="3312"/>
            <w:shd w:val="clear" w:color="auto" w:fill="F2F4F8"/>
          </w:tcPr>
          <w:p>
            <w:pPr>
              <w:spacing w:after="0" w:before="0"/>
            </w:pPr>
            <w:r/>
            <w:r>
              <w:rPr>
                <w:b w:val="0"/>
                <w:i w:val="0"/>
                <w:sz w:val="16"/>
              </w:rPr>
              <w:t>Full utility capital: batteries, PCS, site civil, microgrid islanding controls, interconnection, overheads. $1,968/kW.</w:t>
            </w:r>
          </w:p>
        </w:tc>
        <w:tc>
          <w:tcPr>
            <w:tcW w:type="dxa" w:w="792"/>
            <w:shd w:val="clear" w:color="auto" w:fill="F2F4F8"/>
          </w:tcPr>
          <w:p>
            <w:pPr>
              <w:spacing w:after="0" w:before="0"/>
            </w:pPr>
            <w:r/>
            <w:r>
              <w:rPr>
                <w:b w:val="0"/>
                <w:i w:val="0"/>
                <w:sz w:val="16"/>
              </w:rPr>
              <w:t>High</w:t>
            </w:r>
          </w:p>
        </w:tc>
      </w:tr>
    </w:tbl>
    <w:p>
      <w:pPr>
        <w:spacing w:after="40"/>
      </w:pPr>
    </w:p>
    <w:p>
      <w:pPr>
        <w:spacing w:after="120"/>
      </w:pPr>
      <w:r>
        <w:rPr>
          <w:b w:val="0"/>
          <w:i/>
          <w:color w:val="595959"/>
          <w:sz w:val="18"/>
        </w:rPr>
        <w:t>Retrieved 29 Sep 2026 from search-index excerpts of the cited pages; direct PDF access was blocked in the research environment. Figures tagged High appear in the primary source text; Medium are reported by a reputable secondary source quoting the primary. Verify against the PDFs before external use.</w:t>
      </w:r>
    </w:p>
    <w:p>
      <w:pPr>
        <w:pStyle w:val="Heading2"/>
      </w:pPr>
      <w:r>
        <w:t>5.1 Reading Hyde Park against each family</w:t>
      </w:r>
    </w:p>
    <w:p>
      <w:pPr>
        <w:spacing w:after="120"/>
      </w:pPr>
      <w:r>
        <w:rPr>
          <w:b w:val="0"/>
          <w:i w:val="0"/>
        </w:rPr>
        <w:t>Against the equipment family, the battery is at market. Nomad's $532 per kWh equipment price sits above BloombergNEF's US turnkey survey figure of $219 per kWh (2025, four-hour, 100 MW class, excluding grid connection, land and owner's costs) and Anza's Q1 2026 distribution-scale delivered price of $203 per kWh, and between them and the disclosed utility-owned projects at $513 to $584 per kWh. Three things separate a 12-unit, two-hour order in New England from a national survey average: the survey is dominated by 100 MW-plus, four-hour blocks that BloombergNEF itself reports are 39 percent cheaper per kWh than 2 to 4 MWh blocks; the contract carries seven years of warranty and support; and the 2026 procurement environment carries a 25 percent Section 301 rate on Chinese cells and a 55 percent non-PFE content requirement under the July 2025 reconciliation act for projects beginning construction in 2026. At $605 per kWh contracted with performance guarantees, Eversource did not overpay for the battery.</w:t>
      </w:r>
    </w:p>
    <w:p>
      <w:pPr>
        <w:spacing w:after="120"/>
      </w:pPr>
      <w:r>
        <w:rPr>
          <w:b w:val="0"/>
          <w:i w:val="0"/>
        </w:rPr>
        <w:t>Against the all-in family, the installed battery (boundary 3, $833 per kWh) is above NREL's $334, the EIA and Sargent &amp; Lundy $436 and LBNL's empirical $458, and the reason is duration and size before it is anything else. NREL's own cost structure prices a system as pack cost per kWh times hours plus balance-of-system cost per kW; halving the hours from four to two spreads the same PCS, transformer and interconnection dollars over half the energy, which NREL's structure puts at roughly 1.3 to 1.5 times the four-hour $/kWh. Apply that to NREL's $334 and the comparable two-hour figure is $430 to $500 per kWh for a 60 MW system. The remaining gap to $833 is a 10 MW project's fixed costs spread over one sixth the MWh, and owner-furnished step-up transformers and EMS that a developer benchmark buys inside its EPC contract.</w:t>
      </w:r>
    </w:p>
    <w:p>
      <w:pPr>
        <w:spacing w:after="120"/>
      </w:pPr>
      <w:r>
        <w:rPr>
          <w:b w:val="0"/>
          <w:i w:val="0"/>
        </w:rPr>
        <w:t>Against the disclosed utility-owned family, the closest analogue to Hyde Park in this region is Eversource's own Outer Cape BESS at Provincetown: 24.9 MW / 38 MWh, 1.5 hours, distribution-connected, on an existing town site, final cost $49 million in 2022, $1,289 per kWh. Provincetown had no separate switching station, no landfill, no feeder protection program at a source substation, and an in-service date four years earlier. Hyde Park at boundary 4, $1,483 per kWh direct with no loaders, is 15 percent above Provincetown's final all-in figure, and the difference is Station 360 and the site. Neither project is comparable to a 2-hour, 220 MW utility-owned battery on a former coal site with an existing switchyard (NV Energy Reid Gardner, $584 per kWh), and no honest benchmark exercise would present them on the same axis without saying so.</w:t>
      </w:r>
    </w:p>
    <w:tbl>
      <w:tblPr>
        <w:tblStyle w:val="TableGrid"/>
        <w:tblW w:type="auto" w:w="0"/>
        <w:tblLook w:firstColumn="1" w:firstRow="1" w:lastColumn="0" w:lastRow="0" w:noHBand="0" w:noVBand="1" w:val="04A0"/>
      </w:tblPr>
      <w:tblGrid>
        <w:gridCol w:w="9360"/>
      </w:tblGrid>
      <w:tr>
        <w:tc>
          <w:tcPr>
            <w:tcW w:type="dxa" w:w="9360"/>
            <w:shd w:val="clear" w:color="auto" w:fill="E8EDF5"/>
          </w:tcPr>
          <w:p>
            <w:pPr>
              <w:spacing w:after="40"/>
            </w:pPr>
            <w:r/>
            <w:r>
              <w:rPr>
                <w:b/>
                <w:color w:val="001E60"/>
                <w:sz w:val="20"/>
              </w:rPr>
              <w:t xml:space="preserve">The rule for any external comparison. </w:t>
            </w:r>
            <w:r>
              <w:rPr>
                <w:sz w:val="20"/>
              </w:rPr>
              <w:t>Quote the boundary, the duration, the size, the dollar year and what is inside the fence. A $/kWh figure without those five attributes is not a benchmark; it is a talking point.</w:t>
            </w:r>
          </w:p>
        </w:tc>
      </w:tr>
    </w:tbl>
    <w:p>
      <w:pPr>
        <w:spacing w:after="40"/>
      </w:pPr>
    </w:p>
    <w:p>
      <w:pPr>
        <w:pStyle w:val="Heading1"/>
      </w:pPr>
      <w:r>
        <w:t>6. Six drivers that a 100 MW greenfield benchmark never has to pay for</w:t>
      </w:r>
    </w:p>
    <w:p>
      <w:pPr>
        <w:pStyle w:val="ListBullet"/>
        <w:spacing w:after="60"/>
      </w:pPr>
      <w:r>
        <w:rPr>
          <w:b/>
        </w:rPr>
        <w:t xml:space="preserve">Size. </w:t>
      </w:r>
      <w:r>
        <w:t>At 10 MW / 20 MWh the project is one sixth to one thirtieth the size of the projects that populate NREL, EIA and BloombergNEF samples. A switching station, an Article 80 siting case, a commissioning team and a project management team cost about the same at 10 MW as at 100 MW. Per kWh they are ten times heavier.</w:t>
      </w:r>
    </w:p>
    <w:p>
      <w:pPr>
        <w:pStyle w:val="ListBullet"/>
        <w:spacing w:after="60"/>
      </w:pPr>
      <w:r>
        <w:rPr>
          <w:b/>
        </w:rPr>
        <w:t xml:space="preserve">Duration. </w:t>
      </w:r>
      <w:r>
        <w:t>Two hours, sized to the substation's evening peak-shaving need rather than to a market product. Every $/kW item is spread over half the MWh of a four-hour benchmark.</w:t>
      </w:r>
    </w:p>
    <w:p>
      <w:pPr>
        <w:pStyle w:val="ListBullet"/>
        <w:spacing w:after="60"/>
      </w:pPr>
      <w:r>
        <w:rPr>
          <w:b/>
        </w:rPr>
        <w:t xml:space="preserve">Site. </w:t>
      </w:r>
      <w:r>
        <w:t>A closed construction-debris landfill in a Boston neighborhood, with a MassDEP post-closure use permit, a stormwater permit and SWPPP, cap protection, imported platform fill and a retaining wall. Haugland's constructability log lists thirty-three open items on this site, four of which are worth $1.47 million of deduct if confirmed in writing.</w:t>
      </w:r>
    </w:p>
    <w:p>
      <w:pPr>
        <w:pStyle w:val="ListBullet"/>
        <w:spacing w:after="60"/>
      </w:pPr>
      <w:r>
        <w:rPr>
          <w:b/>
        </w:rPr>
        <w:t xml:space="preserve">Interconnection. </w:t>
      </w:r>
      <w:r>
        <w:t>Four feeder tie-ins at 13.8 kV, each with its own breaker skid; protection upgrades at Station 496; a 5,465 ft circuit extension. LBNL's ISO-NE study puts the average storage interconnection cost at $230 per kW for transmission-connected requests, which would be $115 per kWh here; Hyde Park's distribution interconnection, loaded, is $687 per kWh across layers D and F, because it is a station and a protection program rather than a tap.</w:t>
      </w:r>
    </w:p>
    <w:p>
      <w:pPr>
        <w:pStyle w:val="ListBullet"/>
        <w:spacing w:after="60"/>
      </w:pPr>
      <w:r>
        <w:rPr>
          <w:b/>
        </w:rPr>
        <w:t xml:space="preserve">Siting and outreach. </w:t>
      </w:r>
      <w:r>
        <w:t>Article 80 Small Project Review, a Conditional Use Permit from the Zoning Board of Appeal, outside counsel, and a neighborhood that has raised loss of open land, views near the shopping plaza and traffic. $1.5 million in the estimate, $0.5 million in the risk register, and a February 2028 siting determination that gates construction start.</w:t>
      </w:r>
    </w:p>
    <w:p>
      <w:pPr>
        <w:pStyle w:val="ListBullet"/>
        <w:spacing w:after="60"/>
      </w:pPr>
      <w:r>
        <w:rPr>
          <w:b/>
        </w:rPr>
        <w:t xml:space="preserve">Utility accounting. </w:t>
      </w:r>
      <w:r>
        <w:t>Corporate indirects and AFUDC over a seven-year development window are 26 percent of the approval level. They are the cost of doing this work inside a regulated utility with a capital structure, and they are recoverable costs to customers. A developer's turnkey price carries its own overhead and margin inside the number, invisibly.</w:t>
      </w:r>
    </w:p>
    <w:p>
      <w:pPr>
        <w:pStyle w:val="Heading1"/>
      </w:pPr>
      <w:r>
        <w:t>7. How the cost changed over time</w:t>
      </w:r>
    </w:p>
    <w:p>
      <w:pPr>
        <w:pStyle w:val="Heading2"/>
      </w:pPr>
      <w:r>
        <w:t>7.1 The project</w:t>
      </w:r>
    </w:p>
    <w:tbl>
      <w:tblPr>
        <w:tblStyle w:val="TableGrid"/>
        <w:tblW w:type="auto" w:w="0"/>
        <w:jc w:val="center"/>
        <w:tblLayout w:type="fixed"/>
        <w:tblLook w:firstColumn="1" w:firstRow="1" w:lastColumn="0" w:lastRow="0" w:noHBand="0" w:noVBand="1" w:val="04A0"/>
      </w:tblPr>
      <w:tblGrid>
        <w:gridCol w:w="1152"/>
        <w:gridCol w:w="3168"/>
        <w:gridCol w:w="1440"/>
        <w:gridCol w:w="4032"/>
      </w:tblGrid>
      <w:tr>
        <w:tc>
          <w:tcPr>
            <w:tcW w:type="dxa" w:w="1152"/>
            <w:shd w:val="clear" w:color="auto" w:fill="001E60"/>
          </w:tcPr>
          <w:p>
            <w:pPr>
              <w:spacing w:after="0" w:before="0"/>
            </w:pPr>
            <w:r/>
            <w:r>
              <w:rPr>
                <w:b/>
                <w:i w:val="0"/>
                <w:color w:val="FFFFFF"/>
                <w:sz w:val="17"/>
              </w:rPr>
              <w:t>Date</w:t>
            </w:r>
          </w:p>
        </w:tc>
        <w:tc>
          <w:tcPr>
            <w:tcW w:type="dxa" w:w="3168"/>
            <w:shd w:val="clear" w:color="auto" w:fill="001E60"/>
          </w:tcPr>
          <w:p>
            <w:pPr>
              <w:spacing w:after="0" w:before="0"/>
            </w:pPr>
            <w:r/>
            <w:r>
              <w:rPr>
                <w:b/>
                <w:i w:val="0"/>
                <w:color w:val="FFFFFF"/>
                <w:sz w:val="17"/>
              </w:rPr>
              <w:t>Event</w:t>
            </w:r>
          </w:p>
        </w:tc>
        <w:tc>
          <w:tcPr>
            <w:tcW w:type="dxa" w:w="1440"/>
            <w:shd w:val="clear" w:color="auto" w:fill="001E60"/>
          </w:tcPr>
          <w:p>
            <w:pPr>
              <w:spacing w:after="0" w:before="0"/>
            </w:pPr>
            <w:r/>
            <w:r>
              <w:rPr>
                <w:b/>
                <w:i w:val="0"/>
                <w:color w:val="FFFFFF"/>
                <w:sz w:val="17"/>
              </w:rPr>
              <w:t>Value</w:t>
            </w:r>
          </w:p>
        </w:tc>
        <w:tc>
          <w:tcPr>
            <w:tcW w:type="dxa" w:w="4032"/>
            <w:shd w:val="clear" w:color="auto" w:fill="001E60"/>
          </w:tcPr>
          <w:p>
            <w:pPr>
              <w:spacing w:after="0" w:before="0"/>
            </w:pPr>
            <w:r/>
            <w:r>
              <w:rPr>
                <w:b/>
                <w:i w:val="0"/>
                <w:color w:val="FFFFFF"/>
                <w:sz w:val="17"/>
              </w:rPr>
              <w:t>Basis</w:t>
            </w:r>
          </w:p>
        </w:tc>
      </w:tr>
      <w:tr>
        <w:tc>
          <w:tcPr>
            <w:tcW w:type="dxa" w:w="1152"/>
          </w:tcPr>
          <w:p>
            <w:pPr>
              <w:spacing w:after="0" w:before="0"/>
            </w:pPr>
            <w:r/>
            <w:r>
              <w:rPr>
                <w:b w:val="0"/>
                <w:i w:val="0"/>
                <w:sz w:val="17"/>
              </w:rPr>
              <w:t>2021-06</w:t>
            </w:r>
          </w:p>
        </w:tc>
        <w:tc>
          <w:tcPr>
            <w:tcW w:type="dxa" w:w="3168"/>
          </w:tcPr>
          <w:p>
            <w:pPr>
              <w:spacing w:after="0" w:before="0"/>
            </w:pPr>
            <w:r/>
            <w:r>
              <w:rPr>
                <w:b w:val="0"/>
                <w:i w:val="0"/>
                <w:sz w:val="17"/>
              </w:rPr>
              <w:t>Initial Funding Request (IFR)</w:t>
            </w:r>
          </w:p>
        </w:tc>
        <w:tc>
          <w:tcPr>
            <w:tcW w:type="dxa" w:w="1440"/>
          </w:tcPr>
          <w:p>
            <w:pPr>
              <w:spacing w:after="0" w:before="0"/>
              <w:jc w:val="right"/>
            </w:pPr>
            <w:r/>
            <w:r>
              <w:rPr>
                <w:b w:val="0"/>
                <w:i w:val="0"/>
                <w:sz w:val="17"/>
              </w:rPr>
              <w:t>$200,000</w:t>
            </w:r>
          </w:p>
        </w:tc>
        <w:tc>
          <w:tcPr>
            <w:tcW w:type="dxa" w:w="4032"/>
          </w:tcPr>
          <w:p>
            <w:pPr>
              <w:spacing w:after="0" w:before="0"/>
            </w:pPr>
            <w:r/>
            <w:r>
              <w:rPr>
                <w:b w:val="0"/>
                <w:i w:val="0"/>
                <w:sz w:val="17"/>
              </w:rPr>
              <w:t>IFR approved 6/11/2021; 15 MW/20 MWh concept; ISD Q3 2025</w:t>
            </w:r>
          </w:p>
        </w:tc>
      </w:tr>
      <w:tr>
        <w:tc>
          <w:tcPr>
            <w:tcW w:type="dxa" w:w="1152"/>
            <w:shd w:val="clear" w:color="auto" w:fill="F2F4F8"/>
          </w:tcPr>
          <w:p>
            <w:pPr>
              <w:spacing w:after="0" w:before="0"/>
            </w:pPr>
            <w:r/>
            <w:r>
              <w:rPr>
                <w:b w:val="0"/>
                <w:i w:val="0"/>
                <w:sz w:val="17"/>
              </w:rPr>
              <w:t>2023-05</w:t>
            </w:r>
          </w:p>
        </w:tc>
        <w:tc>
          <w:tcPr>
            <w:tcW w:type="dxa" w:w="3168"/>
            <w:shd w:val="clear" w:color="auto" w:fill="F2F4F8"/>
          </w:tcPr>
          <w:p>
            <w:pPr>
              <w:spacing w:after="0" w:before="0"/>
            </w:pPr>
            <w:r/>
            <w:r>
              <w:rPr>
                <w:b w:val="0"/>
                <w:i w:val="0"/>
                <w:sz w:val="17"/>
              </w:rPr>
              <w:t>IFR Rev 1</w:t>
            </w:r>
          </w:p>
        </w:tc>
        <w:tc>
          <w:tcPr>
            <w:tcW w:type="dxa" w:w="1440"/>
            <w:shd w:val="clear" w:color="auto" w:fill="F2F4F8"/>
          </w:tcPr>
          <w:p>
            <w:pPr>
              <w:spacing w:after="0" w:before="0"/>
              <w:jc w:val="right"/>
            </w:pPr>
            <w:r/>
            <w:r>
              <w:rPr>
                <w:b w:val="0"/>
                <w:i w:val="0"/>
                <w:sz w:val="17"/>
              </w:rPr>
              <w:t>$500,000</w:t>
            </w:r>
          </w:p>
        </w:tc>
        <w:tc>
          <w:tcPr>
            <w:tcW w:type="dxa" w:w="4032"/>
            <w:shd w:val="clear" w:color="auto" w:fill="F2F4F8"/>
          </w:tcPr>
          <w:p>
            <w:pPr>
              <w:spacing w:after="0" w:before="0"/>
            </w:pPr>
            <w:r/>
            <w:r>
              <w:rPr>
                <w:b w:val="0"/>
                <w:i w:val="0"/>
                <w:sz w:val="17"/>
              </w:rPr>
              <w:t>Cumulative initial funding $300K + $200K</w:t>
            </w:r>
          </w:p>
        </w:tc>
      </w:tr>
      <w:tr>
        <w:tc>
          <w:tcPr>
            <w:tcW w:type="dxa" w:w="1152"/>
          </w:tcPr>
          <w:p>
            <w:pPr>
              <w:spacing w:after="0" w:before="0"/>
            </w:pPr>
            <w:r/>
            <w:r>
              <w:rPr>
                <w:b w:val="0"/>
                <w:i w:val="0"/>
                <w:sz w:val="17"/>
              </w:rPr>
              <w:t>2023-07</w:t>
            </w:r>
          </w:p>
        </w:tc>
        <w:tc>
          <w:tcPr>
            <w:tcW w:type="dxa" w:w="3168"/>
          </w:tcPr>
          <w:p>
            <w:pPr>
              <w:spacing w:after="0" w:before="0"/>
            </w:pPr>
            <w:r/>
            <w:r>
              <w:rPr>
                <w:b w:val="0"/>
                <w:i w:val="0"/>
                <w:sz w:val="17"/>
              </w:rPr>
              <w:t>Vendor indicative pricing, 5 bidders (Site Two, 10 MW/20 MWh)</w:t>
            </w:r>
          </w:p>
        </w:tc>
        <w:tc>
          <w:tcPr>
            <w:tcW w:type="dxa" w:w="1440"/>
          </w:tcPr>
          <w:p>
            <w:pPr>
              <w:spacing w:after="0" w:before="0"/>
              <w:jc w:val="right"/>
            </w:pPr>
            <w:r/>
            <w:r>
              <w:rPr>
                <w:b w:val="0"/>
                <w:i w:val="0"/>
                <w:sz w:val="17"/>
              </w:rPr>
              <w:t>$18,222,342</w:t>
            </w:r>
          </w:p>
        </w:tc>
        <w:tc>
          <w:tcPr>
            <w:tcW w:type="dxa" w:w="4032"/>
          </w:tcPr>
          <w:p>
            <w:pPr>
              <w:spacing w:after="0" w:before="0"/>
            </w:pPr>
            <w:r/>
            <w:r>
              <w:rPr>
                <w:b w:val="0"/>
                <w:i w:val="0"/>
                <w:sz w:val="17"/>
              </w:rPr>
              <w:t>Company 3 turnkey indicative price; range $9.59M-$18.22M across bidders</w:t>
            </w:r>
          </w:p>
        </w:tc>
      </w:tr>
      <w:tr>
        <w:tc>
          <w:tcPr>
            <w:tcW w:type="dxa" w:w="1152"/>
            <w:shd w:val="clear" w:color="auto" w:fill="F2F4F8"/>
          </w:tcPr>
          <w:p>
            <w:pPr>
              <w:spacing w:after="0" w:before="0"/>
            </w:pPr>
            <w:r/>
            <w:r>
              <w:rPr>
                <w:b w:val="0"/>
                <w:i w:val="0"/>
                <w:sz w:val="17"/>
              </w:rPr>
              <w:t>2023-12</w:t>
            </w:r>
          </w:p>
        </w:tc>
        <w:tc>
          <w:tcPr>
            <w:tcW w:type="dxa" w:w="3168"/>
            <w:shd w:val="clear" w:color="auto" w:fill="F2F4F8"/>
          </w:tcPr>
          <w:p>
            <w:pPr>
              <w:spacing w:after="0" w:before="0"/>
            </w:pPr>
            <w:r/>
            <w:r>
              <w:rPr>
                <w:b w:val="0"/>
                <w:i w:val="0"/>
                <w:sz w:val="17"/>
              </w:rPr>
              <w:t>E-23-373 conceptual estimate</w:t>
            </w:r>
          </w:p>
        </w:tc>
        <w:tc>
          <w:tcPr>
            <w:tcW w:type="dxa" w:w="1440"/>
            <w:shd w:val="clear" w:color="auto" w:fill="F2F4F8"/>
          </w:tcPr>
          <w:p>
            <w:pPr>
              <w:spacing w:after="0" w:before="0"/>
              <w:jc w:val="right"/>
            </w:pPr>
            <w:r/>
            <w:r>
              <w:rPr>
                <w:b w:val="0"/>
                <w:i w:val="0"/>
                <w:sz w:val="17"/>
              </w:rPr>
              <w:t>$43,926,100</w:t>
            </w:r>
          </w:p>
        </w:tc>
        <w:tc>
          <w:tcPr>
            <w:tcW w:type="dxa" w:w="4032"/>
            <w:shd w:val="clear" w:color="auto" w:fill="F2F4F8"/>
          </w:tcPr>
          <w:p>
            <w:pPr>
              <w:spacing w:after="0" w:before="0"/>
            </w:pPr>
            <w:r/>
            <w:r>
              <w:rPr>
                <w:b w:val="0"/>
                <w:i w:val="0"/>
                <w:sz w:val="17"/>
              </w:rPr>
              <w:t>Conceptual -25/+50%; ISD 4/23/2027; 2023 dollars escalated</w:t>
            </w:r>
          </w:p>
        </w:tc>
      </w:tr>
      <w:tr>
        <w:tc>
          <w:tcPr>
            <w:tcW w:type="dxa" w:w="1152"/>
          </w:tcPr>
          <w:p>
            <w:pPr>
              <w:spacing w:after="0" w:before="0"/>
            </w:pPr>
            <w:r/>
            <w:r>
              <w:rPr>
                <w:b w:val="0"/>
                <w:i w:val="0"/>
                <w:sz w:val="17"/>
              </w:rPr>
              <w:t>2024-02</w:t>
            </w:r>
          </w:p>
        </w:tc>
        <w:tc>
          <w:tcPr>
            <w:tcW w:type="dxa" w:w="3168"/>
          </w:tcPr>
          <w:p>
            <w:pPr>
              <w:spacing w:after="0" w:before="0"/>
            </w:pPr>
            <w:r/>
            <w:r>
              <w:rPr>
                <w:b w:val="0"/>
                <w:i w:val="0"/>
                <w:sz w:val="17"/>
              </w:rPr>
              <w:t>SSF preferred alternative (BESS + D-Line)</w:t>
            </w:r>
          </w:p>
        </w:tc>
        <w:tc>
          <w:tcPr>
            <w:tcW w:type="dxa" w:w="1440"/>
          </w:tcPr>
          <w:p>
            <w:pPr>
              <w:spacing w:after="0" w:before="0"/>
              <w:jc w:val="right"/>
            </w:pPr>
            <w:r/>
            <w:r>
              <w:rPr>
                <w:b w:val="0"/>
                <w:i w:val="0"/>
                <w:sz w:val="17"/>
              </w:rPr>
              <w:t>$49,200,000</w:t>
            </w:r>
          </w:p>
        </w:tc>
        <w:tc>
          <w:tcPr>
            <w:tcW w:type="dxa" w:w="4032"/>
          </w:tcPr>
          <w:p>
            <w:pPr>
              <w:spacing w:after="0" w:before="0"/>
            </w:pPr>
            <w:r/>
            <w:r>
              <w:rPr>
                <w:b w:val="0"/>
                <w:i w:val="0"/>
                <w:sz w:val="17"/>
              </w:rPr>
              <w:t>$44.379M station + $4.793M distribution; SDC 2/15/2024</w:t>
            </w:r>
          </w:p>
        </w:tc>
      </w:tr>
      <w:tr>
        <w:tc>
          <w:tcPr>
            <w:tcW w:type="dxa" w:w="1152"/>
            <w:shd w:val="clear" w:color="auto" w:fill="F2F4F8"/>
          </w:tcPr>
          <w:p>
            <w:pPr>
              <w:spacing w:after="0" w:before="0"/>
            </w:pPr>
            <w:r/>
            <w:r>
              <w:rPr>
                <w:b w:val="0"/>
                <w:i w:val="0"/>
                <w:sz w:val="17"/>
              </w:rPr>
              <w:t>2024-07</w:t>
            </w:r>
          </w:p>
        </w:tc>
        <w:tc>
          <w:tcPr>
            <w:tcW w:type="dxa" w:w="3168"/>
            <w:shd w:val="clear" w:color="auto" w:fill="F2F4F8"/>
          </w:tcPr>
          <w:p>
            <w:pPr>
              <w:spacing w:after="0" w:before="0"/>
            </w:pPr>
            <w:r/>
            <w:r>
              <w:rPr>
                <w:b w:val="0"/>
                <w:i w:val="0"/>
                <w:sz w:val="17"/>
              </w:rPr>
              <w:t>Partial Funding Rev 1</w:t>
            </w:r>
          </w:p>
        </w:tc>
        <w:tc>
          <w:tcPr>
            <w:tcW w:type="dxa" w:w="1440"/>
            <w:shd w:val="clear" w:color="auto" w:fill="F2F4F8"/>
          </w:tcPr>
          <w:p>
            <w:pPr>
              <w:spacing w:after="0" w:before="0"/>
              <w:jc w:val="right"/>
            </w:pPr>
            <w:r/>
            <w:r>
              <w:rPr>
                <w:b w:val="0"/>
                <w:i w:val="0"/>
                <w:sz w:val="17"/>
              </w:rPr>
              <w:t>$4,009,000</w:t>
            </w:r>
          </w:p>
        </w:tc>
        <w:tc>
          <w:tcPr>
            <w:tcW w:type="dxa" w:w="4032"/>
            <w:shd w:val="clear" w:color="auto" w:fill="F2F4F8"/>
          </w:tcPr>
          <w:p>
            <w:pPr>
              <w:spacing w:after="0" w:before="0"/>
            </w:pPr>
            <w:r/>
            <w:r>
              <w:rPr>
                <w:b w:val="0"/>
                <w:i w:val="0"/>
                <w:sz w:val="17"/>
              </w:rPr>
              <w:t>EPAC 7/10/2024</w:t>
            </w:r>
          </w:p>
        </w:tc>
      </w:tr>
      <w:tr>
        <w:tc>
          <w:tcPr>
            <w:tcW w:type="dxa" w:w="1152"/>
          </w:tcPr>
          <w:p>
            <w:pPr>
              <w:spacing w:after="0" w:before="0"/>
            </w:pPr>
            <w:r/>
            <w:r>
              <w:rPr>
                <w:b w:val="0"/>
                <w:i w:val="0"/>
                <w:sz w:val="17"/>
              </w:rPr>
              <w:t>2026-02</w:t>
            </w:r>
          </w:p>
        </w:tc>
        <w:tc>
          <w:tcPr>
            <w:tcW w:type="dxa" w:w="3168"/>
          </w:tcPr>
          <w:p>
            <w:pPr>
              <w:spacing w:after="0" w:before="0"/>
            </w:pPr>
            <w:r/>
            <w:r>
              <w:rPr>
                <w:b w:val="0"/>
                <w:i w:val="0"/>
                <w:sz w:val="17"/>
              </w:rPr>
              <w:t>Partial Funding Rev 2</w:t>
            </w:r>
          </w:p>
        </w:tc>
        <w:tc>
          <w:tcPr>
            <w:tcW w:type="dxa" w:w="1440"/>
          </w:tcPr>
          <w:p>
            <w:pPr>
              <w:spacing w:after="0" w:before="0"/>
              <w:jc w:val="right"/>
            </w:pPr>
            <w:r/>
            <w:r>
              <w:rPr>
                <w:b w:val="0"/>
                <w:i w:val="0"/>
                <w:sz w:val="17"/>
              </w:rPr>
              <w:t>$5,767,000</w:t>
            </w:r>
          </w:p>
        </w:tc>
        <w:tc>
          <w:tcPr>
            <w:tcW w:type="dxa" w:w="4032"/>
          </w:tcPr>
          <w:p>
            <w:pPr>
              <w:spacing w:after="0" w:before="0"/>
            </w:pPr>
            <w:r/>
            <w:r>
              <w:rPr>
                <w:b w:val="0"/>
                <w:i w:val="0"/>
                <w:sz w:val="17"/>
              </w:rPr>
              <w:t>PowerPlan 2/18/2026; FF estimate still $43.926M</w:t>
            </w:r>
          </w:p>
        </w:tc>
      </w:tr>
      <w:tr>
        <w:tc>
          <w:tcPr>
            <w:tcW w:type="dxa" w:w="1152"/>
            <w:shd w:val="clear" w:color="auto" w:fill="F2F4F8"/>
          </w:tcPr>
          <w:p>
            <w:pPr>
              <w:spacing w:after="0" w:before="0"/>
            </w:pPr>
            <w:r/>
            <w:r>
              <w:rPr>
                <w:b w:val="0"/>
                <w:i w:val="0"/>
                <w:sz w:val="17"/>
              </w:rPr>
              <w:t>2026-03</w:t>
            </w:r>
          </w:p>
        </w:tc>
        <w:tc>
          <w:tcPr>
            <w:tcW w:type="dxa" w:w="3168"/>
            <w:shd w:val="clear" w:color="auto" w:fill="F2F4F8"/>
          </w:tcPr>
          <w:p>
            <w:pPr>
              <w:spacing w:after="0" w:before="0"/>
            </w:pPr>
            <w:r/>
            <w:r>
              <w:rPr>
                <w:b w:val="0"/>
                <w:i w:val="0"/>
                <w:sz w:val="17"/>
              </w:rPr>
              <w:t>Nomad cover agreement executed</w:t>
            </w:r>
          </w:p>
        </w:tc>
        <w:tc>
          <w:tcPr>
            <w:tcW w:type="dxa" w:w="1440"/>
            <w:shd w:val="clear" w:color="auto" w:fill="F2F4F8"/>
          </w:tcPr>
          <w:p>
            <w:pPr>
              <w:spacing w:after="0" w:before="0"/>
              <w:jc w:val="right"/>
            </w:pPr>
            <w:r/>
            <w:r>
              <w:rPr>
                <w:b w:val="0"/>
                <w:i w:val="0"/>
                <w:sz w:val="17"/>
              </w:rPr>
              <w:t>$12,106,850</w:t>
            </w:r>
          </w:p>
        </w:tc>
        <w:tc>
          <w:tcPr>
            <w:tcW w:type="dxa" w:w="4032"/>
            <w:shd w:val="clear" w:color="auto" w:fill="F2F4F8"/>
          </w:tcPr>
          <w:p>
            <w:pPr>
              <w:spacing w:after="0" w:before="0"/>
            </w:pPr>
            <w:r/>
            <w:r>
              <w:rPr>
                <w:b w:val="0"/>
                <w:i w:val="0"/>
                <w:sz w:val="17"/>
              </w:rPr>
              <w:t>Fixed price, 12 Voyager units, 10-yr warranty; SOV dated 12/8/2025</w:t>
            </w:r>
          </w:p>
        </w:tc>
      </w:tr>
      <w:tr>
        <w:tc>
          <w:tcPr>
            <w:tcW w:type="dxa" w:w="1152"/>
          </w:tcPr>
          <w:p>
            <w:pPr>
              <w:spacing w:after="0" w:before="0"/>
            </w:pPr>
            <w:r/>
            <w:r>
              <w:rPr>
                <w:b w:val="0"/>
                <w:i w:val="0"/>
                <w:sz w:val="17"/>
              </w:rPr>
              <w:t>2026-06</w:t>
            </w:r>
          </w:p>
        </w:tc>
        <w:tc>
          <w:tcPr>
            <w:tcW w:type="dxa" w:w="3168"/>
          </w:tcPr>
          <w:p>
            <w:pPr>
              <w:spacing w:after="0" w:before="0"/>
            </w:pPr>
            <w:r/>
            <w:r>
              <w:rPr>
                <w:b w:val="0"/>
                <w:i w:val="0"/>
                <w:sz w:val="17"/>
              </w:rPr>
              <w:t>Partial Funding Rev 3</w:t>
            </w:r>
          </w:p>
        </w:tc>
        <w:tc>
          <w:tcPr>
            <w:tcW w:type="dxa" w:w="1440"/>
          </w:tcPr>
          <w:p>
            <w:pPr>
              <w:spacing w:after="0" w:before="0"/>
              <w:jc w:val="right"/>
            </w:pPr>
            <w:r/>
            <w:r>
              <w:rPr>
                <w:b w:val="0"/>
                <w:i w:val="0"/>
                <w:sz w:val="17"/>
              </w:rPr>
              <w:t>$8,914,000</w:t>
            </w:r>
          </w:p>
        </w:tc>
        <w:tc>
          <w:tcPr>
            <w:tcW w:type="dxa" w:w="4032"/>
          </w:tcPr>
          <w:p>
            <w:pPr>
              <w:spacing w:after="0" w:before="0"/>
            </w:pPr>
            <w:r/>
            <w:r>
              <w:rPr>
                <w:b w:val="0"/>
                <w:i w:val="0"/>
                <w:sz w:val="17"/>
              </w:rPr>
              <w:t>EPAC 6/25/2026; FF estimate still $43.926M; ISD 12/28/2028</w:t>
            </w:r>
          </w:p>
        </w:tc>
      </w:tr>
      <w:tr>
        <w:tc>
          <w:tcPr>
            <w:tcW w:type="dxa" w:w="1152"/>
            <w:shd w:val="clear" w:color="auto" w:fill="F2F4F8"/>
          </w:tcPr>
          <w:p>
            <w:pPr>
              <w:spacing w:after="0" w:before="0"/>
            </w:pPr>
            <w:r/>
            <w:r>
              <w:rPr>
                <w:b w:val="0"/>
                <w:i w:val="0"/>
                <w:sz w:val="17"/>
              </w:rPr>
              <w:t>2026-08</w:t>
            </w:r>
          </w:p>
        </w:tc>
        <w:tc>
          <w:tcPr>
            <w:tcW w:type="dxa" w:w="3168"/>
            <w:shd w:val="clear" w:color="auto" w:fill="F2F4F8"/>
          </w:tcPr>
          <w:p>
            <w:pPr>
              <w:spacing w:after="0" w:before="0"/>
            </w:pPr>
            <w:r/>
            <w:r>
              <w:rPr>
                <w:b w:val="0"/>
                <w:i w:val="0"/>
                <w:sz w:val="17"/>
              </w:rPr>
              <w:t>Sta 360 + 496 estimate Rev 0</w:t>
            </w:r>
          </w:p>
        </w:tc>
        <w:tc>
          <w:tcPr>
            <w:tcW w:type="dxa" w:w="1440"/>
            <w:shd w:val="clear" w:color="auto" w:fill="F2F4F8"/>
          </w:tcPr>
          <w:p>
            <w:pPr>
              <w:spacing w:after="0" w:before="0"/>
              <w:jc w:val="right"/>
            </w:pPr>
            <w:r/>
            <w:r>
              <w:rPr>
                <w:b w:val="0"/>
                <w:i w:val="0"/>
                <w:sz w:val="17"/>
              </w:rPr>
              <w:t>$47,201,100</w:t>
            </w:r>
          </w:p>
        </w:tc>
        <w:tc>
          <w:tcPr>
            <w:tcW w:type="dxa" w:w="4032"/>
            <w:shd w:val="clear" w:color="auto" w:fill="F2F4F8"/>
          </w:tcPr>
          <w:p>
            <w:pPr>
              <w:spacing w:after="0" w:before="0"/>
            </w:pPr>
            <w:r/>
            <w:r>
              <w:rPr>
                <w:b w:val="0"/>
                <w:i w:val="0"/>
                <w:sz w:val="17"/>
              </w:rPr>
              <w:t>ESF 8/26/2026; battery line carried at ~$6M</w:t>
            </w:r>
          </w:p>
        </w:tc>
      </w:tr>
      <w:tr>
        <w:tc>
          <w:tcPr>
            <w:tcW w:type="dxa" w:w="1152"/>
          </w:tcPr>
          <w:p>
            <w:pPr>
              <w:spacing w:after="0" w:before="0"/>
            </w:pPr>
            <w:r/>
            <w:r>
              <w:rPr>
                <w:b w:val="0"/>
                <w:i w:val="0"/>
                <w:sz w:val="17"/>
              </w:rPr>
              <w:t>2026-09-01</w:t>
            </w:r>
          </w:p>
        </w:tc>
        <w:tc>
          <w:tcPr>
            <w:tcW w:type="dxa" w:w="3168"/>
          </w:tcPr>
          <w:p>
            <w:pPr>
              <w:spacing w:after="0" w:before="0"/>
            </w:pPr>
            <w:r/>
            <w:r>
              <w:rPr>
                <w:b w:val="0"/>
                <w:i w:val="0"/>
                <w:sz w:val="17"/>
              </w:rPr>
              <w:t>Estimate Rev 1</w:t>
            </w:r>
          </w:p>
        </w:tc>
        <w:tc>
          <w:tcPr>
            <w:tcW w:type="dxa" w:w="1440"/>
          </w:tcPr>
          <w:p>
            <w:pPr>
              <w:spacing w:after="0" w:before="0"/>
              <w:jc w:val="right"/>
            </w:pPr>
            <w:r/>
            <w:r>
              <w:rPr>
                <w:b w:val="0"/>
                <w:i w:val="0"/>
                <w:sz w:val="17"/>
              </w:rPr>
              <w:t>$51,867,100</w:t>
            </w:r>
          </w:p>
        </w:tc>
        <w:tc>
          <w:tcPr>
            <w:tcW w:type="dxa" w:w="4032"/>
          </w:tcPr>
          <w:p>
            <w:pPr>
              <w:spacing w:after="0" w:before="0"/>
            </w:pPr>
            <w:r/>
            <w:r>
              <w:rPr>
                <w:b w:val="0"/>
                <w:i w:val="0"/>
                <w:sz w:val="17"/>
              </w:rPr>
              <w:t>Battery material increased per project team</w:t>
            </w:r>
          </w:p>
        </w:tc>
      </w:tr>
      <w:tr>
        <w:tc>
          <w:tcPr>
            <w:tcW w:type="dxa" w:w="1152"/>
            <w:shd w:val="clear" w:color="auto" w:fill="F2F4F8"/>
          </w:tcPr>
          <w:p>
            <w:pPr>
              <w:spacing w:after="0" w:before="0"/>
            </w:pPr>
            <w:r/>
            <w:r>
              <w:rPr>
                <w:b w:val="0"/>
                <w:i w:val="0"/>
                <w:sz w:val="17"/>
              </w:rPr>
              <w:t>2026-09-10</w:t>
            </w:r>
          </w:p>
        </w:tc>
        <w:tc>
          <w:tcPr>
            <w:tcW w:type="dxa" w:w="3168"/>
            <w:shd w:val="clear" w:color="auto" w:fill="F2F4F8"/>
          </w:tcPr>
          <w:p>
            <w:pPr>
              <w:spacing w:after="0" w:before="0"/>
            </w:pPr>
            <w:r/>
            <w:r>
              <w:rPr>
                <w:b w:val="0"/>
                <w:i w:val="0"/>
                <w:sz w:val="17"/>
              </w:rPr>
              <w:t>Estimate Rev 2</w:t>
            </w:r>
          </w:p>
        </w:tc>
        <w:tc>
          <w:tcPr>
            <w:tcW w:type="dxa" w:w="1440"/>
            <w:shd w:val="clear" w:color="auto" w:fill="F2F4F8"/>
          </w:tcPr>
          <w:p>
            <w:pPr>
              <w:spacing w:after="0" w:before="0"/>
              <w:jc w:val="right"/>
            </w:pPr>
            <w:r/>
            <w:r>
              <w:rPr>
                <w:b w:val="0"/>
                <w:i w:val="0"/>
                <w:sz w:val="17"/>
              </w:rPr>
              <w:t>$63,640,300</w:t>
            </w:r>
          </w:p>
        </w:tc>
        <w:tc>
          <w:tcPr>
            <w:tcW w:type="dxa" w:w="4032"/>
            <w:shd w:val="clear" w:color="auto" w:fill="F2F4F8"/>
          </w:tcPr>
          <w:p>
            <w:pPr>
              <w:spacing w:after="0" w:before="0"/>
            </w:pPr>
            <w:r/>
            <w:r>
              <w:rPr>
                <w:b w:val="0"/>
                <w:i w:val="0"/>
                <w:sz w:val="17"/>
              </w:rPr>
              <w:t>Battery line reset to cover agreement ($13.1M escalated) + $1.5M relays</w:t>
            </w:r>
          </w:p>
        </w:tc>
      </w:tr>
      <w:tr>
        <w:tc>
          <w:tcPr>
            <w:tcW w:type="dxa" w:w="1152"/>
          </w:tcPr>
          <w:p>
            <w:pPr>
              <w:spacing w:after="0" w:before="0"/>
            </w:pPr>
            <w:r/>
            <w:r>
              <w:rPr>
                <w:b w:val="0"/>
                <w:i w:val="0"/>
                <w:sz w:val="17"/>
              </w:rPr>
              <w:t>2026-09-24</w:t>
            </w:r>
          </w:p>
        </w:tc>
        <w:tc>
          <w:tcPr>
            <w:tcW w:type="dxa" w:w="3168"/>
          </w:tcPr>
          <w:p>
            <w:pPr>
              <w:spacing w:after="0" w:before="0"/>
            </w:pPr>
            <w:r/>
            <w:r>
              <w:rPr>
                <w:b w:val="0"/>
                <w:i w:val="0"/>
                <w:sz w:val="17"/>
              </w:rPr>
              <w:t>Estimate Rev 3 (current)</w:t>
            </w:r>
          </w:p>
        </w:tc>
        <w:tc>
          <w:tcPr>
            <w:tcW w:type="dxa" w:w="1440"/>
          </w:tcPr>
          <w:p>
            <w:pPr>
              <w:spacing w:after="0" w:before="0"/>
              <w:jc w:val="right"/>
            </w:pPr>
            <w:r/>
            <w:r>
              <w:rPr>
                <w:b w:val="0"/>
                <w:i w:val="0"/>
                <w:sz w:val="17"/>
              </w:rPr>
              <w:t>$57,247,300</w:t>
            </w:r>
          </w:p>
        </w:tc>
        <w:tc>
          <w:tcPr>
            <w:tcW w:type="dxa" w:w="4032"/>
          </w:tcPr>
          <w:p>
            <w:pPr>
              <w:spacing w:after="0" w:before="0"/>
            </w:pPr>
            <w:r/>
            <w:r>
              <w:rPr>
                <w:b w:val="0"/>
                <w:i w:val="0"/>
                <w:sz w:val="17"/>
              </w:rPr>
              <w:t>Relays removed (-$1.5M), SSVT qty 3-&gt;1, engineering re-based to $501K + actuals</w:t>
            </w:r>
          </w:p>
        </w:tc>
      </w:tr>
    </w:tbl>
    <w:p>
      <w:pPr>
        <w:spacing w:after="40"/>
      </w:pPr>
    </w:p>
    <w:p>
      <w:pPr>
        <w:spacing w:after="120"/>
      </w:pPr>
      <w:r>
        <w:rPr>
          <w:b w:val="0"/>
          <w:i w:val="0"/>
        </w:rPr>
        <w:t>The pattern is not that batteries became expensive. Between the July 2023 indicative exercise and the March 2026 contract, the price of the battery scope fell from an $18.2 million turnkey-indicative figure (Company 3, the E-23-373 basis, which included $4.6 million of civil and installation) to a $12.1 million supply-only fixed price. Over the same period the project estimate rose from $43.9 million to $57.2 million. The two movements are consistent: the battery got cheaper and the project got more real. The December 2023 conceptual did not price Station 496 protection, carried Article 80 siting at $252,500, assumed an April 2027 in-service date, and was built from indicative bidder pricing that had not yet been tested against a specification. Rev 3 carries a contracted battery, a Siemens budgetary price for the breaker skids, a siting scope defined with subject-matter experts, a December 2028 in-service date with twenty additional months of escalation and AFUDC, and a risk register sized against a landfill.</w:t>
      </w:r>
    </w:p>
    <w:p>
      <w:pPr>
        <w:spacing w:after="120"/>
      </w:pPr>
      <w:r>
        <w:rPr>
          <w:b w:val="0"/>
          <w:i w:val="0"/>
        </w:rPr>
        <w:t>The in-service date moved five times: Q3 2025 at the 2021 IFR, April 2027 in December 2023, September 2027 at the February 2024 SSF, August 2028 at Partial Funding Rev 2, and December 2028 at Rev 3 after a four-month re-bid to secure a technically qualified battery vendor. Each slip added AFUDC and escalation; AFUDC alone rose from $3.3 million in E-23-373 to $5.0 million in Rev 3.</w:t>
      </w:r>
    </w:p>
    <w:p>
      <w:pPr>
        <w:spacing w:after="120"/>
      </w:pPr>
      <w:r>
        <w:rPr>
          <w:b w:val="0"/>
          <w:i w:val="0"/>
        </w:rPr>
        <w:t>The $43.9 million placeholder deserves a specific comment because it survived unchanged through three partial-funding PAFs, the last approved on 25 June 2026, and was still the 'estimated Full Funding request' in that document. The estimate that replaced it was requested in August 2026 and moved through four revisions in five weeks: $47.2 million on 26 August with the battery carried at roughly $6 million from the 2023 sheet; $51.9 million on 1 September; $63.6 million on 10 September when the battery line was reset to the cover agreement and escalated, and $1.5 million of 'relays for batteries' was carried over from a 2023 bidder that had priced its own switchgear; and $57.2 million on 24 September when P&amp;C Engineering confirmed the relays were already inside the $300,000 Siemens skid price, the station service transformer count was cut from three to one, and engineering was re-based to actuals plus $501,000 to go. That walk is documented in the estimate revision files and the project email record of 12 August to 23 September 2026.</w:t>
      </w:r>
    </w:p>
    <w:p>
      <w:pPr>
        <w:pStyle w:val="Heading2"/>
      </w:pPr>
      <w:r>
        <w:t>7.2 The industry</w:t>
      </w:r>
    </w:p>
    <w:p>
      <w:pPr>
        <w:spacing w:after="120"/>
      </w:pPr>
      <w:r>
        <w:rPr>
          <w:b w:val="0"/>
          <w:i w:val="0"/>
        </w:rPr>
        <w:t>Published equipment prices fell through most of this window and installed costs did not follow them down at the same rate. BloombergNEF's pack survey rose for the first time in 2022 to $151 per kWh on the lithium carbonate spike, then fell to $139 in 2023, $115 in 2024 and $108 in 2025, with stationary storage packs reaching $70 per kWh. Its turnkey system survey fell from $263 per kWh globally in 2023 to $117 in 2025, but the United States figure was $219 in 2025 and $236 in 2024, held up by tariffs and a domestic supply chain that is still being built. Installed-cost benchmarks moved less: EIA's capacity-weighted construction cost for batteries installed in 2023 was $1,361 per kW, LBNL's empirical all-in figure for 2024 hybrids was $458 per kWh, and NREL's bottom-up 2024 base was $334 per kWh for a four-hour system. The 2025 tariff cycle (Anza measured a 56 to 68 percent jump in delivered US system prices between January and May 2025, partly unwound by year end), the increase of the Section 301 rate on Chinese non-EV batteries to 25 percent on 1 January 2026, and the non-PFE content requirement now in force all push a 2027 procurement toward the upper end of the equipment range. The trade press's own conclusion in April 2026 was that cells are now 25 to 45 percent of BESS capital cost; the rest is balance of system, interconnection and execution. That is the same conclusion this paper reaches for Hyde Park by a different route.</w:t>
      </w:r>
    </w:p>
    <w:p>
      <w:pPr>
        <w:spacing w:after="120"/>
      </w:pPr>
      <w:r>
        <w:rPr>
          <w:b w:val="0"/>
          <w:i w:val="0"/>
        </w:rPr>
        <w:t>Two challenges raised on the deck belong here. The first asks whether there is an installed-cost curve for batteries and where Hyde Park sits on it. There is: EIA's reported all-in cost for utility-scale batteries fell from $2,152 per kWh in 2015 to $625 in 2018; BNEF's turnkey four-hour survey fell from $324 in 2022 to $117 globally and $219 in the United States in 2025; NREL's bottom-up base is $334 in 2024 and $247 by 2035 in its mid case. Every one of those series describes a four-hour system of 60 to 150 MW in real dollars. Hyde Park is a two-hour, 10 MW system priced in nominal 2026 to 2028 dollars. NREL's cost structure puts a two-hour system at 1.3 to 1.5 times the four-hour $/kWh, and the size elasticity estimated in the statistical memo (-0.14 to -0.17 depending on the sample) adds a factor of about 1.4 to 1.5 at 20 MWh against a 240 MWh reference. The adjusted United States turnkey figure is $440 to $505 per kWh; Nomad's equipment price is $532. The installed battery, $833, carries $183 per kWh of owner-scope installation, integration and balance of plant that a turnkey index buys inside a developer's EPC contract. The curve, with sources, is slide 10 of the deck and the Cost Curve tab of the workbook.</w:t>
      </w:r>
    </w:p>
    <w:p>
      <w:pPr>
        <w:spacing w:after="120"/>
      </w:pPr>
      <w:r>
        <w:rPr>
          <w:b w:val="0"/>
          <w:i w:val="0"/>
        </w:rPr>
        <w:t>The second challenge asks that escalation be included. It is: the Rev 3 approval level carries $2,948,100 of escalation inside the directs ($2,622,100 at Station 360 and $326,100 at Station 496), applied at the ESF template rates of about 3 percent a year to a spend curve of $13.5 million in 2026, $12.5 million in 2027 and $26.1 million in 2028. That is 5.1 percent of the approval level and $147 per kWh. The contestable part is the $1,130,255 applied to the Nomad balance that the contract fixes until Final Acceptance; the rest sits on station, site, protection, testing and owner scope, where a 3 percent rate is, if anything, light against the 2026 lithium carbonate and tariff moves. For comparison purposes the two sides must share a dollar year. Stripping the station escalation from the direct boundaries gives $593 for the battery as carried, roughly $756 installed and $1,352 for the station complete; bringing the benchmarks forward instead at 3 percent a year gives $376 for NREL's 2024 base in 2028 dollars, which becomes $750 to $870 after the two-hour and 10 MW adjustments, against Hyde Park's $833 installed. The battery, once the dollar year, the duration and the size agree, is on the index. The project is not, for the reasons in sections 3 and 6.</w:t>
      </w:r>
    </w:p>
    <w:p>
      <w:pPr>
        <w:pStyle w:val="Heading1"/>
      </w:pPr>
      <w:r>
        <w:t>8. Recommendations</w:t>
      </w:r>
    </w:p>
    <w:p>
      <w:pPr>
        <w:pStyle w:val="ListBullet"/>
        <w:spacing w:after="60"/>
      </w:pPr>
      <w:r>
        <w:rPr>
          <w:b/>
        </w:rPr>
        <w:t xml:space="preserve">Present every Eversource BESS cost in layers. </w:t>
      </w:r>
      <w:r>
        <w:t>Battery contract, battery installation and balance of plant, station and interconnection, site, owner scope, loaders. State the $/kWh at the contract boundary and at the approval-level boundary together, never one without the other. The companion workbook does this for Hyde Park and the structure transfers to the next project.</w:t>
      </w:r>
    </w:p>
    <w:p>
      <w:pPr>
        <w:pStyle w:val="ListBullet"/>
        <w:spacing w:after="60"/>
      </w:pPr>
      <w:r>
        <w:rPr>
          <w:b/>
        </w:rPr>
        <w:t xml:space="preserve">Attach five attributes to any benchmark before it is quoted. </w:t>
      </w:r>
      <w:r>
        <w:t>Boundary, duration, size, dollar year and scope. Pull the NREL ATB 2025 two-hour values, the Lazard v11 capital cost input table and the PNNL 10 MW rows directly from the primary PDFs before this analysis is used externally; the research environment for this paper could not.</w:t>
      </w:r>
    </w:p>
    <w:p>
      <w:pPr>
        <w:pStyle w:val="ListBullet"/>
        <w:spacing w:after="60"/>
      </w:pPr>
      <w:r>
        <w:rPr>
          <w:b/>
        </w:rPr>
        <w:t xml:space="preserve">Close the reconciliations before full funding. </w:t>
      </w:r>
      <w:r>
        <w:t>Haugland's Class 3 base of $19.2 million for its scope against Rev 3 layers B, D and E at $8.3 million direct; the four written design-basis confirmations worth $1.47 million; the geotechnical investigation and NFPA 855 hazard mitigation analysis that gate a further $1.0 million of deducts and $3.5 million of exposure; and the D-Line re-base. These are listed with owners in the Basis of Estimate.</w:t>
      </w:r>
    </w:p>
    <w:p>
      <w:pPr>
        <w:pStyle w:val="ListBullet"/>
        <w:spacing w:after="60"/>
      </w:pPr>
      <w:r>
        <w:rPr>
          <w:b/>
        </w:rPr>
        <w:t xml:space="preserve">Decide the escalation treatment on the fixed-price battery balance. </w:t>
      </w:r>
      <w:r>
        <w:t>$1.13 million is carried against a price that Exhibit C fixes until Final Acceptance. Either remove it or move it to the risk register with a stated rationale; do not leave it as a silent add to a contracted number.</w:t>
      </w:r>
    </w:p>
    <w:p>
      <w:pPr>
        <w:pStyle w:val="ListBullet"/>
        <w:spacing w:after="60"/>
      </w:pPr>
      <w:r>
        <w:rPr>
          <w:b/>
        </w:rPr>
        <w:t xml:space="preserve">Retire the $43.9 million placeholder in the PAF narrative </w:t>
      </w:r>
      <w:r>
        <w:t>and present the full-funding request at its real maturity. Until the geotechnical report, the hazard mitigation analysis and the Haugland reconciliation close, that is Class 4, minus 25 to plus 50 percent; the layered view should be its first exhibit and the range should be stated in dollars, $43 million to $86 million, not in percentages.</w:t>
      </w:r>
    </w:p>
    <w:p>
      <w:pPr>
        <w:pStyle w:val="ListBullet"/>
        <w:spacing w:after="60"/>
      </w:pPr>
      <w:r>
        <w:rPr>
          <w:b/>
        </w:rPr>
        <w:t xml:space="preserve">Plan against the combination case, not the base case. </w:t>
      </w:r>
      <w:r>
        <w:t>The two shocks most likely to travel together are the Haugland reconciliation moving the construction base up and one missed siting season. On the package's own figures that is roughly $13 million and twelve months. History on comparable small utility batteries (Fairhaven +64%, Waena +37%, Regina +31%, Provincetown +9% to +40% from approved to actual) says the 17.9% reserve is not generous.</w:t>
      </w:r>
    </w:p>
    <w:p>
      <w:pPr>
        <w:pStyle w:val="Heading1"/>
      </w:pPr>
      <w:r>
        <w:t>Appendix A. Source documents</w:t>
      </w:r>
    </w:p>
    <w:p>
      <w:pPr>
        <w:pStyle w:val="ListBullet"/>
        <w:spacing w:after="60"/>
      </w:pPr>
      <w:r>
        <w:t>ESF - Hyde Park BESS Total Rev 3.xlsm, 24 Sep 2026 (Item, Summary, Overview, PAF, Risk tabs); Rev 0, 1, 2 and the Sta 360 / Sta 496 sub-estimates.</w:t>
      </w:r>
    </w:p>
    <w:p>
      <w:pPr>
        <w:pStyle w:val="ListBullet"/>
        <w:spacing w:after="60"/>
      </w:pPr>
      <w:r>
        <w:t>Nomad Transportable Power Systems, Cover Agreement (Contract CW2339031) dated 10 Mar 2026, Exhibit C Pricing Schedule and Attachment C-2 Payment Milestone Schedule; Hyde Park BESS Furnish and Field Assembly Supervision Pricing (SOV) dated 8 Dec 2025.</w:t>
      </w:r>
    </w:p>
    <w:p>
      <w:pPr>
        <w:pStyle w:val="ListBullet"/>
        <w:spacing w:after="60"/>
      </w:pPr>
      <w:r>
        <w:t>BESS Indicative Pricing, five bidders, Site One / Two / Three, 28 Jul 2023.</w:t>
      </w:r>
    </w:p>
    <w:p>
      <w:pPr>
        <w:pStyle w:val="ListBullet"/>
        <w:spacing w:after="60"/>
      </w:pPr>
      <w:r>
        <w:t>Estimate E-23-373, Battery Storage - Hyde Park, rev 00, 8 Dec 2023 (Cover, PAF Summary, Additional Est Input).</w:t>
      </w:r>
    </w:p>
    <w:p>
      <w:pPr>
        <w:pStyle w:val="ListBullet"/>
        <w:spacing w:after="60"/>
      </w:pPr>
      <w:r>
        <w:t>Solution Selection Form, 21334 / 24211, approved SDC 15 Feb 2024; Partial Funding PAF Rev 1 (Jan 2024), Rev 2 (Jan 2026), Rev 3 (approved EPAC 25 Jun 2026).</w:t>
      </w:r>
    </w:p>
    <w:p>
      <w:pPr>
        <w:pStyle w:val="ListBullet"/>
        <w:spacing w:after="60"/>
      </w:pPr>
      <w:r>
        <w:t>Substation Constructability Review Form, 4-6 Aug 2026; Haugland Energy Group Attachment 4-E Constructability Notes Log, Preliminary Rev 2, Sep 2026.</w:t>
      </w:r>
    </w:p>
    <w:p>
      <w:pPr>
        <w:pStyle w:val="ListBullet"/>
        <w:spacing w:after="60"/>
      </w:pPr>
      <w:r>
        <w:t>Project email record, 12 Aug to 23 Sep 2026 (Fitzgerald, Herman, Roche, Niderno, Franco, Sojan, Cruz, Kelley).</w:t>
      </w:r>
    </w:p>
    <w:p>
      <w:pPr>
        <w:pStyle w:val="ListBullet"/>
        <w:spacing w:after="60"/>
      </w:pPr>
      <w:r>
        <w:t>21334_80089926 Actuals into WBS, actuals to 23 Sep 2026 ($5,222,045).</w:t>
      </w:r>
    </w:p>
    <w:p>
      <w:pPr>
        <w:pStyle w:val="ListBullet"/>
        <w:spacing w:after="60"/>
      </w:pPr>
      <w:r>
        <w:t>Published benchmarks: see the Benchmarks tab of the companion workbook for the eighteen sources with URLs and confidence tags.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Eversource Energy | Cost Estimating Center of Excellence | The Battery Is Not the Project | 29 Sep 2026 | Internal, contains vendor-confidential pricing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eastAsia="Georgia"/>
      <w:b/>
      <w:bCs/>
      <w:color w:val="001E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eastAsia="Georgia"/>
      <w:b/>
      <w:bCs/>
      <w:color w:val="001E6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eastAsia="Georgia"/>
      <w:b/>
      <w:bCs/>
      <w:color w:val="001E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