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during construction (removed from E-23-373 scope by the project team, 12 Aug 2026),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With a contracted battery, a Siemens budgetary price and 30% preliminary engineering in hand, the full-funding estimate should be presented as Planning grade (-25% / +25%) once the reconciliations above are closed.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