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thirteen utility-owned projects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$1,114/kWh with an 80 percent prediction interval of $652 to $1,903/kWh. Hyde Park's station-complete direct cost of $1,483/kWh sits at the 75% percentile of that interval and at the 77% percentile of the reference class; its installed battery at $833/kWh sits at the 24% and 38%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Forty-seven projects with a disclosed cost, capacity and energy were compiled (forty-four on 29 September 2026 and three New York City Industrial Development Agency filings on 2 October 2026)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29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Kingsbery Community Solar + Storage</w:t>
            </w:r>
          </w:p>
        </w:tc>
        <w:tc>
          <w:tcPr>
            <w:tcW w:type="dxa" w:w="720"/>
          </w:tcPr>
          <w:p>
            <w:pPr>
              <w:spacing w:after="0" w:before="0"/>
            </w:pPr>
            <w:r/>
            <w:r>
              <w:rPr>
                <w:b w:val="0"/>
                <w:i w:val="0"/>
                <w:sz w:val="15"/>
              </w:rPr>
              <w:t>TX</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$3.0M</w:t>
            </w:r>
          </w:p>
        </w:tc>
        <w:tc>
          <w:tcPr>
            <w:tcW w:type="dxa" w:w="864"/>
          </w:tcPr>
          <w:p>
            <w:pPr>
              <w:spacing w:after="0" w:before="0"/>
              <w:jc w:val="right"/>
            </w:pPr>
            <w:r/>
            <w:r>
              <w:rPr>
                <w:b w:val="0"/>
                <w:i w:val="0"/>
                <w:sz w:val="15"/>
              </w:rPr>
              <w:t>$1,000</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Stafford Hill Solar + Storage (Rutland)</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2015</w:t>
            </w:r>
          </w:p>
        </w:tc>
        <w:tc>
          <w:tcPr>
            <w:tcW w:type="dxa" w:w="1008"/>
            <w:shd w:val="clear" w:color="auto" w:fill="F2F4F8"/>
          </w:tcPr>
          <w:p>
            <w:pPr>
              <w:spacing w:after="0" w:before="0"/>
              <w:jc w:val="right"/>
            </w:pPr>
            <w:r/>
            <w:r>
              <w:rPr>
                <w:b w:val="0"/>
                <w:i w:val="0"/>
                <w:sz w:val="15"/>
              </w:rPr>
              <w:t>$4.2M</w:t>
            </w:r>
          </w:p>
        </w:tc>
        <w:tc>
          <w:tcPr>
            <w:tcW w:type="dxa" w:w="864"/>
            <w:shd w:val="clear" w:color="auto" w:fill="F2F4F8"/>
          </w:tcPr>
          <w:p>
            <w:pPr>
              <w:spacing w:after="0" w:before="0"/>
              <w:jc w:val="right"/>
            </w:pPr>
            <w:r/>
            <w:r>
              <w:rPr>
                <w:b w:val="0"/>
                <w:i w:val="0"/>
                <w:sz w:val="15"/>
              </w:rPr>
              <w:t>$1,235</w:t>
            </w:r>
          </w:p>
        </w:tc>
        <w:tc>
          <w:tcPr>
            <w:tcW w:type="dxa" w:w="1944"/>
            <w:shd w:val="clear" w:color="auto" w:fill="F2F4F8"/>
          </w:tcPr>
          <w:p>
            <w:pPr>
              <w:spacing w:after="0" w:before="0"/>
            </w:pPr>
            <w:r/>
            <w:r>
              <w:rPr>
                <w:b w:val="0"/>
                <w:i w:val="0"/>
                <w:sz w:val="15"/>
              </w:rPr>
              <w:t>final/actual (storage component)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Sterling MLD Chocksett Road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$2.7M</w:t>
            </w:r>
          </w:p>
        </w:tc>
        <w:tc>
          <w:tcPr>
            <w:tcW w:type="dxa" w:w="864"/>
          </w:tcPr>
          <w:p>
            <w:pPr>
              <w:spacing w:after="0" w:before="0"/>
              <w:jc w:val="right"/>
            </w:pPr>
            <w:r/>
            <w:r>
              <w:rPr>
                <w:b w:val="0"/>
                <w:i w:val="0"/>
                <w:sz w:val="15"/>
              </w:rPr>
              <w:t>$692</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Fairhaven BESS</w:t>
            </w:r>
          </w:p>
        </w:tc>
        <w:tc>
          <w:tcPr>
            <w:tcW w:type="dxa" w:w="720"/>
            <w:shd w:val="clear" w:color="auto" w:fill="F2F4F8"/>
          </w:tcPr>
          <w:p>
            <w:pPr>
              <w:spacing w:after="0" w:before="0"/>
            </w:pPr>
            <w:r/>
            <w:r>
              <w:rPr>
                <w:b w:val="0"/>
                <w:i w:val="0"/>
                <w:sz w:val="15"/>
              </w:rPr>
              <w:t>MD</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$16.2M</w:t>
            </w:r>
          </w:p>
        </w:tc>
        <w:tc>
          <w:tcPr>
            <w:tcW w:type="dxa" w:w="864"/>
            <w:shd w:val="clear" w:color="auto" w:fill="F2F4F8"/>
          </w:tcPr>
          <w:p>
            <w:pPr>
              <w:spacing w:after="0" w:before="0"/>
              <w:jc w:val="right"/>
            </w:pPr>
            <w:r/>
            <w:r>
              <w:rPr>
                <w:b w:val="0"/>
                <w:i w:val="0"/>
                <w:sz w:val="15"/>
              </w:rPr>
              <w:t>$1,659</w:t>
            </w:r>
          </w:p>
        </w:tc>
        <w:tc>
          <w:tcPr>
            <w:tcW w:type="dxa" w:w="1944"/>
            <w:shd w:val="clear" w:color="auto" w:fill="F2F4F8"/>
          </w:tcPr>
          <w:p>
            <w:pPr>
              <w:spacing w:after="0" w:before="0"/>
            </w:pPr>
            <w:r/>
            <w:r>
              <w:rPr>
                <w:b w:val="0"/>
                <w:i w:val="0"/>
                <w:sz w:val="15"/>
              </w:rPr>
              <w:t>final/actual (reported to MD PSC)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Pomona (Ladentown)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$7.4M</w:t>
            </w:r>
          </w:p>
        </w:tc>
        <w:tc>
          <w:tcPr>
            <w:tcW w:type="dxa" w:w="864"/>
          </w:tcPr>
          <w:p>
            <w:pPr>
              <w:spacing w:after="0" w:before="0"/>
              <w:jc w:val="right"/>
            </w:pPr>
            <w:r/>
            <w:r>
              <w:rPr>
                <w:b w:val="0"/>
                <w:i w:val="0"/>
                <w:sz w:val="15"/>
              </w:rPr>
              <w:t>$617</w:t>
            </w:r>
          </w:p>
        </w:tc>
        <w:tc>
          <w:tcPr>
            <w:tcW w:type="dxa" w:w="1944"/>
          </w:tcPr>
          <w:p>
            <w:pPr>
              <w:spacing w:after="0" w:before="0"/>
            </w:pPr>
            <w:r/>
            <w:r>
              <w:rPr>
                <w:b w:val="0"/>
                <w:i w:val="0"/>
                <w:sz w:val="15"/>
              </w:rPr>
              <w:t>final/actual (utility press releas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Ozone Park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(utility spokesman: 'abou</w:t>
            </w:r>
          </w:p>
        </w:tc>
        <w:tc>
          <w:tcPr>
            <w:tcW w:type="dxa" w:w="936"/>
            <w:shd w:val="clear" w:color="auto" w:fill="F2F4F8"/>
          </w:tcPr>
          <w:p>
            <w:pPr>
              <w:spacing w:after="0" w:before="0"/>
            </w:pPr>
            <w:r/>
            <w:r>
              <w:rPr>
                <w:b w:val="0"/>
                <w:i w:val="0"/>
                <w:sz w:val="15"/>
              </w:rPr>
              <w:t>Low</w:t>
            </w:r>
          </w:p>
        </w:tc>
      </w:tr>
      <w:tr>
        <w:tc>
          <w:tcPr>
            <w:tcW w:type="dxa" w:w="2880"/>
          </w:tcPr>
          <w:p>
            <w:pPr>
              <w:spacing w:after="0" w:before="0"/>
            </w:pPr>
            <w:r/>
            <w:r>
              <w:rPr>
                <w:b w:val="0"/>
                <w:i w:val="0"/>
                <w:sz w:val="15"/>
              </w:rPr>
              <w:t>Martha's Vineyard BESS Phase 1 (cancelled)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$750</w:t>
            </w:r>
          </w:p>
        </w:tc>
        <w:tc>
          <w:tcPr>
            <w:tcW w:type="dxa" w:w="1944"/>
          </w:tcPr>
          <w:p>
            <w:pPr>
              <w:spacing w:after="0" w:before="0"/>
            </w:pPr>
            <w:r/>
            <w:r>
              <w:rPr>
                <w:b w:val="0"/>
                <w:i w:val="0"/>
                <w:sz w:val="15"/>
              </w:rPr>
              <w:t>estimate (DPU 18-155 filing)</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Northern New York (Chateaugay)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$29.8M</w:t>
            </w:r>
          </w:p>
        </w:tc>
        <w:tc>
          <w:tcPr>
            <w:tcW w:type="dxa" w:w="864"/>
            <w:shd w:val="clear" w:color="auto" w:fill="F2F4F8"/>
          </w:tcPr>
          <w:p>
            <w:pPr>
              <w:spacing w:after="0" w:before="0"/>
              <w:jc w:val="right"/>
            </w:pPr>
            <w:r/>
            <w:r>
              <w:rPr>
                <w:b w:val="0"/>
                <w:i w:val="0"/>
                <w:sz w:val="15"/>
              </w:rPr>
              <w:t>$1,490</w:t>
            </w:r>
          </w:p>
        </w:tc>
        <w:tc>
          <w:tcPr>
            <w:tcW w:type="dxa" w:w="1944"/>
            <w:shd w:val="clear" w:color="auto" w:fill="F2F4F8"/>
          </w:tcPr>
          <w:p>
            <w:pPr>
              <w:spacing w:after="0" w:before="0"/>
            </w:pPr>
            <w:r/>
            <w:r>
              <w:rPr>
                <w:b w:val="0"/>
                <w:i w:val="0"/>
                <w:sz w:val="15"/>
              </w:rPr>
              <w:t>approved budget (NYPA Trustees)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Harding Street BESS</w:t>
            </w:r>
          </w:p>
        </w:tc>
        <w:tc>
          <w:tcPr>
            <w:tcW w:type="dxa" w:w="720"/>
          </w:tcPr>
          <w:p>
            <w:pPr>
              <w:spacing w:after="0" w:before="0"/>
            </w:pPr>
            <w:r/>
            <w:r>
              <w:rPr>
                <w:b w:val="0"/>
                <w:i w:val="0"/>
                <w:sz w:val="15"/>
              </w:rPr>
              <w:t>IN</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at announcement (2015)</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Outer Cape (Provincetown)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38</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$49.0M</w:t>
            </w:r>
          </w:p>
        </w:tc>
        <w:tc>
          <w:tcPr>
            <w:tcW w:type="dxa" w:w="864"/>
            <w:shd w:val="clear" w:color="auto" w:fill="F2F4F8"/>
          </w:tcPr>
          <w:p>
            <w:pPr>
              <w:spacing w:after="0" w:before="0"/>
              <w:jc w:val="right"/>
            </w:pPr>
            <w:r/>
            <w:r>
              <w:rPr>
                <w:b w:val="0"/>
                <w:i w:val="0"/>
                <w:sz w:val="15"/>
              </w:rPr>
              <w:t>$1,289</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Arthur Kill Road BESS (Staten Island</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$43.4M</w:t>
            </w:r>
          </w:p>
        </w:tc>
        <w:tc>
          <w:tcPr>
            <w:tcW w:type="dxa" w:w="864"/>
          </w:tcPr>
          <w:p>
            <w:pPr>
              <w:spacing w:after="0" w:before="0"/>
              <w:jc w:val="right"/>
            </w:pPr>
            <w:r/>
            <w:r>
              <w:rPr>
                <w:b w:val="0"/>
                <w:i w:val="0"/>
                <w:sz w:val="15"/>
              </w:rPr>
              <w:t>$1,110</w:t>
            </w:r>
          </w:p>
        </w:tc>
        <w:tc>
          <w:tcPr>
            <w:tcW w:type="dxa" w:w="1944"/>
          </w:tcPr>
          <w:p>
            <w:pPr>
              <w:spacing w:after="0" w:before="0"/>
            </w:pPr>
            <w:r/>
            <w:r>
              <w:rPr>
                <w:b w:val="0"/>
                <w:i w:val="0"/>
                <w:sz w:val="15"/>
              </w:rPr>
              <w:t xml:space="preserve">NYCIDA project budget (inducement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Elevate Renewables Victory Blvd BESS (Staten</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15</w:t>
            </w:r>
          </w:p>
        </w:tc>
        <w:tc>
          <w:tcPr>
            <w:tcW w:type="dxa" w:w="648"/>
            <w:shd w:val="clear" w:color="auto" w:fill="F2F4F8"/>
          </w:tcPr>
          <w:p>
            <w:pPr>
              <w:spacing w:after="0" w:before="0"/>
              <w:jc w:val="right"/>
            </w:pPr>
            <w:r/>
            <w:r>
              <w:rPr>
                <w:b w:val="0"/>
                <w:i w:val="0"/>
                <w:sz w:val="15"/>
              </w:rPr>
              <w:t>60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$31.6M</w:t>
            </w:r>
          </w:p>
        </w:tc>
        <w:tc>
          <w:tcPr>
            <w:tcW w:type="dxa" w:w="864"/>
            <w:shd w:val="clear" w:color="auto" w:fill="F2F4F8"/>
          </w:tcPr>
          <w:p>
            <w:pPr>
              <w:spacing w:after="0" w:before="0"/>
              <w:jc w:val="right"/>
            </w:pPr>
            <w:r/>
            <w:r>
              <w:rPr>
                <w:b w:val="0"/>
                <w:i w:val="0"/>
                <w:sz w:val="15"/>
              </w:rPr>
              <w:t>$524</w:t>
            </w:r>
          </w:p>
        </w:tc>
        <w:tc>
          <w:tcPr>
            <w:tcW w:type="dxa" w:w="1944"/>
            <w:shd w:val="clear" w:color="auto" w:fill="F2F4F8"/>
          </w:tcPr>
          <w:p>
            <w:pPr>
              <w:spacing w:after="0" w:before="0"/>
            </w:pPr>
            <w:r/>
            <w:r>
              <w:rPr>
                <w:b w:val="0"/>
                <w:i w:val="0"/>
                <w:sz w:val="15"/>
              </w:rPr>
              <w:t xml:space="preserve">NYCIDA total project cost (public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Martha's Vineyard BESS Phase 2 (cancelled)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$28.0M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(DPU 18-155 filing)</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Waena BESS (Maui)</w:t>
            </w:r>
          </w:p>
        </w:tc>
        <w:tc>
          <w:tcPr>
            <w:tcW w:type="dxa" w:w="720"/>
          </w:tcPr>
          <w:p>
            <w:pPr>
              <w:spacing w:after="0" w:before="0"/>
            </w:pPr>
            <w:r/>
            <w:r>
              <w:rPr>
                <w:b w:val="0"/>
                <w:i w:val="0"/>
                <w:sz w:val="15"/>
              </w:rPr>
              <w:t>HI</w:t>
            </w:r>
          </w:p>
        </w:tc>
        <w:tc>
          <w:tcPr>
            <w:tcW w:type="dxa" w:w="576"/>
          </w:tcPr>
          <w:p>
            <w:pPr>
              <w:spacing w:after="0" w:before="0"/>
              <w:jc w:val="right"/>
            </w:pPr>
            <w:r/>
            <w:r>
              <w:rPr>
                <w:b w:val="0"/>
                <w:i w:val="0"/>
                <w:sz w:val="15"/>
              </w:rPr>
              <w:t>40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$82.1M</w:t>
            </w:r>
          </w:p>
        </w:tc>
        <w:tc>
          <w:tcPr>
            <w:tcW w:type="dxa" w:w="864"/>
          </w:tcPr>
          <w:p>
            <w:pPr>
              <w:spacing w:after="0" w:before="0"/>
              <w:jc w:val="right"/>
            </w:pPr>
            <w:r/>
            <w:r>
              <w:rPr>
                <w:b w:val="0"/>
                <w:i w:val="0"/>
                <w:sz w:val="15"/>
              </w:rPr>
              <w:t>$513</w:t>
            </w:r>
          </w:p>
        </w:tc>
        <w:tc>
          <w:tcPr>
            <w:tcW w:type="dxa" w:w="1944"/>
          </w:tcPr>
          <w:p>
            <w:pPr>
              <w:spacing w:after="0" w:before="0"/>
            </w:pPr>
            <w:r/>
            <w:r>
              <w:rPr>
                <w:b w:val="0"/>
                <w:i w:val="0"/>
                <w:sz w:val="15"/>
              </w:rPr>
              <w:t>approved budget/estimate (HPUC Dec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Kwinana BESS Stage 1 [AUSTRALIA]</w:t>
            </w:r>
          </w:p>
        </w:tc>
        <w:tc>
          <w:tcPr>
            <w:tcW w:type="dxa" w:w="720"/>
            <w:shd w:val="clear" w:color="auto" w:fill="F2F4F8"/>
          </w:tcPr>
          <w:p>
            <w:pPr>
              <w:spacing w:after="0" w:before="0"/>
            </w:pPr>
            <w:r/>
            <w:r>
              <w:rPr>
                <w:b w:val="0"/>
                <w:i w:val="0"/>
                <w:sz w:val="15"/>
              </w:rPr>
              <w:t>WA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$103.5M</w:t>
            </w:r>
          </w:p>
        </w:tc>
        <w:tc>
          <w:tcPr>
            <w:tcW w:type="dxa" w:w="864"/>
            <w:shd w:val="clear" w:color="auto" w:fill="F2F4F8"/>
          </w:tcPr>
          <w:p>
            <w:pPr>
              <w:spacing w:after="0" w:before="0"/>
              <w:jc w:val="right"/>
            </w:pPr>
            <w:r/>
            <w:r>
              <w:rPr>
                <w:b w:val="0"/>
                <w:i w:val="0"/>
                <w:sz w:val="15"/>
              </w:rPr>
              <w:t>$518</w:t>
            </w:r>
          </w:p>
        </w:tc>
        <w:tc>
          <w:tcPr>
            <w:tcW w:type="dxa" w:w="1944"/>
            <w:shd w:val="clear" w:color="auto" w:fill="F2F4F8"/>
          </w:tcPr>
          <w:p>
            <w:pPr>
              <w:spacing w:after="0" w:before="0"/>
            </w:pPr>
            <w:r/>
            <w:r>
              <w:rPr>
                <w:b w:val="0"/>
                <w:i w:val="0"/>
                <w:sz w:val="15"/>
              </w:rPr>
              <w:t>final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Seaside BESS</w:t>
            </w:r>
          </w:p>
        </w:tc>
        <w:tc>
          <w:tcPr>
            <w:tcW w:type="dxa" w:w="720"/>
            <w:shd w:val="clear" w:color="auto" w:fill="F2F4F8"/>
          </w:tcPr>
          <w:p>
            <w:pPr>
              <w:spacing w:after="0" w:before="0"/>
            </w:pPr>
            <w:r/>
            <w:r>
              <w:rPr>
                <w:b w:val="0"/>
                <w:i w:val="0"/>
                <w:sz w:val="15"/>
              </w:rPr>
              <w:t>OR</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$360.0M</w:t>
            </w:r>
          </w:p>
        </w:tc>
        <w:tc>
          <w:tcPr>
            <w:tcW w:type="dxa" w:w="864"/>
            <w:shd w:val="clear" w:color="auto" w:fill="F2F4F8"/>
          </w:tcPr>
          <w:p>
            <w:pPr>
              <w:spacing w:after="0" w:before="0"/>
              <w:jc w:val="right"/>
            </w:pPr>
            <w:r/>
            <w:r>
              <w:rPr>
                <w:b w:val="0"/>
                <w:i w:val="0"/>
                <w:sz w:val="15"/>
              </w:rPr>
              <w:t>$450</w:t>
            </w:r>
          </w:p>
        </w:tc>
        <w:tc>
          <w:tcPr>
            <w:tcW w:type="dxa" w:w="1944"/>
            <w:shd w:val="clear" w:color="auto" w:fill="F2F4F8"/>
          </w:tcPr>
          <w:p>
            <w:pPr>
              <w:spacing w:after="0" w:before="0"/>
            </w:pPr>
            <w:r/>
            <w:r>
              <w:rPr>
                <w:b w:val="0"/>
                <w:i w:val="0"/>
                <w:sz w:val="15"/>
              </w:rPr>
              <w:t>contract price (fixed-cost build-t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Roadrunner Reserve (Phase 1)</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$294.0M</w:t>
            </w:r>
          </w:p>
        </w:tc>
        <w:tc>
          <w:tcPr>
            <w:tcW w:type="dxa" w:w="864"/>
          </w:tcPr>
          <w:p>
            <w:pPr>
              <w:spacing w:after="0" w:before="0"/>
              <w:jc w:val="right"/>
            </w:pPr>
            <w:r/>
            <w:r>
              <w:rPr>
                <w:b w:val="0"/>
                <w:i w:val="0"/>
                <w:sz w:val="15"/>
              </w:rPr>
              <w:t>$368</w:t>
            </w:r>
          </w:p>
        </w:tc>
        <w:tc>
          <w:tcPr>
            <w:tcW w:type="dxa" w:w="1944"/>
          </w:tcPr>
          <w:p>
            <w:pPr>
              <w:spacing w:after="0" w:before="0"/>
            </w:pPr>
            <w:r/>
            <w:r>
              <w:rPr>
                <w:b w:val="0"/>
                <w:i w:val="0"/>
                <w:sz w:val="15"/>
              </w:rPr>
              <w:t>estimate at announcement (2023)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2 (Phase 2)</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$350.0M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(utility statement)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Energy Center BESS</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approved estimate (MPSC, 2024)</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utility-owned projects at or below 100 MWh</w:t>
      </w:r>
    </w:p>
    <w:p>
      <w:pPr>
        <w:spacing w:after="120"/>
      </w:pPr>
      <w:r>
        <w:rPr>
          <w:b w:val="0"/>
          <w:i w:val="0"/>
        </w:rPr>
        <w:t>Thirteen projects meet the class definition. The median is $1,235/kWh, the interquartile range $750 to $1,289/kWh, and the full range $438 (Martha's Vineyard Phase 2, a 2019 estimate for a 6.5-hour system that was never built) to $2,775 (Dalrymple, a 30 MW / 8 MWh grid-support unit in South Australia). Hyde Park's installed battery at $833/kWh ranks at the 38% percentile, its station-complete direct cost at $1,483/kWh at the 77% percentile, and its approval level at $2,862/kWh above the maximum. Three members of the class are the most instructive comparables because they are recent, IOU-owned, substation-sited and cost-disclosed to a regulator: BGE Fairhaven (2.5 MW / 9.7 MWh, 2023, $1,659/kWh actual against $1,010/kWh estimated), NYPA Chateaugay (20 MW / 20 MWh, 2023, $1,490/kWh approved), and Eversource Provincetown (25 MW / 38 MWh, 2022, $1,289/kWh final, with microgrid controls and fiber bundled). Hyde Park's direct cost sits among those three; what lifts it above them is the loader stack and the two interconnection scopes.</w:t>
      </w:r>
    </w:p>
    <w:p>
      <w:r>
        <w:drawing>
          <wp:inline xmlns:a="http://schemas.openxmlformats.org/drawingml/2006/main" xmlns:pic="http://schemas.openxmlformats.org/drawingml/2006/picture">
            <wp:extent cx="5943600" cy="2033337"/>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2033337"/>
                    </a:xfrm>
                    <a:prstGeom prst="rect"/>
                  </pic:spPr>
                </pic:pic>
              </a:graphicData>
            </a:graphic>
          </wp:inline>
        </w:drawing>
      </w:r>
    </w:p>
    <w:p>
      <w:pPr>
        <w:pStyle w:val="Heading2"/>
      </w:pPr>
      <w:r>
        <w:t>3.1 Dollar-year adjustment (added 2 October 2026)</w:t>
      </w:r>
    </w:p>
    <w:p>
      <w:pPr>
        <w:spacing w:after="120"/>
      </w:pPr>
      <w:r>
        <w:rPr>
          <w:b w:val="0"/>
          <w:i w:val="0"/>
        </w:rPr>
        <w:t>The reference class above is in nominal dollars of the year each cost was reported, and nine of its thirteen members entered service between 2015 and 2019. A reviewer asked whether that understates the gap, given that battery prices were several times higher in 2018. The answer depends on which price is meant. BloombergNEF's pack survey is 1.6 times its 2018 level and 3.4 times its 2015 level;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the battery share of its cost (40 percent, with 30 and 50 percent as sensitivities) deflated along a battery index, and the remainder (station, civil, labor, interconnection, overheads) escalated at 3.5 percent a year as a proxy for an ENR-class construction index. Under the installed all-in index the median moves from $1,235 to $1,187 per kWh; under the pack index to $1,225; under BNEF's turnkey series (available from 2022 only) to $1,074; under the LCOS midpoint to $1,466; and with construction escalation alone to $1,480. Every member moves between 0.95 and 1.09 times its nominal value at the installed index. Hyde Park's station-complete direct cost ($1,483) stays at the 77th percentile under the first three indices and falls to the 54th under LCOS; the approval level ($2,862) stays at or above the top under all five. Deflating a comparable's whole cost at the battery rate, which is the arithmetic behind the challenge, gives a median of $575 and treats a 2019 project's switchgear, civil works and interconnection as if they were lithium cells.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The three NYCIDA-costed projects were added to the regression dataset and the model re-run (n = 29): the size elasticity is unchanged at -0.17 and its p-value falls from 0.012 to 0.001; the duration elasticity is -0.29; the year term stays insignificant; R-squared falls from 0.65 to 0.63 as three near-identical-size projects with a 2.1x cost spread enter; the prediction for 20 MWh, two hours, 2028 moves from $1,116 to $1,114 per kWh and the 80 percent interval narrows from $611 to $2,037 to $652 to $1,903. Hyde Park's station-complete direct cost sits at the 75th percentile of the predictive distribution (73rd before). The financing floor and the NYSERDA program averages are not project costs and were not added.</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29 projects: R-squared 0.63 (adjusted 0.58); size elasticity -0.17 (p = 0.001), so a tenfold increase in MWh lowers $/kWh by about 33 percent; duration elasticity -0.29 (p = 0.012), so doubling duration lowers $/kWh by about 18 percent, close to the 38 percent that Modo Energy's September 2026 survey reports for two-hour versus four-hour systems; and a year effect that is not distinguishable from zero (p = 0.62), which is what one expects when falling pack prices and rising installation, interconnection and tariff costs offset over the period. Adding ownership and Northeast dummies changes nothing of substance (R-squared 0.64, both p above 0.5), so the parsimonious model is used. The residual standard deviation of 0.35 in log terms means that a project of given size and duration lands within a factor of about 1.42 of the fitted value two times in three.</w:t>
      </w:r>
    </w:p>
    <w:p>
      <w:pPr>
        <w:spacing w:after="120"/>
      </w:pPr>
      <w:r>
        <w:rPr>
          <w:b w:val="0"/>
          <w:i w:val="0"/>
        </w:rPr>
        <w:t>For a 20 MWh, two-hour project in 2028 the fitted value is $1,114/kWh and the 80 percent prediction interval is $652 to $1,903/kWh. Hyde Park's boundaries fall at the following percentiles of that predictive distribution: vendor contract 7%, installed battery 24%, station complete direct 75%, approval level 99%.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Thirteen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(44 rows) and bess_projects_notes.md, compiled 29 Sep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