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 benchmark section revised 2 and 5 Oct 2026; escalator check and savings register added 3 Oct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spacing w:after="120"/>
      </w:pPr>
      <w:r>
        <w:rPr>
          <w:b w:val="0"/>
          <w:i w:val="0"/>
        </w:rPr>
        <w:t>Reference class (companion statistical memo, 2 October 2026; restricted to built projects 5 October 2026, 27 unbuilt rows excluded). Against 35 built public projects at or below 100 MWh with an all-in disclosed cost (25 utility-owned, 10 developer-owned; median $750/kWh, interquartile $556 to $1,275), the installed battery (boundary 3, $833/kWh) ranks at the 57% percentile, the station-complete direct cost (boundary 4, $1,483/kWh) at the 77% percentile (68% within the 25 utility-owned members, median $1,235), and the approval level above every member. A log-log regression on 53 public projects (size elasticity -0.18, duration elasticity -0.34, year not significant) predicts $968/kWh for a 20 MWh, two-hour project in 2028 with an 80 percent prediction interval of $571 to $1,640; boundary 4 sits at the 85% percentile of that distribution. Re-based to 2026 dollars (battery share back-cast to the project's own year and deflated on a published index, remainder on the Handy-Whitman utility construction index) the class median is $686 to $743 and the boundary 4 percentile 63% to 83%. Confidence: Medium; the public figures are search-excerpt retrievals with per-row confidence tags and the developer-owned members are gross of incentives.</w:t>
      </w:r>
    </w:p>
    <w:p>
      <w:pPr>
        <w:spacing w:after="120"/>
      </w:pPr>
      <w:r>
        <w:rPr>
          <w:b w:val="0"/>
          <w:i w:val="0"/>
        </w:rPr>
        <w:t>Escalator check (3 October 2026; memo section 3.4, whitepaper 5.3). Re-basing the comparables with one published index per cost layer instead of one construction index (IBEW Local 103 rate for labor-driven layers, BLS PPI for transformers and for switchgear, ENR CCI for civil, PPI engineering services for owner soft costs) leaves the class median at $744/kWh and Hyde Park's station-direct percentile at 77%, the same as the two-component model. A 2018 project with this project's physical scope costs 1.04x in 2026 dollars and a 2016 one 0.68x (quantities held fixed; the review challenge of 5 Oct 2026 that older batteries were far dearer is reflected); the non-battery series rose 1.25x to 1.91x since 2018 while the installed battery index fell to 0.73x. (Confidence: High for the BLS series, pulled from the FRED and BLS APIs; Medium for ENR and IBEW from published tables.)</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spacing w:after="120"/>
      </w:pPr>
      <w:r>
        <w:rPr>
          <w:b w:val="0"/>
          <w:i w:val="0"/>
        </w:rPr>
        <w:t>Template rate against the published series (3 October 2026). The ESF template escalates at about 3 percent a year. Over 2023 to 2026 the series that fit this estimate's layers ran: BLS PPI power and distribution transformers 3.2% a year, PPI switchgear and switchboard 8.5%, IBEW Local 103 journeyman base 4.1%, ENR Construction Cost Index 1.9%, PPI engineering services 2.4%. The template rate is right for labor, civil and engineering and light for switchgear: the breaker package in layer D is the line to re-quote rather than escalate (savings register B5). The GSU line, priced from a July 2023 bidder list plus 3 percent a year, has tracked the transformer index over that span; the exposure there is lead time (29 to 70 weeks reported for three-phase pad-mounts in 2026) rather than price. (Confidence: High for the series; the comparison is a check on the template, not a change to the estimate.)</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spacing w:after="120"/>
      </w:pPr>
      <w:r>
        <w:rPr>
          <w:b w:val="0"/>
          <w:i w:val="0"/>
        </w:rPr>
        <w:t>Overlap with escalation (savings register A2, 3 October 2026). Two register lines describe escalation rather than risk: 'labor costs impact: salaries increase yearly' ($800,000 Sta 360, $220,000 Sta 496) and 'material costs impact' ($1,000,000 and $300,000), while the directs already carry $2,948,100 of escalation at the template rate. Re-worded as a labor-shortage risk and a tariff allowance sized on the $3.69 million of non-battery material, the two lines fall by $1.3 to 1.8M. The reduction is not booked here; it is a decision for the lead review.</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spacing w:after="120"/>
      </w:pPr>
      <w:r>
        <w:rPr>
          <w:b w:val="0"/>
          <w:i w:val="0"/>
        </w:rPr>
        <w:t>Open question (savings register A4): the E&amp;S station basis rows total $4.8M at 16.1% of Station 360 directs and are applied to the vendor-furnished, vendor-commissioned battery contract as to any other material; on the battery line alone that is $2.1M. Whether the basis should load a turnkey vendor contract is a policy question for Accounting, not an estimating judgment; the estimate follows the template until answered.</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spacing w:after="120"/>
      </w:pPr>
      <w:r>
        <w:rPr>
          <w:b w:val="0"/>
          <w:i w:val="0"/>
        </w:rPr>
        <w:t>Payment timing (savings register C3): the Nomad Attachment C-2 milestones put most of the battery price into CWIP ahead of the January 2028 delivery; each $10 million carried twelve months earlier accrues about $0.75 million of AFUDC at the template rate. Aligning the milestone schedule to delivery is worth $0.3 to 0.7M; every month of siting slip costs about $0.4 million across AFUDC, escalation, PM and indirects.</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unit rate. </w:t>
      </w:r>
      <w:r>
        <w:t>$362,700 per relay at approval level, with $1.81M of testing and $1.39M of construction labor on a 20-relay swap. Compare to two recent EMA feeder relay-replacement actuals before full funding; if the rate reflects transfer-trip and outage-window complexity, write that basis down.</w:t>
      </w:r>
    </w:p>
    <w:p>
      <w:pPr>
        <w:pStyle w:val="ListBullet"/>
        <w:spacing w:after="60"/>
      </w:pPr>
      <w:r>
        <w:rPr>
          <w:b/>
        </w:rPr>
        <w:t xml:space="preserve">E&amp;S overhead basis on the vendor contract. </w:t>
      </w:r>
      <w:r>
        <w:t>Ruling from Accounting on whether the station E&amp;S basis applies to a vendor-furnished, vendor-commissioned contract (savings register A4, $1.0 to 2.1M).</w:t>
      </w:r>
    </w:p>
    <w:p>
      <w:pPr>
        <w:pStyle w:val="ListBullet"/>
        <w:spacing w:after="60"/>
      </w:pPr>
      <w:r>
        <w:rPr>
          <w:b/>
        </w:rPr>
        <w:t xml:space="preserve">Commissioning split. </w:t>
      </w:r>
      <w:r>
        <w:t>Write the Nomad-versus-owner commissioning scope into the test plan; the field-test and LCE hours are carried from E-23-373 and overlap the $210,000 of support and $246,000 of vendor labor in the contract (A5).</w:t>
      </w:r>
    </w:p>
    <w:p>
      <w:pPr>
        <w:pStyle w:val="ListBullet"/>
        <w:spacing w:after="60"/>
      </w:pPr>
      <w:r>
        <w:rPr>
          <w:b/>
        </w:rPr>
        <w:t xml:space="preserve">Interconnection topology. </w:t>
      </w:r>
      <w:r>
        <w:t>System Planning hosting-capacity study: can two 13.8 kV feeders take 5 MW each? Five feeder cabinets, four GSUs, four breakers and four metering sets scale with the number of connections (B2). If the answer is no, the item is zero.</w:t>
      </w:r>
    </w:p>
    <w:p>
      <w:pPr>
        <w:pStyle w:val="ListBullet"/>
        <w:spacing w:after="60"/>
      </w:pPr>
      <w:r>
        <w:rPr>
          <w:b/>
        </w:rPr>
        <w:t xml:space="preserve">Lines the Siemens skids already carry. </w:t>
      </w:r>
      <w:r>
        <w:t>Siemens' 12 Aug 2026 budgetary ($300K per skid, +/-30%) includes the disconnects, PTs, relays, cabinets and DC battery; Rev 3 also carries eight disconnect switches and the PT cutouts as station lines ($259K, 1,040 mh). Strike them once the skid scope is confirmed in writing (savings register B5).</w:t>
      </w:r>
    </w:p>
    <w:p>
      <w:pPr>
        <w:pStyle w:val="ListBullet"/>
        <w:spacing w:after="60"/>
      </w:pPr>
      <w:r>
        <w:rPr>
          <w:b/>
        </w:rPr>
        <w:t xml:space="preserve">GSU count and installation hours. </w:t>
      </w:r>
      <w:r>
        <w:t>Rev 3 carries four 3 MVA pad-mounts at 524 man-hours each to set; the project manager's 9 Sep 2026 email refers to twelve GSUs and Haugland priced the larger count. Settle the topology in writing; the install hours are a reduction (B6), the count is an exposure of $0.6M to $1.0M.</w:t>
      </w:r>
    </w:p>
    <w:p>
      <w:pPr>
        <w:pStyle w:val="ListBullet"/>
        <w:spacing w:after="60"/>
      </w:pPr>
      <w:r>
        <w:rPr>
          <w:b/>
        </w:rPr>
        <w:t xml:space="preserve">Sound mitigation, screening, police details, NFPA 855. </w:t>
      </w:r>
      <w:r>
        <w:t>E-23-373 carried $467K of sound mitigation; Rev 3 carries none and the risk register does not list it. The constructability review expects visual screening and a possible facade; the estimate carries $12K of traffic control for Boston public-way work and no hazard mitigation analysis line. Price or register them ($0.6M to $1.2M direct exposure).</w:t>
      </w:r>
    </w:p>
    <w:p>
      <w:pPr>
        <w:pStyle w:val="ListBullet"/>
        <w:spacing w:after="60"/>
      </w:pPr>
      <w:r>
        <w:rPr>
          <w:b/>
        </w:rPr>
        <w:t xml:space="preserve">Switchyard lighting. </w:t>
      </w:r>
      <w:r>
        <w:t>$313K for twelve HPS luminaires and 1,200 ft of hookup at about $200 a foot on an unmanned one-acre pad; design to the security need (B7).</w:t>
      </w:r>
    </w:p>
    <w:p>
      <w:pPr>
        <w:pStyle w:val="ListBullet"/>
        <w:spacing w:after="60"/>
      </w:pPr>
      <w:r>
        <w:rPr>
          <w:b/>
        </w:rPr>
        <w:t xml:space="preserve">Nomad payment milestones and AFUDC. </w:t>
      </w:r>
      <w:r>
        <w:t>Align Attachment C-2 to the January 2028 delivery where the contract allows (C3).</w:t>
      </w:r>
    </w:p>
    <w:p>
      <w:pPr>
        <w:pStyle w:val="ListBullet"/>
        <w:spacing w:after="60"/>
      </w:pPr>
      <w:r>
        <w:rPr>
          <w:b/>
        </w:rPr>
        <w:t xml:space="preserve">Section 48E investment tax credit. </w:t>
      </w:r>
      <w:r>
        <w:t>Not in the estimate and not an estimate matter, but the largest single lever on what customers pay: $8.4 to 12.4M at 30 percent on a $28.1M to $41.2M eligible basis, plus $2.8 to 4.1M if the landfill qualifies as a brownfield energy community. Tax to opine on eligible basis, the prohibited-foreign-entity cost ratio (65 percent for a 2028 construction start under Notice 2026-15) on the Voyager cells, the section 50(d)(2) normalization election and DPU treatment. Ask Nomad for cell and module origin before the final-drawings milestone.</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p>
      <w:pPr>
        <w:pStyle w:val="Heading1"/>
      </w:pPr>
      <w:r>
        <w:t>23. Scope challenge and cost containment (5 Oct 2026)</w:t>
      </w:r>
    </w:p>
    <w:p>
      <w:pPr>
        <w:spacing w:after="120"/>
      </w:pPr>
      <w:r>
        <w:rPr>
          <w:b w:val="0"/>
          <w:i w:val="0"/>
        </w:rPr>
        <w:t>At leadership's request the Rev 3 scope was challenged layer by layer against what the function requires (companion deck slides 30 to 33; whitepaper section 8.1). Reductions that survive the challenge total $6.7 to 10.3M direct ($8.5 to 12.9M loaded); exposures the estimate does not carry total $1.2 to 2.2M direct. Three numbers follow: Rev 3 as estimated $57.2M; contained by decisions alone $50.7 to 52.6M; re-scoped after every study closes $42.4 to 47.3M; and the honest planning range once the exposures and the Haugland reconciliation are added back, $48.1 to 58.5M. The containment plan sets a station-direct design-to-cost target at the reference-class 75th percentile and a loaded target of $50M at the IFC gate, with a change control board, monthly trend reporting and competitive lump-sum pricing of the station, civil and installation scope before construction pricing.</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E. Site and civil</w:t>
            </w:r>
          </w:p>
        </w:tc>
        <w:tc>
          <w:tcPr>
            <w:tcW w:type="dxa" w:w="2736"/>
            <w:shd w:val="clear" w:color="auto" w:fill="F2F4F8"/>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shd w:val="clear" w:color="auto" w:fill="F2F4F8"/>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shd w:val="clear" w:color="auto" w:fill="F2F4F8"/>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shd w:val="clear" w:color="auto" w:fill="F2F4F8"/>
          </w:tcPr>
          <w:p>
            <w:pPr>
              <w:spacing w:after="0" w:before="0"/>
            </w:pPr>
            <w:r/>
            <w:r>
              <w:rPr>
                <w:b w:val="0"/>
                <w:i w:val="0"/>
                <w:sz w:val="15"/>
              </w:rPr>
              <w:t>$0.3 to 0.8M</w:t>
            </w:r>
          </w:p>
        </w:tc>
      </w:tr>
      <w:tr>
        <w:tc>
          <w:tcPr>
            <w:tcW w:type="dxa" w:w="1296"/>
          </w:tcPr>
          <w:p>
            <w:pPr>
              <w:spacing w:after="0" w:before="0"/>
            </w:pPr>
            <w:r/>
            <w:r>
              <w:rPr>
                <w:b w:val="0"/>
                <w:i w:val="0"/>
                <w:sz w:val="15"/>
              </w:rPr>
              <w:t>E. Site (exposures)</w:t>
            </w:r>
          </w:p>
        </w:tc>
        <w:tc>
          <w:tcPr>
            <w:tcW w:type="dxa" w:w="2736"/>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tcPr>
          <w:p>
            <w:pPr>
              <w:spacing w:after="0" w:before="0"/>
            </w:pPr>
            <w:r/>
            <w:r>
              <w:rPr>
                <w:b w:val="0"/>
                <w:i w:val="0"/>
                <w:sz w:val="15"/>
              </w:rPr>
              <w:t>exposure $0.6 to 1.2M</w:t>
            </w:r>
          </w:p>
        </w:tc>
      </w:tr>
      <w:tr>
        <w:tc>
          <w:tcPr>
            <w:tcW w:type="dxa" w:w="1296"/>
            <w:shd w:val="clear" w:color="auto" w:fill="F2F4F8"/>
          </w:tcPr>
          <w:p>
            <w:pPr>
              <w:spacing w:after="0" w:before="0"/>
            </w:pPr>
            <w:r/>
            <w:r>
              <w:rPr>
                <w:b w:val="0"/>
                <w:i w:val="0"/>
                <w:sz w:val="15"/>
              </w:rPr>
              <w:t>F. Station 496 feeder protection</w:t>
            </w:r>
          </w:p>
        </w:tc>
        <w:tc>
          <w:tcPr>
            <w:tcW w:type="dxa" w:w="2736"/>
            <w:shd w:val="clear" w:color="auto" w:fill="F2F4F8"/>
          </w:tcPr>
          <w:p>
            <w:pPr>
              <w:spacing w:after="0" w:before="0"/>
            </w:pPr>
            <w:r/>
            <w:r>
              <w:rPr>
                <w:b w:val="0"/>
                <w:i w:val="0"/>
                <w:sz w:val="15"/>
              </w:rPr>
              <w:t>20 relays: hardware $91K; install 6,400 mh $1.23M; test 7,800 mh $1.81M; E&amp;S basis $1.46M; siting application $157K; AFUDC, contingency, risk</w:t>
            </w:r>
          </w:p>
        </w:tc>
        <w:tc>
          <w:tcPr>
            <w:tcW w:type="dxa" w:w="2160"/>
            <w:shd w:val="clear" w:color="auto" w:fill="F2F4F8"/>
          </w:tcPr>
          <w:p>
            <w:pPr>
              <w:spacing w:after="0" w:before="0"/>
            </w:pPr>
            <w:r/>
            <w:r>
              <w:rPr>
                <w:b w:val="0"/>
                <w:i w:val="0"/>
                <w:sz w:val="15"/>
              </w:rPr>
              <w:t>Directional protection on the four feeders that will see reverse flow, and coordination at the source station. Whether all 20 relays, the four SEL-735 meters and a siting application are needed for relay work inside an existing fence is the question.</w:t>
            </w:r>
          </w:p>
        </w:tc>
        <w:tc>
          <w:tcPr>
            <w:tcW w:type="dxa" w:w="3024"/>
            <w:shd w:val="clear" w:color="auto" w:fill="F2F4F8"/>
          </w:tcPr>
          <w:p>
            <w:pPr>
              <w:spacing w:after="0" w:before="0"/>
            </w:pPr>
            <w:r/>
            <w:r>
              <w:rPr>
                <w:b w:val="0"/>
                <w:i w:val="0"/>
                <w:sz w:val="15"/>
              </w:rPr>
              <w:t>$363K and 710 man-hours per relay. Benchmark against two recent EMA relay-replacement actuals; confirm the SEL-735 are protection; confirm what the $157K siting line is for; price the outage windows explicitly instead of inside the hours.</w:t>
            </w:r>
          </w:p>
        </w:tc>
        <w:tc>
          <w:tcPr>
            <w:tcW w:type="dxa" w:w="1152"/>
            <w:shd w:val="clear" w:color="auto" w:fill="F2F4F8"/>
          </w:tcPr>
          <w:p>
            <w:pPr>
              <w:spacing w:after="0" w:before="0"/>
            </w:pPr>
            <w:r/>
            <w:r>
              <w:rPr>
                <w:b w:val="0"/>
                <w:i w:val="0"/>
                <w:sz w:val="15"/>
              </w:rPr>
              <w:t>$1.2 to 1.7M</w:t>
            </w:r>
          </w:p>
        </w:tc>
      </w:tr>
      <w:tr>
        <w:tc>
          <w:tcPr>
            <w:tcW w:type="dxa" w:w="1296"/>
          </w:tcPr>
          <w:p>
            <w:pPr>
              <w:spacing w:after="0" w:before="0"/>
            </w:pPr>
            <w:r/>
            <w:r>
              <w:rPr>
                <w:b w:val="0"/>
                <w:i w:val="0"/>
                <w:sz w:val="15"/>
              </w:rPr>
              <w:t>G. Testing and commissioning</w:t>
            </w:r>
          </w:p>
        </w:tc>
        <w:tc>
          <w:tcPr>
            <w:tcW w:type="dxa" w:w="2736"/>
          </w:tcPr>
          <w:p>
            <w:pPr>
              <w:spacing w:after="0" w:before="0"/>
            </w:pPr>
            <w:r/>
            <w:r>
              <w:rPr>
                <w:b w:val="0"/>
                <w:i w:val="0"/>
                <w:sz w:val="15"/>
              </w:rPr>
              <w:t>Field test 3,200 mh, LCE 1,600 mh, SCADA 1,650 mh, telecom 120 mh: $1.26M, hours carried from E-23-373</w:t>
            </w:r>
          </w:p>
        </w:tc>
        <w:tc>
          <w:tcPr>
            <w:tcW w:type="dxa" w:w="2160"/>
          </w:tcPr>
          <w:p>
            <w:pPr>
              <w:spacing w:after="0" w:before="0"/>
            </w:pPr>
            <w:r/>
            <w:r>
              <w:rPr>
                <w:b w:val="0"/>
                <w:i w:val="0"/>
                <w:sz w:val="15"/>
              </w:rPr>
              <w:t>Owner witness and acceptance testing; Nomad commissions its units (contract: $210K support, $246K vendor labor)</w:t>
            </w:r>
          </w:p>
        </w:tc>
        <w:tc>
          <w:tcPr>
            <w:tcW w:type="dxa" w:w="3024"/>
          </w:tcPr>
          <w:p>
            <w:pPr>
              <w:spacing w:after="0" w:before="0"/>
            </w:pPr>
            <w:r/>
            <w:r>
              <w:rPr>
                <w:b w:val="0"/>
                <w:i w:val="0"/>
                <w:sz w:val="15"/>
              </w:rPr>
              <w:t>Write the split into the test plan; the owner's hours were set in 2023 before the vendor's scope existed</w:t>
            </w:r>
          </w:p>
        </w:tc>
        <w:tc>
          <w:tcPr>
            <w:tcW w:type="dxa" w:w="1152"/>
          </w:tcPr>
          <w:p>
            <w:pPr>
              <w:spacing w:after="0" w:before="0"/>
            </w:pPr>
            <w:r/>
            <w:r>
              <w:rPr>
                <w:b w:val="0"/>
                <w:i w:val="0"/>
                <w:sz w:val="15"/>
              </w:rPr>
              <w:t>$0.1 to 0.3M</w:t>
            </w:r>
          </w:p>
        </w:tc>
      </w:tr>
      <w:tr>
        <w:tc>
          <w:tcPr>
            <w:tcW w:type="dxa" w:w="1296"/>
            <w:shd w:val="clear" w:color="auto" w:fill="F2F4F8"/>
          </w:tcPr>
          <w:p>
            <w:pPr>
              <w:spacing w:after="0" w:before="0"/>
            </w:pPr>
            <w:r/>
            <w:r>
              <w:rPr>
                <w:b w:val="0"/>
                <w:i w:val="0"/>
                <w:sz w:val="15"/>
              </w:rPr>
              <w:t>H. Owner soft costs</w:t>
            </w:r>
          </w:p>
        </w:tc>
        <w:tc>
          <w:tcPr>
            <w:tcW w:type="dxa" w:w="2736"/>
            <w:shd w:val="clear" w:color="auto" w:fill="F2F4F8"/>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shd w:val="clear" w:color="auto" w:fill="F2F4F8"/>
          </w:tcPr>
          <w:p>
            <w:pPr>
              <w:spacing w:after="0" w:before="0"/>
            </w:pPr>
            <w:r/>
            <w:r>
              <w:rPr>
                <w:b w:val="0"/>
                <w:i w:val="0"/>
                <w:sz w:val="15"/>
              </w:rPr>
              <w:t>Article 80 Small Project Review and a ZBA conditional use permit; a PM and a CM for the construction window; 30%-to-IFC engineering</w:t>
            </w:r>
          </w:p>
        </w:tc>
        <w:tc>
          <w:tcPr>
            <w:tcW w:type="dxa" w:w="3024"/>
            <w:shd w:val="clear" w:color="auto" w:fill="F2F4F8"/>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shd w:val="clear" w:color="auto" w:fill="F2F4F8"/>
          </w:tcPr>
          <w:p>
            <w:pPr>
              <w:spacing w:after="0" w:before="0"/>
            </w:pPr>
            <w:r/>
            <w:r>
              <w:rPr>
                <w:b w:val="0"/>
                <w:i w:val="0"/>
                <w:sz w:val="15"/>
              </w:rPr>
              <w:t>$0.2 to 0.4M</w:t>
            </w:r>
          </w:p>
        </w:tc>
      </w:tr>
      <w:tr>
        <w:tc>
          <w:tcPr>
            <w:tcW w:type="dxa" w:w="1296"/>
          </w:tcPr>
          <w:p>
            <w:pPr>
              <w:spacing w:after="0" w:before="0"/>
            </w:pPr>
            <w:r/>
            <w:r>
              <w:rPr>
                <w:b w:val="0"/>
                <w:i w:val="0"/>
                <w:sz w:val="15"/>
              </w:rPr>
              <w:t>J. Risk register</w:t>
            </w:r>
          </w:p>
        </w:tc>
        <w:tc>
          <w:tcPr>
            <w:tcW w:type="dxa" w:w="2736"/>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tcPr>
          <w:p>
            <w:pPr>
              <w:spacing w:after="0" w:before="0"/>
            </w:pPr>
            <w:r/>
            <w:r>
              <w:rPr>
                <w:b w:val="0"/>
                <w:i w:val="0"/>
                <w:sz w:val="15"/>
              </w:rPr>
              <w:t>Risks that the directs and contingency do not already fund</w:t>
            </w:r>
          </w:p>
        </w:tc>
        <w:tc>
          <w:tcPr>
            <w:tcW w:type="dxa" w:w="3024"/>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tcPr>
          <w:p>
            <w:pPr>
              <w:spacing w:after="0" w:before="0"/>
            </w:pPr>
            <w:r/>
            <w:r>
              <w:rPr>
                <w:b w:val="0"/>
                <w:i w:val="0"/>
                <w:sz w:val="15"/>
              </w:rPr>
              <w:t>$1.3 to 1.8M</w:t>
            </w:r>
          </w:p>
        </w:tc>
      </w:tr>
      <w:tr>
        <w:tc>
          <w:tcPr>
            <w:tcW w:type="dxa" w:w="1296"/>
            <w:shd w:val="clear" w:color="auto" w:fill="F2F4F8"/>
          </w:tcPr>
          <w:p>
            <w:pPr>
              <w:spacing w:after="0" w:before="0"/>
            </w:pPr>
            <w:r/>
            <w:r>
              <w:rPr>
                <w:b w:val="0"/>
                <w:i w:val="0"/>
                <w:sz w:val="15"/>
              </w:rPr>
              <w:t>L. Indirects</w:t>
            </w:r>
          </w:p>
        </w:tc>
        <w:tc>
          <w:tcPr>
            <w:tcW w:type="dxa" w:w="2736"/>
            <w:shd w:val="clear" w:color="auto" w:fill="F2F4F8"/>
          </w:tcPr>
          <w:p>
            <w:pPr>
              <w:spacing w:after="0" w:before="0"/>
            </w:pPr>
            <w:r/>
            <w:r>
              <w:rPr>
                <w:b w:val="0"/>
                <w:i w:val="0"/>
                <w:sz w:val="15"/>
              </w:rPr>
              <w:t>$8.06M: E&amp;S station basis $4.79M (16% of directs, applied to the vendor contract), general services, MDEC, vehicles, non-productive, AS&amp;E, payroll</w:t>
            </w:r>
          </w:p>
        </w:tc>
        <w:tc>
          <w:tcPr>
            <w:tcW w:type="dxa" w:w="2160"/>
            <w:shd w:val="clear" w:color="auto" w:fill="F2F4F8"/>
          </w:tcPr>
          <w:p>
            <w:pPr>
              <w:spacing w:after="0" w:before="0"/>
            </w:pPr>
            <w:r/>
            <w:r>
              <w:rPr>
                <w:b w:val="0"/>
                <w:i w:val="0"/>
                <w:sz w:val="15"/>
              </w:rPr>
              <w:t>Template basis rates</w:t>
            </w:r>
          </w:p>
        </w:tc>
        <w:tc>
          <w:tcPr>
            <w:tcW w:type="dxa" w:w="3024"/>
            <w:shd w:val="clear" w:color="auto" w:fill="F2F4F8"/>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shd w:val="clear" w:color="auto" w:fill="F2F4F8"/>
          </w:tcPr>
          <w:p>
            <w:pPr>
              <w:spacing w:after="0" w:before="0"/>
            </w:pPr>
            <w:r/>
            <w:r>
              <w:rPr>
                <w:b w:val="0"/>
                <w:i w:val="0"/>
                <w:sz w:val="15"/>
              </w:rPr>
              <w:t>$1.0 to 2.1M</w:t>
            </w:r>
          </w:p>
        </w:tc>
      </w:tr>
      <w:tr>
        <w:tc>
          <w:tcPr>
            <w:tcW w:type="dxa" w:w="1296"/>
          </w:tcPr>
          <w:p>
            <w:pPr>
              <w:spacing w:after="0" w:before="0"/>
            </w:pPr>
            <w:r/>
            <w:r>
              <w:rPr>
                <w:b w:val="0"/>
                <w:i w:val="0"/>
                <w:sz w:val="15"/>
              </w:rPr>
              <w:t>M. AFUDC</w:t>
            </w:r>
          </w:p>
        </w:tc>
        <w:tc>
          <w:tcPr>
            <w:tcW w:type="dxa" w:w="2736"/>
          </w:tcPr>
          <w:p>
            <w:pPr>
              <w:spacing w:after="0" w:before="0"/>
            </w:pPr>
            <w:r/>
            <w:r>
              <w:rPr>
                <w:b w:val="0"/>
                <w:i w:val="0"/>
                <w:sz w:val="15"/>
              </w:rPr>
              <w:t>$5.0M over a seven-year development window</w:t>
            </w:r>
          </w:p>
        </w:tc>
        <w:tc>
          <w:tcPr>
            <w:tcW w:type="dxa" w:w="2160"/>
          </w:tcPr>
          <w:p>
            <w:pPr>
              <w:spacing w:after="0" w:before="0"/>
            </w:pPr>
            <w:r/>
            <w:r>
              <w:rPr>
                <w:b w:val="0"/>
                <w:i w:val="0"/>
                <w:sz w:val="15"/>
              </w:rPr>
              <w:t>Capitalized carrying cost on CWIP</w:t>
            </w:r>
          </w:p>
        </w:tc>
        <w:tc>
          <w:tcPr>
            <w:tcW w:type="dxa" w:w="3024"/>
          </w:tcPr>
          <w:p>
            <w:pPr>
              <w:spacing w:after="0" w:before="0"/>
            </w:pPr>
            <w:r/>
            <w:r>
              <w:rPr>
                <w:b w:val="0"/>
                <w:i w:val="0"/>
                <w:sz w:val="15"/>
              </w:rPr>
              <w:t>Pay the battery at delivery, not a year ahead (C3); protect the siting float; every month costs about $0.4M all-in</w:t>
            </w:r>
          </w:p>
        </w:tc>
        <w:tc>
          <w:tcPr>
            <w:tcW w:type="dxa" w:w="1152"/>
          </w:tcPr>
          <w:p>
            <w:pPr>
              <w:spacing w:after="0" w:before="0"/>
            </w:pPr>
            <w:r/>
            <w:r>
              <w:rPr>
                <w:b w:val="0"/>
                <w:i w:val="0"/>
                <w:sz w:val="15"/>
              </w:rPr>
              <w:t>$0.3 to 0.7M</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revised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