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4"/>
        </w:rPr>
        <w:t>Can the Hyde Park number be defended statistically?</w:t>
      </w:r>
    </w:p>
    <w:p>
      <w:pPr>
        <w:spacing w:after="40"/>
      </w:pPr>
      <w:r>
        <w:rPr>
          <w:b w:val="0"/>
          <w:i w:val="0"/>
          <w:color w:val="6E1F2E"/>
          <w:sz w:val="26"/>
        </w:rPr>
        <w:t>Reference-class comparison, regression on public project costs, and Monte Carlo on the estimate's own cost layers</w:t>
      </w:r>
    </w:p>
    <w:p>
      <w:pPr>
        <w:spacing w:after="200"/>
      </w:pPr>
      <w:r>
        <w:rPr>
          <w:b w:val="0"/>
          <w:i w:val="0"/>
          <w:color w:val="595959"/>
          <w:sz w:val="20"/>
        </w:rPr>
        <w:t>Methods memo, Cost Estimating Center of Excellence, Eversource Energy, 29 September 2026. Companion to the Hyde Park BESS cost analysis deck, Basis of Estimate and whitepaper. Internal; contains vendor-confidential pricing.</w:t>
      </w:r>
    </w:p>
    <w:p>
      <w:pPr>
        <w:pStyle w:val="Heading1"/>
      </w:pPr>
      <w:r>
        <w:t>Recommendation</w:t>
      </w:r>
    </w:p>
    <w:p>
      <w:pPr>
        <w:spacing w:after="120"/>
      </w:pPr>
      <w:r>
        <w:rPr>
          <w:b w:val="0"/>
          <w:i w:val="0"/>
        </w:rPr>
        <w:t>Use three methods together, in this order of weight, and do not let any one of them carry the argument alone. First, a reference class of forty-four distribution-scale projects, utility- and developer-owned, at or below 100 MWh, with Hyde Park placed inside it at each cost boundary. Second, a log-log regression on twenty-six public projects that isolates the size and duration effects and yields a prediction interval for a 20 MWh, two-hour project. Third, a Monte Carlo on the thirteen cost layers of the Rev 3 estimate, which tests whether the risk and contingency carried are consistent with the uncertainty in the elements. The reference class and the regression are statistically viable for bracketing, not for pricing: with n of 13 and 26, an unexplained spread of plus or minus 36 percent, and heterogeneous scope definitions, they answer 'is this number plausible for a project of this size and duration' and nothing finer. The Monte Carlo is the method that a regulator or an internal reviewer can interrogate line by line, because every distribution sits on a named layer with a named source. Confidence in the method: High. Confidence in the specific interval and percentile figures below: Medium, because the public data were retrieved from search-index excerpts and not from the primary filings.</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What the three methods say together. </w:t>
            </w:r>
            <w:r>
              <w:rPr>
                <w:sz w:val="20"/>
              </w:rPr>
              <w:t>A 20 MWh, two-hour project in 2028 is predicted at $968/kWh with an 80 percent prediction interval of $571 to $1,640/kWh. Hyde Park's station-complete direct cost of $1,483/kWh sits at the 85% percentile of that interval and at the 77% percentile of the reference class; its installed battery at $833/kWh sits at the 36% and 57% percentiles. The approval level of $2,862/kWh is above every project in the reference class, and the reasons are named: a separate 13.8 kV switching station, a feeder protection program at Station 496, a landfill platform, and $23.7 million of risk, contingency, indirects and AFUDC that most disclosed project costs do not carry. The Monte Carlo puts the P80 total at $53.0M on base element ranges and $55.9M on Class 5-like ranges, against a $57.2M approval level that carries $7.6M of risk and contingency; the reserve covers the element ranges as modeled and is thin against the 9 to 64 percent estimate-to-actual uplifts observed on comparable small utility projects. The element ranges assume the Haugland reconciliation does not move the construction base; the red team's expectation is that it will.</w:t>
            </w:r>
          </w:p>
        </w:tc>
      </w:tr>
    </w:tbl>
    <w:p>
      <w:pPr>
        <w:spacing w:after="40"/>
      </w:pPr>
    </w:p>
    <w:p>
      <w:pPr>
        <w:pStyle w:val="Heading1"/>
      </w:pPr>
      <w:r>
        <w:t>1. Why a statistical comparison is worth doing, and what it cannot do</w:t>
      </w:r>
    </w:p>
    <w:p>
      <w:pPr>
        <w:spacing w:after="120"/>
      </w:pPr>
      <w:r>
        <w:rPr>
          <w:b w:val="0"/>
          <w:i w:val="0"/>
        </w:rPr>
        <w:t>The vendor framing described in the whitepaper is a scope problem, not a statistics problem, and the layered extraction already answers it. A statistical comparison earns its place for a different reason. Leadership and, later, a regulator will ask whether $57 million is a reasonable number for a 10 MW battery station at all, independent of how it is layered. That question has three honest answers: what similar projects have cost (reference class), what the size and duration of this project imply given the whole population of disclosed projects (regression), and how much the estimate itself could move given what is known about each of its elements (Monte Carlo). AACE International's recommended practices treat the first two as parametric or reference approaches (42R-08) and the third as range estimating and simulation (41R-08, 57R-09, with distribution selection under 66R-11); Flyvbjerg's reference class forecasting is the same idea applied to outturn rather than estimate. None of these produces a 'right' number. Each produces a range and a position within it, and the position is what carries weight in a review.</w:t>
      </w:r>
    </w:p>
    <w:p>
      <w:pPr>
        <w:spacing w:after="120"/>
      </w:pPr>
      <w:r>
        <w:rPr>
          <w:b w:val="0"/>
          <w:i w:val="0"/>
        </w:rPr>
        <w:t>The limits are set by the data. Public project costs are disclosed inconsistently: some are contract prices without AFUDC, some are rate-base plant including it, some bundle a generator or a solar array, some are approved budgets that were later exceeded. The dataset assembled for this memo started at 44 projects and 26 survive the exclusions. That is enough to estimate two elasticities with reasonable precision and not enough to estimate regional, ownership or site effects, which is why those terms are reported but not relied on. Every figure was retrieved from search-index excerpts because the research environment could not open the primary PDFs; the sourcing notes list the ten highest-priority items to verify before any external use.</w:t>
      </w:r>
    </w:p>
    <w:p>
      <w:pPr>
        <w:pStyle w:val="Heading1"/>
      </w:pPr>
      <w:r>
        <w:t>2. The dataset</w:t>
      </w:r>
    </w:p>
    <w:p>
      <w:pPr>
        <w:spacing w:after="120"/>
      </w:pPr>
      <w:r>
        <w:rPr>
          <w:b w:val="0"/>
          <w:i w:val="0"/>
        </w:rPr>
        <w:t>One hundred and three projects with a disclosed cost, capacity and energy were compiled in three passes (forty-four on 29 September 2026; thirty-one on 2 October from NYCIDA filings, New England municipal and cooperative projects and utility-owned projects elsewhere in North America; twenty-eight on 3 October from investor-owned-utility rate cases and 10-K filings, federal and state grant awards, community and developer projects, and ARENA-, UK- and Canada-disclosed projects, with foreign currencies converted at stated rates) from regulator orders, utility releases, 10-K filings and trade press (sourcing in the companion research log). Ten were excluded for bundled or non-capital scope: Nantucket (15 MW diesel generator), Salem Smart Power Center (2013 demonstration with building and controls), Arlington and Hot Springs (microgrids with solar), Essex and SwRI (solar bundled), Leighton Buzzard (R&amp;D trials), Glenarm (a fifteen-year service contract, not capital), the Xcel Minnesota program budget, and Morro Bay (proposed, no date). Eight more lack a confirmed MWh or year and drop out of the fit. The 81 that remain span 3 to 2,150 MWh, 0.25 to 6.5 hours, 2015 to 2027, and $368 to $2,775 per kWh, nominal dollars in the year reported.</w:t>
      </w:r>
    </w:p>
    <w:tbl>
      <w:tblPr>
        <w:tblStyle w:val="TableGrid"/>
        <w:tblW w:type="auto" w:w="0"/>
        <w:jc w:val="center"/>
        <w:tblLayout w:type="fixed"/>
        <w:tblLook w:firstColumn="1" w:firstRow="1" w:lastColumn="0" w:lastRow="0" w:noHBand="0" w:noVBand="1" w:val="04A0"/>
      </w:tblPr>
      <w:tblGrid>
        <w:gridCol w:w="2880"/>
        <w:gridCol w:w="720"/>
        <w:gridCol w:w="576"/>
        <w:gridCol w:w="648"/>
        <w:gridCol w:w="648"/>
        <w:gridCol w:w="1008"/>
        <w:gridCol w:w="864"/>
        <w:gridCol w:w="1944"/>
        <w:gridCol w:w="936"/>
      </w:tblGrid>
      <w:tr>
        <w:tc>
          <w:tcPr>
            <w:tcW w:type="dxa" w:w="2880"/>
            <w:shd w:val="clear" w:color="auto" w:fill="001E60"/>
          </w:tcPr>
          <w:p>
            <w:pPr>
              <w:spacing w:after="0" w:before="0"/>
            </w:pPr>
            <w:r/>
            <w:r>
              <w:rPr>
                <w:b/>
                <w:i w:val="0"/>
                <w:color w:val="FFFFFF"/>
                <w:sz w:val="15"/>
              </w:rPr>
              <w:t>Project</w:t>
            </w:r>
          </w:p>
        </w:tc>
        <w:tc>
          <w:tcPr>
            <w:tcW w:type="dxa" w:w="720"/>
            <w:shd w:val="clear" w:color="auto" w:fill="001E60"/>
          </w:tcPr>
          <w:p>
            <w:pPr>
              <w:spacing w:after="0" w:before="0"/>
            </w:pPr>
            <w:r/>
            <w:r>
              <w:rPr>
                <w:b/>
                <w:i w:val="0"/>
                <w:color w:val="FFFFFF"/>
                <w:sz w:val="15"/>
              </w:rPr>
              <w:t>State</w:t>
            </w:r>
          </w:p>
        </w:tc>
        <w:tc>
          <w:tcPr>
            <w:tcW w:type="dxa" w:w="576"/>
            <w:shd w:val="clear" w:color="auto" w:fill="001E60"/>
          </w:tcPr>
          <w:p>
            <w:pPr>
              <w:spacing w:after="0" w:before="0"/>
            </w:pPr>
            <w:r/>
            <w:r>
              <w:rPr>
                <w:b/>
                <w:i w:val="0"/>
                <w:color w:val="FFFFFF"/>
                <w:sz w:val="15"/>
              </w:rPr>
              <w:t>MW</w:t>
            </w:r>
          </w:p>
        </w:tc>
        <w:tc>
          <w:tcPr>
            <w:tcW w:type="dxa" w:w="648"/>
            <w:shd w:val="clear" w:color="auto" w:fill="001E60"/>
          </w:tcPr>
          <w:p>
            <w:pPr>
              <w:spacing w:after="0" w:before="0"/>
            </w:pPr>
            <w:r/>
            <w:r>
              <w:rPr>
                <w:b/>
                <w:i w:val="0"/>
                <w:color w:val="FFFFFF"/>
                <w:sz w:val="15"/>
              </w:rPr>
              <w:t>MWh</w:t>
            </w:r>
          </w:p>
        </w:tc>
        <w:tc>
          <w:tcPr>
            <w:tcW w:type="dxa" w:w="648"/>
            <w:shd w:val="clear" w:color="auto" w:fill="001E60"/>
          </w:tcPr>
          <w:p>
            <w:pPr>
              <w:spacing w:after="0" w:before="0"/>
            </w:pPr>
            <w:r/>
            <w:r>
              <w:rPr>
                <w:b/>
                <w:i w:val="0"/>
                <w:color w:val="FFFFFF"/>
                <w:sz w:val="15"/>
              </w:rPr>
              <w:t>Year</w:t>
            </w:r>
          </w:p>
        </w:tc>
        <w:tc>
          <w:tcPr>
            <w:tcW w:type="dxa" w:w="1008"/>
            <w:shd w:val="clear" w:color="auto" w:fill="001E60"/>
          </w:tcPr>
          <w:p>
            <w:pPr>
              <w:spacing w:after="0" w:before="0"/>
            </w:pPr>
            <w:r/>
            <w:r>
              <w:rPr>
                <w:b/>
                <w:i w:val="0"/>
                <w:color w:val="FFFFFF"/>
                <w:sz w:val="15"/>
              </w:rPr>
              <w:t>Cost</w:t>
            </w:r>
          </w:p>
        </w:tc>
        <w:tc>
          <w:tcPr>
            <w:tcW w:type="dxa" w:w="864"/>
            <w:shd w:val="clear" w:color="auto" w:fill="001E60"/>
          </w:tcPr>
          <w:p>
            <w:pPr>
              <w:spacing w:after="0" w:before="0"/>
            </w:pPr>
            <w:r/>
            <w:r>
              <w:rPr>
                <w:b/>
                <w:i w:val="0"/>
                <w:color w:val="FFFFFF"/>
                <w:sz w:val="15"/>
              </w:rPr>
              <w:t>$/kWh</w:t>
            </w:r>
          </w:p>
        </w:tc>
        <w:tc>
          <w:tcPr>
            <w:tcW w:type="dxa" w:w="1944"/>
            <w:shd w:val="clear" w:color="auto" w:fill="001E60"/>
          </w:tcPr>
          <w:p>
            <w:pPr>
              <w:spacing w:after="0" w:before="0"/>
            </w:pPr>
            <w:r/>
            <w:r>
              <w:rPr>
                <w:b/>
                <w:i w:val="0"/>
                <w:color w:val="FFFFFF"/>
                <w:sz w:val="15"/>
              </w:rPr>
              <w:t>Basis</w:t>
            </w:r>
          </w:p>
        </w:tc>
        <w:tc>
          <w:tcPr>
            <w:tcW w:type="dxa" w:w="936"/>
            <w:shd w:val="clear" w:color="auto" w:fill="001E60"/>
          </w:tcPr>
          <w:p>
            <w:pPr>
              <w:spacing w:after="0" w:before="0"/>
            </w:pPr>
            <w:r/>
            <w:r>
              <w:rPr>
                <w:b/>
                <w:i w:val="0"/>
                <w:color w:val="FFFFFF"/>
                <w:sz w:val="15"/>
              </w:rPr>
              <w:t>Conf.</w:t>
            </w:r>
          </w:p>
        </w:tc>
      </w:tr>
      <w:tr>
        <w:tc>
          <w:tcPr>
            <w:tcW w:type="dxa" w:w="2880"/>
          </w:tcPr>
          <w:p>
            <w:pPr>
              <w:spacing w:after="0" w:before="0"/>
            </w:pPr>
            <w:r/>
            <w:r>
              <w:rPr>
                <w:b w:val="0"/>
                <w:i w:val="0"/>
                <w:sz w:val="15"/>
              </w:rPr>
              <w:t>Power Creek BESS (Cordova)</w:t>
            </w:r>
          </w:p>
        </w:tc>
        <w:tc>
          <w:tcPr>
            <w:tcW w:type="dxa" w:w="720"/>
          </w:tcPr>
          <w:p>
            <w:pPr>
              <w:spacing w:after="0" w:before="0"/>
            </w:pPr>
            <w:r/>
            <w:r>
              <w:rPr>
                <w:b w:val="0"/>
                <w:i w:val="0"/>
                <w:sz w:val="15"/>
              </w:rPr>
              <w:t>AK</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0</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$2.0M</w:t>
            </w:r>
          </w:p>
        </w:tc>
        <w:tc>
          <w:tcPr>
            <w:tcW w:type="dxa" w:w="864"/>
          </w:tcPr>
          <w:p>
            <w:pPr>
              <w:spacing w:after="0" w:before="0"/>
              <w:jc w:val="right"/>
            </w:pPr>
            <w:r/>
            <w:r>
              <w:rPr>
                <w:b w:val="0"/>
                <w:i w:val="0"/>
                <w:sz w:val="15"/>
              </w:rPr>
              <w:t>$2,174</w:t>
            </w:r>
          </w:p>
        </w:tc>
        <w:tc>
          <w:tcPr>
            <w:tcW w:type="dxa" w:w="1944"/>
          </w:tcPr>
          <w:p>
            <w:pPr>
              <w:spacing w:after="0" w:before="0"/>
            </w:pPr>
            <w:r/>
            <w:r>
              <w:rPr>
                <w:b w:val="0"/>
                <w:i w:val="0"/>
                <w:sz w:val="15"/>
              </w:rPr>
              <w:t>itemized project total (DOE EAC pr</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Kingsbery Community Solar + Storage</w:t>
            </w:r>
          </w:p>
        </w:tc>
        <w:tc>
          <w:tcPr>
            <w:tcW w:type="dxa" w:w="720"/>
            <w:shd w:val="clear" w:color="auto" w:fill="F2F4F8"/>
          </w:tcPr>
          <w:p>
            <w:pPr>
              <w:spacing w:after="0" w:before="0"/>
            </w:pPr>
            <w:r/>
            <w:r>
              <w:rPr>
                <w:b w:val="0"/>
                <w:i w:val="0"/>
                <w:sz w:val="15"/>
              </w:rPr>
              <w:t>TX</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2018</w:t>
            </w:r>
          </w:p>
        </w:tc>
        <w:tc>
          <w:tcPr>
            <w:tcW w:type="dxa" w:w="1008"/>
            <w:shd w:val="clear" w:color="auto" w:fill="F2F4F8"/>
          </w:tcPr>
          <w:p>
            <w:pPr>
              <w:spacing w:after="0" w:before="0"/>
              <w:jc w:val="right"/>
            </w:pPr>
            <w:r/>
            <w:r>
              <w:rPr>
                <w:b w:val="0"/>
                <w:i w:val="0"/>
                <w:sz w:val="15"/>
              </w:rPr>
              <w:t>$3.0M</w:t>
            </w:r>
          </w:p>
        </w:tc>
        <w:tc>
          <w:tcPr>
            <w:tcW w:type="dxa" w:w="864"/>
            <w:shd w:val="clear" w:color="auto" w:fill="F2F4F8"/>
          </w:tcPr>
          <w:p>
            <w:pPr>
              <w:spacing w:after="0" w:before="0"/>
              <w:jc w:val="right"/>
            </w:pPr>
            <w:r/>
            <w:r>
              <w:rPr>
                <w:b w:val="0"/>
                <w:i w:val="0"/>
                <w:sz w:val="15"/>
              </w:rPr>
              <w:t>$1,000</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Stafford Hill Solar + Storage (Rutland)</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3</w:t>
            </w:r>
          </w:p>
        </w:tc>
        <w:tc>
          <w:tcPr>
            <w:tcW w:type="dxa" w:w="648"/>
          </w:tcPr>
          <w:p>
            <w:pPr>
              <w:spacing w:after="0" w:before="0"/>
              <w:jc w:val="right"/>
            </w:pPr>
            <w:r/>
            <w:r>
              <w:rPr>
                <w:b w:val="0"/>
                <w:i w:val="0"/>
                <w:sz w:val="15"/>
              </w:rPr>
              <w:t>2015</w:t>
            </w:r>
          </w:p>
        </w:tc>
        <w:tc>
          <w:tcPr>
            <w:tcW w:type="dxa" w:w="1008"/>
          </w:tcPr>
          <w:p>
            <w:pPr>
              <w:spacing w:after="0" w:before="0"/>
              <w:jc w:val="right"/>
            </w:pPr>
            <w:r/>
            <w:r>
              <w:rPr>
                <w:b w:val="0"/>
                <w:i w:val="0"/>
                <w:sz w:val="15"/>
              </w:rPr>
              <w:t>$4.2M</w:t>
            </w:r>
          </w:p>
        </w:tc>
        <w:tc>
          <w:tcPr>
            <w:tcW w:type="dxa" w:w="864"/>
          </w:tcPr>
          <w:p>
            <w:pPr>
              <w:spacing w:after="0" w:before="0"/>
              <w:jc w:val="right"/>
            </w:pPr>
            <w:r/>
            <w:r>
              <w:rPr>
                <w:b w:val="0"/>
                <w:i w:val="0"/>
                <w:sz w:val="15"/>
              </w:rPr>
              <w:t>$1,235</w:t>
            </w:r>
          </w:p>
        </w:tc>
        <w:tc>
          <w:tcPr>
            <w:tcW w:type="dxa" w:w="1944"/>
          </w:tcPr>
          <w:p>
            <w:pPr>
              <w:spacing w:after="0" w:before="0"/>
            </w:pPr>
            <w:r/>
            <w:r>
              <w:rPr>
                <w:b w:val="0"/>
                <w:i w:val="0"/>
                <w:sz w:val="15"/>
              </w:rPr>
              <w:t>final/actual (storage component)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Sterling MLD Chocksett Road BESS</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$2.7M</w:t>
            </w:r>
          </w:p>
        </w:tc>
        <w:tc>
          <w:tcPr>
            <w:tcW w:type="dxa" w:w="864"/>
            <w:shd w:val="clear" w:color="auto" w:fill="F2F4F8"/>
          </w:tcPr>
          <w:p>
            <w:pPr>
              <w:spacing w:after="0" w:before="0"/>
              <w:jc w:val="right"/>
            </w:pPr>
            <w:r/>
            <w:r>
              <w:rPr>
                <w:b w:val="0"/>
                <w:i w:val="0"/>
                <w:sz w:val="15"/>
              </w:rPr>
              <w:t>$692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VEC Hinesburg BESS</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4</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$5.6M</w:t>
            </w:r>
          </w:p>
        </w:tc>
        <w:tc>
          <w:tcPr>
            <w:tcW w:type="dxa" w:w="864"/>
          </w:tcPr>
          <w:p>
            <w:pPr>
              <w:spacing w:after="0" w:before="0"/>
              <w:jc w:val="right"/>
            </w:pPr>
            <w:r/>
            <w:r>
              <w:rPr>
                <w:b w:val="0"/>
                <w:i w:val="0"/>
                <w:sz w:val="15"/>
              </w:rPr>
              <w:t>$1,400</w:t>
            </w:r>
          </w:p>
        </w:tc>
        <w:tc>
          <w:tcPr>
            <w:tcW w:type="dxa" w:w="1944"/>
          </w:tcPr>
          <w:p>
            <w:pPr>
              <w:spacing w:after="0" w:before="0"/>
            </w:pPr>
            <w:r/>
            <w:r>
              <w:rPr>
                <w:b w:val="0"/>
                <w:i w:val="0"/>
                <w:sz w:val="15"/>
              </w:rPr>
              <w:t>total estimated cost reported by 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Panton battery (Green Mountain Power)</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2018</w:t>
            </w:r>
          </w:p>
        </w:tc>
        <w:tc>
          <w:tcPr>
            <w:tcW w:type="dxa" w:w="1008"/>
            <w:shd w:val="clear" w:color="auto" w:fill="F2F4F8"/>
          </w:tcPr>
          <w:p>
            <w:pPr>
              <w:spacing w:after="0" w:before="0"/>
              <w:jc w:val="right"/>
            </w:pPr>
            <w:r/>
            <w:r>
              <w:rPr>
                <w:b w:val="0"/>
                <w:i w:val="0"/>
                <w:sz w:val="15"/>
              </w:rPr>
              <w:t>$3.0M</w:t>
            </w:r>
          </w:p>
        </w:tc>
        <w:tc>
          <w:tcPr>
            <w:tcW w:type="dxa" w:w="864"/>
            <w:shd w:val="clear" w:color="auto" w:fill="F2F4F8"/>
          </w:tcPr>
          <w:p>
            <w:pPr>
              <w:spacing w:after="0" w:before="0"/>
              <w:jc w:val="right"/>
            </w:pPr>
            <w:r/>
            <w:r>
              <w:rPr>
                <w:b w:val="0"/>
                <w:i w:val="0"/>
                <w:sz w:val="15"/>
              </w:rPr>
              <w:t>$750</w:t>
            </w:r>
          </w:p>
        </w:tc>
        <w:tc>
          <w:tcPr>
            <w:tcW w:type="dxa" w:w="1944"/>
            <w:shd w:val="clear" w:color="auto" w:fill="F2F4F8"/>
          </w:tcPr>
          <w:p>
            <w:pPr>
              <w:spacing w:after="0" w:before="0"/>
            </w:pPr>
            <w:r/>
            <w:r>
              <w:rPr>
                <w:b w:val="0"/>
                <w:i w:val="0"/>
                <w:sz w:val="15"/>
              </w:rPr>
              <w:t>Vermont PUC CPG coverage: $3.0M ba</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Braintree BELD solar-sited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4</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$2.6M</w:t>
            </w:r>
          </w:p>
        </w:tc>
        <w:tc>
          <w:tcPr>
            <w:tcW w:type="dxa" w:w="864"/>
          </w:tcPr>
          <w:p>
            <w:pPr>
              <w:spacing w:after="0" w:before="0"/>
              <w:jc w:val="right"/>
            </w:pPr>
            <w:r/>
            <w:r>
              <w:rPr>
                <w:b w:val="0"/>
                <w:i w:val="0"/>
                <w:sz w:val="15"/>
              </w:rPr>
              <w:t>$619</w:t>
            </w:r>
          </w:p>
        </w:tc>
        <w:tc>
          <w:tcPr>
            <w:tcW w:type="dxa" w:w="1944"/>
          </w:tcPr>
          <w:p>
            <w:pPr>
              <w:spacing w:after="0" w:before="0"/>
            </w:pPr>
            <w:r/>
            <w:r>
              <w:rPr>
                <w:b w:val="0"/>
                <w:i w:val="0"/>
                <w:sz w:val="15"/>
              </w:rPr>
              <w:t>reported installed cost of battery</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Glacier BESS</w:t>
            </w:r>
          </w:p>
        </w:tc>
        <w:tc>
          <w:tcPr>
            <w:tcW w:type="dxa" w:w="720"/>
            <w:shd w:val="clear" w:color="auto" w:fill="F2F4F8"/>
          </w:tcPr>
          <w:p>
            <w:pPr>
              <w:spacing w:after="0" w:before="0"/>
            </w:pPr>
            <w:r/>
            <w:r>
              <w:rPr>
                <w:b w:val="0"/>
                <w:i w:val="0"/>
                <w:sz w:val="15"/>
              </w:rPr>
              <w:t>WA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$11.2M</w:t>
            </w:r>
          </w:p>
        </w:tc>
        <w:tc>
          <w:tcPr>
            <w:tcW w:type="dxa" w:w="864"/>
            <w:shd w:val="clear" w:color="auto" w:fill="F2F4F8"/>
          </w:tcPr>
          <w:p>
            <w:pPr>
              <w:spacing w:after="0" w:before="0"/>
              <w:jc w:val="right"/>
            </w:pPr>
            <w:r/>
            <w:r>
              <w:rPr>
                <w:b w:val="0"/>
                <w:i w:val="0"/>
                <w:sz w:val="15"/>
              </w:rPr>
              <w:t>$2,545</w:t>
            </w:r>
          </w:p>
        </w:tc>
        <w:tc>
          <w:tcPr>
            <w:tcW w:type="dxa" w:w="1944"/>
            <w:shd w:val="clear" w:color="auto" w:fill="F2F4F8"/>
          </w:tcPr>
          <w:p>
            <w:pPr>
              <w:spacing w:after="0" w:before="0"/>
            </w:pPr>
            <w:r/>
            <w:r>
              <w:rPr>
                <w:b w:val="0"/>
                <w:i w:val="0"/>
                <w:sz w:val="15"/>
              </w:rPr>
              <w:t>final/actual (PSE $7.4M + $3.8M st</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Ashburnham MLP substation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3</w:t>
            </w:r>
          </w:p>
        </w:tc>
        <w:tc>
          <w:tcPr>
            <w:tcW w:type="dxa" w:w="648"/>
          </w:tcPr>
          <w:p>
            <w:pPr>
              <w:spacing w:after="0" w:before="0"/>
              <w:jc w:val="right"/>
            </w:pPr>
            <w:r/>
            <w:r>
              <w:rPr>
                <w:b w:val="0"/>
                <w:i w:val="0"/>
                <w:sz w:val="15"/>
              </w:rPr>
              <w:t>5</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$3.5M</w:t>
            </w:r>
          </w:p>
        </w:tc>
        <w:tc>
          <w:tcPr>
            <w:tcW w:type="dxa" w:w="864"/>
          </w:tcPr>
          <w:p>
            <w:pPr>
              <w:spacing w:after="0" w:before="0"/>
              <w:jc w:val="right"/>
            </w:pPr>
            <w:r/>
            <w:r>
              <w:rPr>
                <w:b w:val="0"/>
                <w:i w:val="0"/>
                <w:sz w:val="15"/>
              </w:rPr>
              <w:t>$700</w:t>
            </w:r>
          </w:p>
        </w:tc>
        <w:tc>
          <w:tcPr>
            <w:tcW w:type="dxa" w:w="1944"/>
          </w:tcPr>
          <w:p>
            <w:pPr>
              <w:spacing w:after="0" w:before="0"/>
            </w:pPr>
            <w:r/>
            <w:r>
              <w:rPr>
                <w:b w:val="0"/>
                <w:i w:val="0"/>
                <w:sz w:val="15"/>
              </w:rPr>
              <w:t>reported total plant cost (NEC / M</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Westmoreland Clean Innovation Project BESS (</w:t>
            </w:r>
          </w:p>
        </w:tc>
        <w:tc>
          <w:tcPr>
            <w:tcW w:type="dxa" w:w="720"/>
            <w:shd w:val="clear" w:color="auto" w:fill="F2F4F8"/>
          </w:tcPr>
          <w:p>
            <w:pPr>
              <w:spacing w:after="0" w:before="0"/>
            </w:pPr>
            <w:r/>
            <w:r>
              <w:rPr>
                <w:b w:val="0"/>
                <w:i w:val="0"/>
                <w:sz w:val="15"/>
              </w:rPr>
              <w:t>NH</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7</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$7.0M</w:t>
            </w:r>
          </w:p>
        </w:tc>
        <w:tc>
          <w:tcPr>
            <w:tcW w:type="dxa" w:w="864"/>
            <w:shd w:val="clear" w:color="auto" w:fill="F2F4F8"/>
          </w:tcPr>
          <w:p>
            <w:pPr>
              <w:spacing w:after="0" w:before="0"/>
              <w:jc w:val="right"/>
            </w:pPr>
            <w:r/>
            <w:r>
              <w:rPr>
                <w:b w:val="0"/>
                <w:i w:val="0"/>
                <w:sz w:val="15"/>
              </w:rPr>
              <w:t>$986</w:t>
            </w:r>
          </w:p>
        </w:tc>
        <w:tc>
          <w:tcPr>
            <w:tcW w:type="dxa" w:w="1944"/>
            <w:shd w:val="clear" w:color="auto" w:fill="F2F4F8"/>
          </w:tcPr>
          <w:p>
            <w:pPr>
              <w:spacing w:after="0" w:before="0"/>
            </w:pPr>
            <w:r/>
            <w:r>
              <w:rPr>
                <w:b w:val="0"/>
                <w:i w:val="0"/>
                <w:sz w:val="15"/>
              </w:rPr>
              <w:t>estimated capex in PUC preauthoriz</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Dalrymple ESCRI BESS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8</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$22.2M</w:t>
            </w:r>
          </w:p>
        </w:tc>
        <w:tc>
          <w:tcPr>
            <w:tcW w:type="dxa" w:w="864"/>
          </w:tcPr>
          <w:p>
            <w:pPr>
              <w:spacing w:after="0" w:before="0"/>
              <w:jc w:val="right"/>
            </w:pPr>
            <w:r/>
            <w:r>
              <w:rPr>
                <w:b w:val="0"/>
                <w:i w:val="0"/>
                <w:sz w:val="15"/>
              </w:rPr>
              <w:t>$2,775</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Asheville Rock Hill substation BESS (Duke En</w:t>
            </w:r>
          </w:p>
        </w:tc>
        <w:tc>
          <w:tcPr>
            <w:tcW w:type="dxa" w:w="720"/>
            <w:shd w:val="clear" w:color="auto" w:fill="F2F4F8"/>
          </w:tcPr>
          <w:p>
            <w:pPr>
              <w:spacing w:after="0" w:before="0"/>
            </w:pPr>
            <w:r/>
            <w:r>
              <w:rPr>
                <w:b w:val="0"/>
                <w:i w:val="0"/>
                <w:sz w:val="15"/>
              </w:rPr>
              <w:t>NC</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$1,667</w:t>
            </w:r>
          </w:p>
        </w:tc>
        <w:tc>
          <w:tcPr>
            <w:tcW w:type="dxa" w:w="1944"/>
            <w:shd w:val="clear" w:color="auto" w:fill="F2F4F8"/>
          </w:tcPr>
          <w:p>
            <w:pPr>
              <w:spacing w:after="0" w:before="0"/>
            </w:pPr>
            <w:r/>
            <w:r>
              <w:rPr>
                <w:b w:val="0"/>
                <w:i w:val="0"/>
                <w:sz w:val="15"/>
              </w:rPr>
              <w:t>utility statement / trade press: a</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Fairhaven BESS</w:t>
            </w:r>
          </w:p>
        </w:tc>
        <w:tc>
          <w:tcPr>
            <w:tcW w:type="dxa" w:w="720"/>
          </w:tcPr>
          <w:p>
            <w:pPr>
              <w:spacing w:after="0" w:before="0"/>
            </w:pPr>
            <w:r/>
            <w:r>
              <w:rPr>
                <w:b w:val="0"/>
                <w:i w:val="0"/>
                <w:sz w:val="15"/>
              </w:rPr>
              <w:t>MD</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9</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$16.2M</w:t>
            </w:r>
          </w:p>
        </w:tc>
        <w:tc>
          <w:tcPr>
            <w:tcW w:type="dxa" w:w="864"/>
          </w:tcPr>
          <w:p>
            <w:pPr>
              <w:spacing w:after="0" w:before="0"/>
              <w:jc w:val="right"/>
            </w:pPr>
            <w:r/>
            <w:r>
              <w:rPr>
                <w:b w:val="0"/>
                <w:i w:val="0"/>
                <w:sz w:val="15"/>
              </w:rPr>
              <w:t>$1,659</w:t>
            </w:r>
          </w:p>
        </w:tc>
        <w:tc>
          <w:tcPr>
            <w:tcW w:type="dxa" w:w="1944"/>
          </w:tcPr>
          <w:p>
            <w:pPr>
              <w:spacing w:after="0" w:before="0"/>
            </w:pPr>
            <w:r/>
            <w:r>
              <w:rPr>
                <w:b w:val="0"/>
                <w:i w:val="0"/>
                <w:sz w:val="15"/>
              </w:rPr>
              <w:t>final/actual (reported to MD PSC)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OSCII Blondell Ave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$8.6M</w:t>
            </w:r>
          </w:p>
        </w:tc>
        <w:tc>
          <w:tcPr>
            <w:tcW w:type="dxa" w:w="864"/>
            <w:shd w:val="clear" w:color="auto" w:fill="F2F4F8"/>
          </w:tcPr>
          <w:p>
            <w:pPr>
              <w:spacing w:after="0" w:before="0"/>
              <w:jc w:val="right"/>
            </w:pPr>
            <w:r/>
            <w:r>
              <w:rPr>
                <w:b w:val="0"/>
                <w:i w:val="0"/>
                <w:sz w:val="15"/>
              </w:rPr>
              <w:t>$857</w:t>
            </w:r>
          </w:p>
        </w:tc>
        <w:tc>
          <w:tcPr>
            <w:tcW w:type="dxa" w:w="1944"/>
            <w:shd w:val="clear" w:color="auto" w:fill="F2F4F8"/>
          </w:tcPr>
          <w:p>
            <w:pPr>
              <w:spacing w:after="0" w:before="0"/>
            </w:pPr>
            <w:r/>
            <w:r>
              <w:rPr>
                <w:b w:val="0"/>
                <w:i w:val="0"/>
                <w:sz w:val="15"/>
              </w:rPr>
              <w:t>NYCIDA total project cost (Jul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LADWP Beacon Energy Storage System</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10</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$19.2M</w:t>
            </w:r>
          </w:p>
        </w:tc>
        <w:tc>
          <w:tcPr>
            <w:tcW w:type="dxa" w:w="864"/>
          </w:tcPr>
          <w:p>
            <w:pPr>
              <w:spacing w:after="0" w:before="0"/>
              <w:jc w:val="right"/>
            </w:pPr>
            <w:r/>
            <w:r>
              <w:rPr>
                <w:b w:val="0"/>
                <w:i w:val="0"/>
                <w:sz w:val="15"/>
              </w:rPr>
              <w:t>$1,920</w:t>
            </w:r>
          </w:p>
        </w:tc>
        <w:tc>
          <w:tcPr>
            <w:tcW w:type="dxa" w:w="1944"/>
          </w:tcPr>
          <w:p>
            <w:pPr>
              <w:spacing w:after="0" w:before="0"/>
            </w:pPr>
            <w:r/>
            <w:r>
              <w:rPr>
                <w:b w:val="0"/>
                <w:i w:val="0"/>
                <w:sz w:val="15"/>
              </w:rPr>
              <w:t>board-approved Doosan GridTech con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Pomona (Ladentown)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$7.4M</w:t>
            </w:r>
          </w:p>
        </w:tc>
        <w:tc>
          <w:tcPr>
            <w:tcW w:type="dxa" w:w="864"/>
            <w:shd w:val="clear" w:color="auto" w:fill="F2F4F8"/>
          </w:tcPr>
          <w:p>
            <w:pPr>
              <w:spacing w:after="0" w:before="0"/>
              <w:jc w:val="right"/>
            </w:pPr>
            <w:r/>
            <w:r>
              <w:rPr>
                <w:b w:val="0"/>
                <w:i w:val="0"/>
                <w:sz w:val="15"/>
              </w:rPr>
              <w:t>$617</w:t>
            </w:r>
          </w:p>
        </w:tc>
        <w:tc>
          <w:tcPr>
            <w:tcW w:type="dxa" w:w="1944"/>
            <w:shd w:val="clear" w:color="auto" w:fill="F2F4F8"/>
          </w:tcPr>
          <w:p>
            <w:pPr>
              <w:spacing w:after="0" w:before="0"/>
            </w:pPr>
            <w:r/>
            <w:r>
              <w:rPr>
                <w:b w:val="0"/>
                <w:i w:val="0"/>
                <w:sz w:val="15"/>
              </w:rPr>
              <w:t>final/actual (utility press releas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Ozone Park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12</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$15.0M</w:t>
            </w:r>
          </w:p>
        </w:tc>
        <w:tc>
          <w:tcPr>
            <w:tcW w:type="dxa" w:w="864"/>
          </w:tcPr>
          <w:p>
            <w:pPr>
              <w:spacing w:after="0" w:before="0"/>
              <w:jc w:val="right"/>
            </w:pPr>
            <w:r/>
            <w:r>
              <w:rPr>
                <w:b w:val="0"/>
                <w:i w:val="0"/>
                <w:sz w:val="15"/>
              </w:rPr>
              <w:t>$1,250</w:t>
            </w:r>
          </w:p>
        </w:tc>
        <w:tc>
          <w:tcPr>
            <w:tcW w:type="dxa" w:w="1944"/>
          </w:tcPr>
          <w:p>
            <w:pPr>
              <w:spacing w:after="0" w:before="0"/>
            </w:pPr>
            <w:r/>
            <w:r>
              <w:rPr>
                <w:b w:val="0"/>
                <w:i w:val="0"/>
                <w:sz w:val="15"/>
              </w:rPr>
              <w:t>estimate (utility spokesman: 'abou</w:t>
            </w:r>
          </w:p>
        </w:tc>
        <w:tc>
          <w:tcPr>
            <w:tcW w:type="dxa" w:w="936"/>
          </w:tcPr>
          <w:p>
            <w:pPr>
              <w:spacing w:after="0" w:before="0"/>
            </w:pPr>
            <w:r/>
            <w:r>
              <w:rPr>
                <w:b w:val="0"/>
                <w:i w:val="0"/>
                <w:sz w:val="15"/>
              </w:rPr>
              <w:t>Low</w:t>
            </w:r>
          </w:p>
        </w:tc>
      </w:tr>
      <w:tr>
        <w:tc>
          <w:tcPr>
            <w:tcW w:type="dxa" w:w="2880"/>
            <w:shd w:val="clear" w:color="auto" w:fill="F2F4F8"/>
          </w:tcPr>
          <w:p>
            <w:pPr>
              <w:spacing w:after="0" w:before="0"/>
            </w:pPr>
            <w:r/>
            <w:r>
              <w:rPr>
                <w:b w:val="0"/>
                <w:i w:val="0"/>
                <w:sz w:val="15"/>
              </w:rPr>
              <w:t>North Troy BESS (VEC + GMP)</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$6.0M</w:t>
            </w:r>
          </w:p>
        </w:tc>
        <w:tc>
          <w:tcPr>
            <w:tcW w:type="dxa" w:w="864"/>
            <w:shd w:val="clear" w:color="auto" w:fill="F2F4F8"/>
          </w:tcPr>
          <w:p>
            <w:pPr>
              <w:spacing w:after="0" w:before="0"/>
              <w:jc w:val="right"/>
            </w:pPr>
            <w:r/>
            <w:r>
              <w:rPr>
                <w:b w:val="0"/>
                <w:i w:val="0"/>
                <w:sz w:val="15"/>
              </w:rPr>
              <w:t>$500</w:t>
            </w:r>
          </w:p>
        </w:tc>
        <w:tc>
          <w:tcPr>
            <w:tcW w:type="dxa" w:w="1944"/>
            <w:shd w:val="clear" w:color="auto" w:fill="F2F4F8"/>
          </w:tcPr>
          <w:p>
            <w:pPr>
              <w:spacing w:after="0" w:before="0"/>
            </w:pPr>
            <w:r/>
            <w:r>
              <w:rPr>
                <w:b w:val="0"/>
                <w:i w:val="0"/>
                <w:sz w:val="15"/>
              </w:rPr>
              <w:t>reported total project cost (about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Concord MLP grid-scale battery (planned)</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14</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$10.4M</w:t>
            </w:r>
          </w:p>
        </w:tc>
        <w:tc>
          <w:tcPr>
            <w:tcW w:type="dxa" w:w="864"/>
          </w:tcPr>
          <w:p>
            <w:pPr>
              <w:spacing w:after="0" w:before="0"/>
              <w:jc w:val="right"/>
            </w:pPr>
            <w:r/>
            <w:r>
              <w:rPr>
                <w:b w:val="0"/>
                <w:i w:val="0"/>
                <w:sz w:val="15"/>
              </w:rPr>
              <w:t>$695</w:t>
            </w:r>
          </w:p>
        </w:tc>
        <w:tc>
          <w:tcPr>
            <w:tcW w:type="dxa" w:w="1944"/>
          </w:tcPr>
          <w:p>
            <w:pPr>
              <w:spacing w:after="0" w:before="0"/>
            </w:pPr>
            <w:r/>
            <w:r>
              <w:rPr>
                <w:b w:val="0"/>
                <w:i w:val="0"/>
                <w:sz w:val="15"/>
              </w:rPr>
              <w:t xml:space="preserve">capital cost estimate / borrowing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Martha's Vineyard BESS Phase 1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$750</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Northern New York (Chateaugay)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$29.8M</w:t>
            </w:r>
          </w:p>
        </w:tc>
        <w:tc>
          <w:tcPr>
            <w:tcW w:type="dxa" w:w="864"/>
          </w:tcPr>
          <w:p>
            <w:pPr>
              <w:spacing w:after="0" w:before="0"/>
              <w:jc w:val="right"/>
            </w:pPr>
            <w:r/>
            <w:r>
              <w:rPr>
                <w:b w:val="0"/>
                <w:i w:val="0"/>
                <w:sz w:val="15"/>
              </w:rPr>
              <w:t>$1,490</w:t>
            </w:r>
          </w:p>
        </w:tc>
        <w:tc>
          <w:tcPr>
            <w:tcW w:type="dxa" w:w="1944"/>
          </w:tcPr>
          <w:p>
            <w:pPr>
              <w:spacing w:after="0" w:before="0"/>
            </w:pPr>
            <w:r/>
            <w:r>
              <w:rPr>
                <w:b w:val="0"/>
                <w:i w:val="0"/>
                <w:sz w:val="15"/>
              </w:rPr>
              <w:t>approved budget (NYPA Trustees)</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Harding Street BESS</w:t>
            </w:r>
          </w:p>
        </w:tc>
        <w:tc>
          <w:tcPr>
            <w:tcW w:type="dxa" w:w="720"/>
            <w:shd w:val="clear" w:color="auto" w:fill="F2F4F8"/>
          </w:tcPr>
          <w:p>
            <w:pPr>
              <w:spacing w:after="0" w:before="0"/>
            </w:pPr>
            <w:r/>
            <w:r>
              <w:rPr>
                <w:b w:val="0"/>
                <w:i w:val="0"/>
                <w:sz w:val="15"/>
              </w:rPr>
              <w:t>IN</w:t>
            </w:r>
          </w:p>
        </w:tc>
        <w:tc>
          <w:tcPr>
            <w:tcW w:type="dxa" w:w="576"/>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$25.0M</w:t>
            </w:r>
          </w:p>
        </w:tc>
        <w:tc>
          <w:tcPr>
            <w:tcW w:type="dxa" w:w="864"/>
            <w:shd w:val="clear" w:color="auto" w:fill="F2F4F8"/>
          </w:tcPr>
          <w:p>
            <w:pPr>
              <w:spacing w:after="0" w:before="0"/>
              <w:jc w:val="right"/>
            </w:pPr>
            <w:r/>
            <w:r>
              <w:rPr>
                <w:b w:val="0"/>
                <w:i w:val="0"/>
                <w:sz w:val="15"/>
              </w:rPr>
              <w:t>$1,250</w:t>
            </w:r>
          </w:p>
        </w:tc>
        <w:tc>
          <w:tcPr>
            <w:tcW w:type="dxa" w:w="1944"/>
            <w:shd w:val="clear" w:color="auto" w:fill="F2F4F8"/>
          </w:tcPr>
          <w:p>
            <w:pPr>
              <w:spacing w:after="0" w:before="0"/>
            </w:pPr>
            <w:r/>
            <w:r>
              <w:rPr>
                <w:b w:val="0"/>
                <w:i w:val="0"/>
                <w:sz w:val="15"/>
              </w:rPr>
              <w:t>estimate at announcement (2015)</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Regina BESS [CANADA]</w:t>
            </w:r>
          </w:p>
        </w:tc>
        <w:tc>
          <w:tcPr>
            <w:tcW w:type="dxa" w:w="720"/>
          </w:tcPr>
          <w:p>
            <w:pPr>
              <w:spacing w:after="0" w:before="0"/>
            </w:pPr>
            <w:r/>
            <w:r>
              <w:rPr>
                <w:b w:val="0"/>
                <w:i w:val="0"/>
                <w:sz w:val="15"/>
              </w:rPr>
              <w:t>SK (Canada)</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$25.2M</w:t>
            </w:r>
          </w:p>
        </w:tc>
        <w:tc>
          <w:tcPr>
            <w:tcW w:type="dxa" w:w="864"/>
          </w:tcPr>
          <w:p>
            <w:pPr>
              <w:spacing w:after="0" w:before="0"/>
              <w:jc w:val="right"/>
            </w:pPr>
            <w:r/>
            <w:r>
              <w:rPr>
                <w:b w:val="0"/>
                <w:i w:val="0"/>
                <w:sz w:val="15"/>
              </w:rPr>
              <w:t>$1,260</w:t>
            </w:r>
          </w:p>
        </w:tc>
        <w:tc>
          <w:tcPr>
            <w:tcW w:type="dxa" w:w="1944"/>
          </w:tcPr>
          <w:p>
            <w:pPr>
              <w:spacing w:after="0" w:before="0"/>
            </w:pPr>
            <w:r/>
            <w:r>
              <w:rPr>
                <w:b w:val="0"/>
                <w:i w:val="0"/>
                <w:sz w:val="15"/>
              </w:rPr>
              <w:t>as-built C$34M per secondary sourc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WindCharger [CANADA]</w:t>
            </w:r>
          </w:p>
        </w:tc>
        <w:tc>
          <w:tcPr>
            <w:tcW w:type="dxa" w:w="720"/>
            <w:shd w:val="clear" w:color="auto" w:fill="F2F4F8"/>
          </w:tcPr>
          <w:p>
            <w:pPr>
              <w:spacing w:after="0" w:before="0"/>
            </w:pPr>
            <w:r/>
            <w:r>
              <w:rPr>
                <w:b w:val="0"/>
                <w:i w:val="0"/>
                <w:sz w:val="15"/>
              </w:rPr>
              <w:t>AB (Canada)</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final/actual (total capital cost)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Soltage Brigis 1A BESS (Maspeth, Queens)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$16.1M</w:t>
            </w:r>
          </w:p>
        </w:tc>
        <w:tc>
          <w:tcPr>
            <w:tcW w:type="dxa" w:w="864"/>
          </w:tcPr>
          <w:p>
            <w:pPr>
              <w:spacing w:after="0" w:before="0"/>
              <w:jc w:val="right"/>
            </w:pPr>
            <w:r/>
            <w:r>
              <w:rPr>
                <w:b w:val="0"/>
                <w:i w:val="0"/>
                <w:sz w:val="15"/>
              </w:rPr>
              <w:t>$805</w:t>
            </w:r>
          </w:p>
        </w:tc>
        <w:tc>
          <w:tcPr>
            <w:tcW w:type="dxa" w:w="1944"/>
          </w:tcPr>
          <w:p>
            <w:pPr>
              <w:spacing w:after="0" w:before="0"/>
            </w:pPr>
            <w:r/>
            <w:r>
              <w:rPr>
                <w:b w:val="0"/>
                <w:i w:val="0"/>
                <w:sz w:val="15"/>
              </w:rPr>
              <w:t xml:space="preserve">NYCIDA total project cost (public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Wellesley MLP BESS (Citizens Energy)</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reported project cost range $10M-$</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Greenbacker Staten Island Energy Storage 3 (</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$10.4M</w:t>
            </w:r>
          </w:p>
        </w:tc>
        <w:tc>
          <w:tcPr>
            <w:tcW w:type="dxa" w:w="864"/>
          </w:tcPr>
          <w:p>
            <w:pPr>
              <w:spacing w:after="0" w:before="0"/>
              <w:jc w:val="right"/>
            </w:pPr>
            <w:r/>
            <w:r>
              <w:rPr>
                <w:b w:val="0"/>
                <w:i w:val="0"/>
                <w:sz w:val="15"/>
              </w:rPr>
              <w:t>$522</w:t>
            </w:r>
          </w:p>
        </w:tc>
        <w:tc>
          <w:tcPr>
            <w:tcW w:type="dxa" w:w="1944"/>
          </w:tcPr>
          <w:p>
            <w:pPr>
              <w:spacing w:after="0" w:before="0"/>
            </w:pPr>
            <w:r/>
            <w:r>
              <w:rPr>
                <w:b w:val="0"/>
                <w:i w:val="0"/>
                <w:sz w:val="15"/>
              </w:rPr>
              <w:t>NYCIDA estimated project budget (M</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OSCII Gildersleeve Ave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$13.9M</w:t>
            </w:r>
          </w:p>
        </w:tc>
        <w:tc>
          <w:tcPr>
            <w:tcW w:type="dxa" w:w="864"/>
            <w:shd w:val="clear" w:color="auto" w:fill="F2F4F8"/>
          </w:tcPr>
          <w:p>
            <w:pPr>
              <w:spacing w:after="0" w:before="0"/>
              <w:jc w:val="right"/>
            </w:pPr>
            <w:r/>
            <w:r>
              <w:rPr>
                <w:b w:val="0"/>
                <w:i w:val="0"/>
                <w:sz w:val="15"/>
              </w:rPr>
              <w:t>$694</w:t>
            </w:r>
          </w:p>
        </w:tc>
        <w:tc>
          <w:tcPr>
            <w:tcW w:type="dxa" w:w="1944"/>
            <w:shd w:val="clear" w:color="auto" w:fill="F2F4F8"/>
          </w:tcPr>
          <w:p>
            <w:pPr>
              <w:spacing w:after="0" w:before="0"/>
            </w:pPr>
            <w:r/>
            <w:r>
              <w:rPr>
                <w:b w:val="0"/>
                <w:i w:val="0"/>
                <w:sz w:val="15"/>
              </w:rPr>
              <w:t>NYCIDA total project cost (Jul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OSCII Gun Hill Rd BESS (Bronx)</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$15.3M</w:t>
            </w:r>
          </w:p>
        </w:tc>
        <w:tc>
          <w:tcPr>
            <w:tcW w:type="dxa" w:w="864"/>
          </w:tcPr>
          <w:p>
            <w:pPr>
              <w:spacing w:after="0" w:before="0"/>
              <w:jc w:val="right"/>
            </w:pPr>
            <w:r/>
            <w:r>
              <w:rPr>
                <w:b w:val="0"/>
                <w:i w:val="0"/>
                <w:sz w:val="15"/>
              </w:rPr>
              <w:t>$763</w:t>
            </w:r>
          </w:p>
        </w:tc>
        <w:tc>
          <w:tcPr>
            <w:tcW w:type="dxa" w:w="1944"/>
          </w:tcPr>
          <w:p>
            <w:pPr>
              <w:spacing w:after="0" w:before="0"/>
            </w:pPr>
            <w:r/>
            <w:r>
              <w:rPr>
                <w:b w:val="0"/>
                <w:i w:val="0"/>
                <w:sz w:val="15"/>
              </w:rPr>
              <w:t>NYCIDA estimated project budget (J</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Convergent SSC Richmond Rd BESS (Staten Isla</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$8.2M</w:t>
            </w:r>
          </w:p>
        </w:tc>
        <w:tc>
          <w:tcPr>
            <w:tcW w:type="dxa" w:w="864"/>
            <w:shd w:val="clear" w:color="auto" w:fill="F2F4F8"/>
          </w:tcPr>
          <w:p>
            <w:pPr>
              <w:spacing w:after="0" w:before="0"/>
              <w:jc w:val="right"/>
            </w:pPr>
            <w:r/>
            <w:r>
              <w:rPr>
                <w:b w:val="0"/>
                <w:i w:val="0"/>
                <w:sz w:val="15"/>
              </w:rPr>
              <w:t>$410</w:t>
            </w:r>
          </w:p>
        </w:tc>
        <w:tc>
          <w:tcPr>
            <w:tcW w:type="dxa" w:w="1944"/>
            <w:shd w:val="clear" w:color="auto" w:fill="F2F4F8"/>
          </w:tcPr>
          <w:p>
            <w:pPr>
              <w:spacing w:after="0" w:before="0"/>
            </w:pPr>
            <w:r/>
            <w:r>
              <w:rPr>
                <w:b w:val="0"/>
                <w:i w:val="0"/>
                <w:sz w:val="15"/>
              </w:rPr>
              <w:t>NYCIDA total development cost (Mar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Convergent East Bay Ave Energy Storage 1 (Br</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$19.5M</w:t>
            </w:r>
          </w:p>
        </w:tc>
        <w:tc>
          <w:tcPr>
            <w:tcW w:type="dxa" w:w="864"/>
          </w:tcPr>
          <w:p>
            <w:pPr>
              <w:spacing w:after="0" w:before="0"/>
              <w:jc w:val="right"/>
            </w:pPr>
            <w:r/>
            <w:r>
              <w:rPr>
                <w:b w:val="0"/>
                <w:i w:val="0"/>
                <w:sz w:val="15"/>
              </w:rPr>
              <w:t>$976</w:t>
            </w:r>
          </w:p>
        </w:tc>
        <w:tc>
          <w:tcPr>
            <w:tcW w:type="dxa" w:w="1944"/>
          </w:tcPr>
          <w:p>
            <w:pPr>
              <w:spacing w:after="0" w:before="0"/>
            </w:pPr>
            <w:r/>
            <w:r>
              <w:rPr>
                <w:b w:val="0"/>
                <w:i w:val="0"/>
                <w:sz w:val="15"/>
              </w:rPr>
              <w:t>NYCIDA budget (latest of three fil</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Convergent 720 E 144th St Energy Storage 1 (</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$17.8M</w:t>
            </w:r>
          </w:p>
        </w:tc>
        <w:tc>
          <w:tcPr>
            <w:tcW w:type="dxa" w:w="864"/>
            <w:shd w:val="clear" w:color="auto" w:fill="F2F4F8"/>
          </w:tcPr>
          <w:p>
            <w:pPr>
              <w:spacing w:after="0" w:before="0"/>
              <w:jc w:val="right"/>
            </w:pPr>
            <w:r/>
            <w:r>
              <w:rPr>
                <w:b w:val="0"/>
                <w:i w:val="0"/>
                <w:sz w:val="15"/>
              </w:rPr>
              <w:t>$890</w:t>
            </w:r>
          </w:p>
        </w:tc>
        <w:tc>
          <w:tcPr>
            <w:tcW w:type="dxa" w:w="1944"/>
            <w:shd w:val="clear" w:color="auto" w:fill="F2F4F8"/>
          </w:tcPr>
          <w:p>
            <w:pPr>
              <w:spacing w:after="0" w:before="0"/>
            </w:pPr>
            <w:r/>
            <w:r>
              <w:rPr>
                <w:b w:val="0"/>
                <w:i w:val="0"/>
                <w:sz w:val="15"/>
              </w:rPr>
              <w:t>NYCIDA notice Sep 2025 (City Recor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El Centro BESS (IID)</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2016</w:t>
            </w:r>
          </w:p>
        </w:tc>
        <w:tc>
          <w:tcPr>
            <w:tcW w:type="dxa" w:w="1008"/>
          </w:tcPr>
          <w:p>
            <w:pPr>
              <w:spacing w:after="0" w:before="0"/>
              <w:jc w:val="right"/>
            </w:pPr>
            <w:r/>
            <w:r>
              <w:rPr>
                <w:b w:val="0"/>
                <w:i w:val="0"/>
                <w:sz w:val="15"/>
              </w:rPr>
              <w:t>$38.0M</w:t>
            </w:r>
          </w:p>
        </w:tc>
        <w:tc>
          <w:tcPr>
            <w:tcW w:type="dxa" w:w="864"/>
          </w:tcPr>
          <w:p>
            <w:pPr>
              <w:spacing w:after="0" w:before="0"/>
              <w:jc w:val="right"/>
            </w:pPr>
            <w:r/>
            <w:r>
              <w:rPr>
                <w:b w:val="0"/>
                <w:i w:val="0"/>
                <w:sz w:val="15"/>
              </w:rPr>
              <w:t>$1,900</w:t>
            </w:r>
          </w:p>
        </w:tc>
        <w:tc>
          <w:tcPr>
            <w:tcW w:type="dxa" w:w="1944"/>
          </w:tcPr>
          <w:p>
            <w:pPr>
              <w:spacing w:after="0" w:before="0"/>
            </w:pPr>
            <w:r/>
            <w:r>
              <w:rPr>
                <w:b w:val="0"/>
                <w:i w:val="0"/>
                <w:sz w:val="15"/>
              </w:rPr>
              <w:t>IID / GE turnkey deal value</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Agilitas AE-ESS NWS 1 (Long Island City)</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$728</w:t>
            </w:r>
          </w:p>
        </w:tc>
        <w:tc>
          <w:tcPr>
            <w:tcW w:type="dxa" w:w="1944"/>
            <w:shd w:val="clear" w:color="auto" w:fill="F2F4F8"/>
          </w:tcPr>
          <w:p>
            <w:pPr>
              <w:spacing w:after="0" w:before="0"/>
            </w:pPr>
            <w:r/>
            <w:r>
              <w:rPr>
                <w:b w:val="0"/>
                <w:i w:val="0"/>
                <w:sz w:val="15"/>
              </w:rPr>
              <w:t xml:space="preserve">NYCIDA cost/benefit analysis (Jul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Outer Cape (Provincetown)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25</w:t>
            </w:r>
          </w:p>
        </w:tc>
        <w:tc>
          <w:tcPr>
            <w:tcW w:type="dxa" w:w="648"/>
          </w:tcPr>
          <w:p>
            <w:pPr>
              <w:spacing w:after="0" w:before="0"/>
              <w:jc w:val="right"/>
            </w:pPr>
            <w:r/>
            <w:r>
              <w:rPr>
                <w:b w:val="0"/>
                <w:i w:val="0"/>
                <w:sz w:val="15"/>
              </w:rPr>
              <w:t>38</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$49.0M</w:t>
            </w:r>
          </w:p>
        </w:tc>
        <w:tc>
          <w:tcPr>
            <w:tcW w:type="dxa" w:w="864"/>
          </w:tcPr>
          <w:p>
            <w:pPr>
              <w:spacing w:after="0" w:before="0"/>
              <w:jc w:val="right"/>
            </w:pPr>
            <w:r/>
            <w:r>
              <w:rPr>
                <w:b w:val="0"/>
                <w:i w:val="0"/>
                <w:sz w:val="15"/>
              </w:rPr>
              <w:t>$1,289</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Arthur Kill Road BESS (Staten Island</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39</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$39.4M</w:t>
            </w:r>
          </w:p>
        </w:tc>
        <w:tc>
          <w:tcPr>
            <w:tcW w:type="dxa" w:w="864"/>
            <w:shd w:val="clear" w:color="auto" w:fill="F2F4F8"/>
          </w:tcPr>
          <w:p>
            <w:pPr>
              <w:spacing w:after="0" w:before="0"/>
              <w:jc w:val="right"/>
            </w:pPr>
            <w:r/>
            <w:r>
              <w:rPr>
                <w:b w:val="0"/>
                <w:i w:val="0"/>
                <w:sz w:val="15"/>
              </w:rPr>
              <w:t>$1,009</w:t>
            </w:r>
          </w:p>
        </w:tc>
        <w:tc>
          <w:tcPr>
            <w:tcW w:type="dxa" w:w="1944"/>
            <w:shd w:val="clear" w:color="auto" w:fill="F2F4F8"/>
          </w:tcPr>
          <w:p>
            <w:pPr>
              <w:spacing w:after="0" w:before="0"/>
            </w:pPr>
            <w:r/>
            <w:r>
              <w:rPr>
                <w:b w:val="0"/>
                <w:i w:val="0"/>
                <w:sz w:val="15"/>
              </w:rPr>
              <w:t xml:space="preserve">NYCIDA project budget (inducement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NineDot Devoe Ave BESS (Bronx)</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9</w:t>
            </w:r>
          </w:p>
        </w:tc>
        <w:tc>
          <w:tcPr>
            <w:tcW w:type="dxa" w:w="648"/>
          </w:tcPr>
          <w:p>
            <w:pPr>
              <w:spacing w:after="0" w:before="0"/>
              <w:jc w:val="right"/>
            </w:pPr>
            <w:r/>
            <w:r>
              <w:rPr>
                <w:b w:val="0"/>
                <w:i w:val="0"/>
                <w:sz w:val="15"/>
              </w:rPr>
              <w:t>39</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$35.0M</w:t>
            </w:r>
          </w:p>
        </w:tc>
        <w:tc>
          <w:tcPr>
            <w:tcW w:type="dxa" w:w="864"/>
          </w:tcPr>
          <w:p>
            <w:pPr>
              <w:spacing w:after="0" w:before="0"/>
              <w:jc w:val="right"/>
            </w:pPr>
            <w:r/>
            <w:r>
              <w:rPr>
                <w:b w:val="0"/>
                <w:i w:val="0"/>
                <w:sz w:val="15"/>
              </w:rPr>
              <w:t>$892</w:t>
            </w:r>
          </w:p>
        </w:tc>
        <w:tc>
          <w:tcPr>
            <w:tcW w:type="dxa" w:w="1944"/>
          </w:tcPr>
          <w:p>
            <w:pPr>
              <w:spacing w:after="0" w:before="0"/>
            </w:pPr>
            <w:r/>
            <w:r>
              <w:rPr>
                <w:b w:val="0"/>
                <w:i w:val="0"/>
                <w:sz w:val="15"/>
              </w:rPr>
              <w:t>NYCIDA notice and IDA resolution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Eastern Towhee A/B (Centre St Brookl</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39</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$32.6M</w:t>
            </w:r>
          </w:p>
        </w:tc>
        <w:tc>
          <w:tcPr>
            <w:tcW w:type="dxa" w:w="864"/>
            <w:shd w:val="clear" w:color="auto" w:fill="F2F4F8"/>
          </w:tcPr>
          <w:p>
            <w:pPr>
              <w:spacing w:after="0" w:before="0"/>
              <w:jc w:val="right"/>
            </w:pPr>
            <w:r/>
            <w:r>
              <w:rPr>
                <w:b w:val="0"/>
                <w:i w:val="0"/>
                <w:sz w:val="15"/>
              </w:rPr>
              <w:t>$832</w:t>
            </w:r>
          </w:p>
        </w:tc>
        <w:tc>
          <w:tcPr>
            <w:tcW w:type="dxa" w:w="1944"/>
            <w:shd w:val="clear" w:color="auto" w:fill="F2F4F8"/>
          </w:tcPr>
          <w:p>
            <w:pPr>
              <w:spacing w:after="0" w:before="0"/>
            </w:pPr>
            <w:r/>
            <w:r>
              <w:rPr>
                <w:b w:val="0"/>
                <w:i w:val="0"/>
                <w:sz w:val="15"/>
              </w:rPr>
              <w:t>NYCIDA notice (City Record Jun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Whitehorse Grid-Scale BESS [CANADA]</w:t>
            </w:r>
          </w:p>
        </w:tc>
        <w:tc>
          <w:tcPr>
            <w:tcW w:type="dxa" w:w="720"/>
          </w:tcPr>
          <w:p>
            <w:pPr>
              <w:spacing w:after="0" w:before="0"/>
            </w:pPr>
            <w:r/>
            <w:r>
              <w:rPr>
                <w:b w:val="0"/>
                <w:i w:val="0"/>
                <w:sz w:val="15"/>
              </w:rPr>
              <w:t>YT (Canada)</w:t>
            </w:r>
          </w:p>
        </w:tc>
        <w:tc>
          <w:tcPr>
            <w:tcW w:type="dxa" w:w="576"/>
          </w:tcPr>
          <w:p>
            <w:pPr>
              <w:spacing w:after="0" w:before="0"/>
              <w:jc w:val="right"/>
            </w:pPr>
            <w:r/>
            <w:r>
              <w:rPr>
                <w:b w:val="0"/>
                <w:i w:val="0"/>
                <w:sz w:val="15"/>
              </w:rPr>
              <w:t>7</w:t>
            </w:r>
          </w:p>
        </w:tc>
        <w:tc>
          <w:tcPr>
            <w:tcW w:type="dxa" w:w="648"/>
          </w:tcPr>
          <w:p>
            <w:pPr>
              <w:spacing w:after="0" w:before="0"/>
              <w:jc w:val="right"/>
            </w:pPr>
            <w:r/>
            <w:r>
              <w:rPr>
                <w:b w:val="0"/>
                <w:i w:val="0"/>
                <w:sz w:val="15"/>
              </w:rPr>
              <w:t>40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$25.9M</w:t>
            </w:r>
          </w:p>
        </w:tc>
        <w:tc>
          <w:tcPr>
            <w:tcW w:type="dxa" w:w="864"/>
          </w:tcPr>
          <w:p>
            <w:pPr>
              <w:spacing w:after="0" w:before="0"/>
              <w:jc w:val="right"/>
            </w:pPr>
            <w:r/>
            <w:r>
              <w:rPr>
                <w:b w:val="0"/>
                <w:i w:val="0"/>
                <w:sz w:val="15"/>
              </w:rPr>
              <w:t>$648</w:t>
            </w:r>
          </w:p>
        </w:tc>
        <w:tc>
          <w:tcPr>
            <w:tcW w:type="dxa" w:w="1944"/>
          </w:tcPr>
          <w:p>
            <w:pPr>
              <w:spacing w:after="0" w:before="0"/>
            </w:pPr>
            <w:r/>
            <w:r>
              <w:rPr>
                <w:b w:val="0"/>
                <w:i w:val="0"/>
                <w:sz w:val="15"/>
              </w:rPr>
              <w:t>YUB-reviewed final capital estimat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Babcock Ranch storage add-on (FPL)</w:t>
            </w:r>
          </w:p>
        </w:tc>
        <w:tc>
          <w:tcPr>
            <w:tcW w:type="dxa" w:w="720"/>
            <w:shd w:val="clear" w:color="auto" w:fill="F2F4F8"/>
          </w:tcPr>
          <w:p>
            <w:pPr>
              <w:spacing w:after="0" w:before="0"/>
            </w:pPr>
            <w:r/>
            <w:r>
              <w:rPr>
                <w:b w:val="0"/>
                <w:i w:val="0"/>
                <w:sz w:val="15"/>
              </w:rPr>
              <w:t>FL</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2018</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$375</w:t>
            </w:r>
          </w:p>
        </w:tc>
        <w:tc>
          <w:tcPr>
            <w:tcW w:type="dxa" w:w="1944"/>
            <w:shd w:val="clear" w:color="auto" w:fill="F2F4F8"/>
          </w:tcPr>
          <w:p>
            <w:pPr>
              <w:spacing w:after="0" w:before="0"/>
            </w:pPr>
            <w:r/>
            <w:r>
              <w:rPr>
                <w:b w:val="0"/>
                <w:i w:val="0"/>
                <w:sz w:val="15"/>
              </w:rPr>
              <w:t>FPL statement via Utility Dive: ab</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Broken Hill BESS [AUSTRALIA]</w:t>
            </w:r>
          </w:p>
        </w:tc>
        <w:tc>
          <w:tcPr>
            <w:tcW w:type="dxa" w:w="720"/>
          </w:tcPr>
          <w:p>
            <w:pPr>
              <w:spacing w:after="0" w:before="0"/>
            </w:pPr>
            <w:r/>
            <w:r>
              <w:rPr>
                <w:b w:val="0"/>
                <w:i w:val="0"/>
                <w:sz w:val="15"/>
              </w:rPr>
              <w:t>NSW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50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$27.5M</w:t>
            </w:r>
          </w:p>
        </w:tc>
        <w:tc>
          <w:tcPr>
            <w:tcW w:type="dxa" w:w="864"/>
          </w:tcPr>
          <w:p>
            <w:pPr>
              <w:spacing w:after="0" w:before="0"/>
              <w:jc w:val="right"/>
            </w:pPr>
            <w:r/>
            <w:r>
              <w:rPr>
                <w:b w:val="0"/>
                <w:i w:val="0"/>
                <w:sz w:val="15"/>
              </w:rPr>
              <w:t>$550</w:t>
            </w:r>
          </w:p>
        </w:tc>
        <w:tc>
          <w:tcPr>
            <w:tcW w:type="dxa" w:w="1944"/>
          </w:tcPr>
          <w:p>
            <w:pPr>
              <w:spacing w:after="0" w:before="0"/>
            </w:pPr>
            <w:r/>
            <w:r>
              <w:rPr>
                <w:b w:val="0"/>
                <w:i w:val="0"/>
                <w:sz w:val="15"/>
              </w:rPr>
              <w:t xml:space="preserve">ARENA release: total project cost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Lake Bonney BESS [AUSTRALIA]</w:t>
            </w:r>
          </w:p>
        </w:tc>
        <w:tc>
          <w:tcPr>
            <w:tcW w:type="dxa" w:w="720"/>
            <w:shd w:val="clear" w:color="auto" w:fill="F2F4F8"/>
          </w:tcPr>
          <w:p>
            <w:pPr>
              <w:spacing w:after="0" w:before="0"/>
            </w:pPr>
            <w:r/>
            <w:r>
              <w:rPr>
                <w:b w:val="0"/>
                <w:i w:val="0"/>
                <w:sz w:val="15"/>
              </w:rPr>
              <w:t>SA (Australia)</w:t>
            </w:r>
          </w:p>
        </w:tc>
        <w:tc>
          <w:tcPr>
            <w:tcW w:type="dxa" w:w="576"/>
            <w:shd w:val="clear" w:color="auto" w:fill="F2F4F8"/>
          </w:tcPr>
          <w:p>
            <w:pPr>
              <w:spacing w:after="0" w:before="0"/>
              <w:jc w:val="right"/>
            </w:pPr>
            <w:r/>
            <w:r>
              <w:rPr>
                <w:b w:val="0"/>
                <w:i w:val="0"/>
                <w:sz w:val="15"/>
              </w:rPr>
              <w:t>25</w:t>
            </w:r>
          </w:p>
        </w:tc>
        <w:tc>
          <w:tcPr>
            <w:tcW w:type="dxa" w:w="648"/>
            <w:shd w:val="clear" w:color="auto" w:fill="F2F4F8"/>
          </w:tcPr>
          <w:p>
            <w:pPr>
              <w:spacing w:after="0" w:before="0"/>
              <w:jc w:val="right"/>
            </w:pPr>
            <w:r/>
            <w:r>
              <w:rPr>
                <w:b w:val="0"/>
                <w:i w:val="0"/>
                <w:sz w:val="15"/>
              </w:rPr>
              <w:t>52</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$26.6M</w:t>
            </w:r>
          </w:p>
        </w:tc>
        <w:tc>
          <w:tcPr>
            <w:tcW w:type="dxa" w:w="864"/>
            <w:shd w:val="clear" w:color="auto" w:fill="F2F4F8"/>
          </w:tcPr>
          <w:p>
            <w:pPr>
              <w:spacing w:after="0" w:before="0"/>
              <w:jc w:val="right"/>
            </w:pPr>
            <w:r/>
            <w:r>
              <w:rPr>
                <w:b w:val="0"/>
                <w:i w:val="0"/>
                <w:sz w:val="15"/>
              </w:rPr>
              <w:t>$512</w:t>
            </w:r>
          </w:p>
        </w:tc>
        <w:tc>
          <w:tcPr>
            <w:tcW w:type="dxa" w:w="1944"/>
            <w:shd w:val="clear" w:color="auto" w:fill="F2F4F8"/>
          </w:tcPr>
          <w:p>
            <w:pPr>
              <w:spacing w:after="0" w:before="0"/>
            </w:pPr>
            <w:r/>
            <w:r>
              <w:rPr>
                <w:b w:val="0"/>
                <w:i w:val="0"/>
                <w:sz w:val="15"/>
              </w:rPr>
              <w:t>ASX release: about AUD 38M develop</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Virginia battery pilot portfolio (Scott Sola</w:t>
            </w:r>
          </w:p>
        </w:tc>
        <w:tc>
          <w:tcPr>
            <w:tcW w:type="dxa" w:w="720"/>
          </w:tcPr>
          <w:p>
            <w:pPr>
              <w:spacing w:after="0" w:before="0"/>
            </w:pPr>
            <w:r/>
            <w:r>
              <w:rPr>
                <w:b w:val="0"/>
                <w:i w:val="0"/>
                <w:sz w:val="15"/>
              </w:rPr>
              <w:t>VA</w:t>
            </w:r>
          </w:p>
        </w:tc>
        <w:tc>
          <w:tcPr>
            <w:tcW w:type="dxa" w:w="576"/>
          </w:tcPr>
          <w:p>
            <w:pPr>
              <w:spacing w:after="0" w:before="0"/>
              <w:jc w:val="right"/>
            </w:pPr>
            <w:r/>
            <w:r>
              <w:rPr>
                <w:b w:val="0"/>
                <w:i w:val="0"/>
                <w:sz w:val="15"/>
              </w:rPr>
              <w:t>16</w:t>
            </w:r>
          </w:p>
        </w:tc>
        <w:tc>
          <w:tcPr>
            <w:tcW w:type="dxa" w:w="648"/>
          </w:tcPr>
          <w:p>
            <w:pPr>
              <w:spacing w:after="0" w:before="0"/>
              <w:jc w:val="right"/>
            </w:pPr>
            <w:r/>
            <w:r>
              <w:rPr>
                <w:b w:val="0"/>
                <w:i w:val="0"/>
                <w:sz w:val="15"/>
              </w:rPr>
              <w:t>56</w:t>
            </w:r>
          </w:p>
        </w:tc>
        <w:tc>
          <w:tcPr>
            <w:tcW w:type="dxa" w:w="648"/>
          </w:tcPr>
          <w:p>
            <w:pPr>
              <w:spacing w:after="0" w:before="0"/>
              <w:jc w:val="right"/>
            </w:pPr>
            <w:r/>
            <w:r>
              <w:rPr>
                <w:b w:val="0"/>
                <w:i w:val="0"/>
                <w:sz w:val="15"/>
              </w:rPr>
              <w:t>2021</w:t>
            </w:r>
          </w:p>
        </w:tc>
        <w:tc>
          <w:tcPr>
            <w:tcW w:type="dxa" w:w="1008"/>
          </w:tcPr>
          <w:p>
            <w:pPr>
              <w:spacing w:after="0" w:before="0"/>
              <w:jc w:val="right"/>
            </w:pPr>
            <w:r/>
            <w:r>
              <w:rPr>
                <w:b w:val="0"/>
                <w:i w:val="0"/>
                <w:sz w:val="15"/>
              </w:rPr>
              <w:t>$33.0M</w:t>
            </w:r>
          </w:p>
        </w:tc>
        <w:tc>
          <w:tcPr>
            <w:tcW w:type="dxa" w:w="864"/>
          </w:tcPr>
          <w:p>
            <w:pPr>
              <w:spacing w:after="0" w:before="0"/>
              <w:jc w:val="right"/>
            </w:pPr>
            <w:r/>
            <w:r>
              <w:rPr>
                <w:b w:val="0"/>
                <w:i w:val="0"/>
                <w:sz w:val="15"/>
              </w:rPr>
              <w:t>$589</w:t>
            </w:r>
          </w:p>
        </w:tc>
        <w:tc>
          <w:tcPr>
            <w:tcW w:type="dxa" w:w="1944"/>
          </w:tcPr>
          <w:p>
            <w:pPr>
              <w:spacing w:after="0" w:before="0"/>
            </w:pPr>
            <w:r/>
            <w:r>
              <w:rPr>
                <w:b w:val="0"/>
                <w:i w:val="0"/>
                <w:sz w:val="15"/>
              </w:rPr>
              <w:t>company estimate at SCC filing (po</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Blue Aster BESS (Hinsdale St Brookly</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14</w:t>
            </w:r>
          </w:p>
        </w:tc>
        <w:tc>
          <w:tcPr>
            <w:tcW w:type="dxa" w:w="648"/>
            <w:shd w:val="clear" w:color="auto" w:fill="F2F4F8"/>
          </w:tcPr>
          <w:p>
            <w:pPr>
              <w:spacing w:after="0" w:before="0"/>
              <w:jc w:val="right"/>
            </w:pPr>
            <w:r/>
            <w:r>
              <w:rPr>
                <w:b w:val="0"/>
                <w:i w:val="0"/>
                <w:sz w:val="15"/>
              </w:rPr>
              <w:t>58</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$48.8M</w:t>
            </w:r>
          </w:p>
        </w:tc>
        <w:tc>
          <w:tcPr>
            <w:tcW w:type="dxa" w:w="864"/>
            <w:shd w:val="clear" w:color="auto" w:fill="F2F4F8"/>
          </w:tcPr>
          <w:p>
            <w:pPr>
              <w:spacing w:after="0" w:before="0"/>
              <w:jc w:val="right"/>
            </w:pPr>
            <w:r/>
            <w:r>
              <w:rPr>
                <w:b w:val="0"/>
                <w:i w:val="0"/>
                <w:sz w:val="15"/>
              </w:rPr>
              <w:t>$830</w:t>
            </w:r>
          </w:p>
        </w:tc>
        <w:tc>
          <w:tcPr>
            <w:tcW w:type="dxa" w:w="1944"/>
            <w:shd w:val="clear" w:color="auto" w:fill="F2F4F8"/>
          </w:tcPr>
          <w:p>
            <w:pPr>
              <w:spacing w:after="0" w:before="0"/>
            </w:pPr>
            <w:r/>
            <w:r>
              <w:rPr>
                <w:b w:val="0"/>
                <w:i w:val="0"/>
                <w:sz w:val="15"/>
              </w:rPr>
              <w:t xml:space="preserve">NYCIDA cost/benefit analysis (Jul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Elevate Renewables Victory Blvd BESS (Staten</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15</w:t>
            </w:r>
          </w:p>
        </w:tc>
        <w:tc>
          <w:tcPr>
            <w:tcW w:type="dxa" w:w="648"/>
          </w:tcPr>
          <w:p>
            <w:pPr>
              <w:spacing w:after="0" w:before="0"/>
              <w:jc w:val="right"/>
            </w:pPr>
            <w:r/>
            <w:r>
              <w:rPr>
                <w:b w:val="0"/>
                <w:i w:val="0"/>
                <w:sz w:val="15"/>
              </w:rPr>
              <w:t>60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$31.6M</w:t>
            </w:r>
          </w:p>
        </w:tc>
        <w:tc>
          <w:tcPr>
            <w:tcW w:type="dxa" w:w="864"/>
          </w:tcPr>
          <w:p>
            <w:pPr>
              <w:spacing w:after="0" w:before="0"/>
              <w:jc w:val="right"/>
            </w:pPr>
            <w:r/>
            <w:r>
              <w:rPr>
                <w:b w:val="0"/>
                <w:i w:val="0"/>
                <w:sz w:val="15"/>
              </w:rPr>
              <w:t>$524</w:t>
            </w:r>
          </w:p>
        </w:tc>
        <w:tc>
          <w:tcPr>
            <w:tcW w:type="dxa" w:w="1944"/>
          </w:tcPr>
          <w:p>
            <w:pPr>
              <w:spacing w:after="0" w:before="0"/>
            </w:pPr>
            <w:r/>
            <w:r>
              <w:rPr>
                <w:b w:val="0"/>
                <w:i w:val="0"/>
                <w:sz w:val="15"/>
              </w:rPr>
              <w:t xml:space="preserve">NYCIDA total project cost (public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Martha's Vineyard BESS Phase 2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64</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$28.0M</w:t>
            </w:r>
          </w:p>
        </w:tc>
        <w:tc>
          <w:tcPr>
            <w:tcW w:type="dxa" w:w="864"/>
            <w:shd w:val="clear" w:color="auto" w:fill="F2F4F8"/>
          </w:tcPr>
          <w:p>
            <w:pPr>
              <w:spacing w:after="0" w:before="0"/>
              <w:jc w:val="right"/>
            </w:pPr>
            <w:r/>
            <w:r>
              <w:rPr>
                <w:b w:val="0"/>
                <w:i w:val="0"/>
                <w:sz w:val="15"/>
              </w:rPr>
              <w:t>$438</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Hornsdale Power Reserve expansion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64</w:t>
            </w:r>
          </w:p>
        </w:tc>
        <w:tc>
          <w:tcPr>
            <w:tcW w:type="dxa" w:w="648"/>
          </w:tcPr>
          <w:p>
            <w:pPr>
              <w:spacing w:after="0" w:before="0"/>
              <w:jc w:val="right"/>
            </w:pPr>
            <w:r/>
            <w:r>
              <w:rPr>
                <w:b w:val="0"/>
                <w:i w:val="0"/>
                <w:sz w:val="15"/>
              </w:rPr>
              <w:t>2020</w:t>
            </w:r>
          </w:p>
        </w:tc>
        <w:tc>
          <w:tcPr>
            <w:tcW w:type="dxa" w:w="1008"/>
          </w:tcPr>
          <w:p>
            <w:pPr>
              <w:spacing w:after="0" w:before="0"/>
              <w:jc w:val="right"/>
            </w:pPr>
            <w:r/>
            <w:r>
              <w:rPr>
                <w:b w:val="0"/>
                <w:i w:val="0"/>
                <w:sz w:val="15"/>
              </w:rPr>
              <w:t>$49.7M</w:t>
            </w:r>
          </w:p>
        </w:tc>
        <w:tc>
          <w:tcPr>
            <w:tcW w:type="dxa" w:w="864"/>
          </w:tcPr>
          <w:p>
            <w:pPr>
              <w:spacing w:after="0" w:before="0"/>
              <w:jc w:val="right"/>
            </w:pPr>
            <w:r/>
            <w:r>
              <w:rPr>
                <w:b w:val="0"/>
                <w:i w:val="0"/>
                <w:sz w:val="15"/>
              </w:rPr>
              <w:t>$771</w:t>
            </w:r>
          </w:p>
        </w:tc>
        <w:tc>
          <w:tcPr>
            <w:tcW w:type="dxa" w:w="1944"/>
          </w:tcPr>
          <w:p>
            <w:pPr>
              <w:spacing w:after="0" w:before="0"/>
            </w:pPr>
            <w:r/>
            <w:r>
              <w:rPr>
                <w:b w:val="0"/>
                <w:i w:val="0"/>
                <w:sz w:val="15"/>
              </w:rPr>
              <w:t xml:space="preserve">ARENA release: total project cost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Wickham Market BESS [UK]</w:t>
            </w:r>
          </w:p>
        </w:tc>
        <w:tc>
          <w:tcPr>
            <w:tcW w:type="dxa" w:w="720"/>
            <w:shd w:val="clear" w:color="auto" w:fill="F2F4F8"/>
          </w:tcPr>
          <w:p>
            <w:pPr>
              <w:spacing w:after="0" w:before="0"/>
            </w:pPr>
            <w:r/>
            <w:r>
              <w:rPr>
                <w:b w:val="0"/>
                <w:i w:val="0"/>
                <w:sz w:val="15"/>
              </w:rPr>
              <w:t>England (UK)</w:t>
            </w:r>
          </w:p>
        </w:tc>
        <w:tc>
          <w:tcPr>
            <w:tcW w:type="dxa" w:w="576"/>
            <w:shd w:val="clear" w:color="auto" w:fill="F2F4F8"/>
          </w:tcPr>
          <w:p>
            <w:pPr>
              <w:spacing w:after="0" w:before="0"/>
              <w:jc w:val="right"/>
            </w:pPr>
            <w:r/>
            <w:r>
              <w:rPr>
                <w:b w:val="0"/>
                <w:i w:val="0"/>
                <w:sz w:val="15"/>
              </w:rPr>
              <w:t>50</w:t>
            </w:r>
          </w:p>
        </w:tc>
        <w:tc>
          <w:tcPr>
            <w:tcW w:type="dxa" w:w="648"/>
            <w:shd w:val="clear" w:color="auto" w:fill="F2F4F8"/>
          </w:tcPr>
          <w:p>
            <w:pPr>
              <w:spacing w:after="0" w:before="0"/>
              <w:jc w:val="right"/>
            </w:pPr>
            <w:r/>
            <w:r>
              <w:rPr>
                <w:b w:val="0"/>
                <w:i w:val="0"/>
                <w:sz w:val="15"/>
              </w:rPr>
              <w:t>74</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$41.6M</w:t>
            </w:r>
          </w:p>
        </w:tc>
        <w:tc>
          <w:tcPr>
            <w:tcW w:type="dxa" w:w="864"/>
            <w:shd w:val="clear" w:color="auto" w:fill="F2F4F8"/>
          </w:tcPr>
          <w:p>
            <w:pPr>
              <w:spacing w:after="0" w:before="0"/>
              <w:jc w:val="right"/>
            </w:pPr>
            <w:r/>
            <w:r>
              <w:rPr>
                <w:b w:val="0"/>
                <w:i w:val="0"/>
                <w:sz w:val="15"/>
              </w:rPr>
              <w:t>$562</w:t>
            </w:r>
          </w:p>
        </w:tc>
        <w:tc>
          <w:tcPr>
            <w:tcW w:type="dxa" w:w="1944"/>
            <w:shd w:val="clear" w:color="auto" w:fill="F2F4F8"/>
          </w:tcPr>
          <w:p>
            <w:pPr>
              <w:spacing w:after="0" w:before="0"/>
            </w:pPr>
            <w:r/>
            <w:r>
              <w:rPr>
                <w:b w:val="0"/>
                <w:i w:val="0"/>
                <w:sz w:val="15"/>
              </w:rPr>
              <w:t>total enterprise value incl. build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Thurcroft BESS [UK]</w:t>
            </w:r>
          </w:p>
        </w:tc>
        <w:tc>
          <w:tcPr>
            <w:tcW w:type="dxa" w:w="720"/>
          </w:tcPr>
          <w:p>
            <w:pPr>
              <w:spacing w:after="0" w:before="0"/>
            </w:pPr>
            <w:r/>
            <w:r>
              <w:rPr>
                <w:b w:val="0"/>
                <w:i w:val="0"/>
                <w:sz w:val="15"/>
              </w:rPr>
              <w:t>England (UK)</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75</w:t>
            </w:r>
          </w:p>
        </w:tc>
        <w:tc>
          <w:tcPr>
            <w:tcW w:type="dxa" w:w="648"/>
          </w:tcPr>
          <w:p>
            <w:pPr>
              <w:spacing w:after="0" w:before="0"/>
              <w:jc w:val="right"/>
            </w:pPr>
            <w:r/>
            <w:r>
              <w:rPr>
                <w:b w:val="0"/>
                <w:i w:val="0"/>
                <w:sz w:val="15"/>
              </w:rPr>
              <w:t>2020</w:t>
            </w:r>
          </w:p>
        </w:tc>
        <w:tc>
          <w:tcPr>
            <w:tcW w:type="dxa" w:w="1008"/>
          </w:tcPr>
          <w:p>
            <w:pPr>
              <w:spacing w:after="0" w:before="0"/>
              <w:jc w:val="right"/>
            </w:pPr>
            <w:r/>
            <w:r>
              <w:rPr>
                <w:b w:val="0"/>
                <w:i w:val="0"/>
                <w:sz w:val="15"/>
              </w:rPr>
              <w:t>$41.3M</w:t>
            </w:r>
          </w:p>
        </w:tc>
        <w:tc>
          <w:tcPr>
            <w:tcW w:type="dxa" w:w="864"/>
          </w:tcPr>
          <w:p>
            <w:pPr>
              <w:spacing w:after="0" w:before="0"/>
              <w:jc w:val="right"/>
            </w:pPr>
            <w:r/>
            <w:r>
              <w:rPr>
                <w:b w:val="0"/>
                <w:i w:val="0"/>
                <w:sz w:val="15"/>
              </w:rPr>
              <w:t>$551</w:t>
            </w:r>
          </w:p>
        </w:tc>
        <w:tc>
          <w:tcPr>
            <w:tcW w:type="dxa" w:w="1944"/>
          </w:tcPr>
          <w:p>
            <w:pPr>
              <w:spacing w:after="0" w:before="0"/>
            </w:pPr>
            <w:r/>
            <w:r>
              <w:rPr>
                <w:b w:val="0"/>
                <w:i w:val="0"/>
                <w:sz w:val="15"/>
              </w:rPr>
              <w:t>total enterprise value of construc</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Wallgrove Grid Battery [AUSTRALIA]</w:t>
            </w:r>
          </w:p>
        </w:tc>
        <w:tc>
          <w:tcPr>
            <w:tcW w:type="dxa" w:w="720"/>
            <w:shd w:val="clear" w:color="auto" w:fill="F2F4F8"/>
          </w:tcPr>
          <w:p>
            <w:pPr>
              <w:spacing w:after="0" w:before="0"/>
            </w:pPr>
            <w:r/>
            <w:r>
              <w:rPr>
                <w:b w:val="0"/>
                <w:i w:val="0"/>
                <w:sz w:val="15"/>
              </w:rPr>
              <w:t>NSW (Australia)</w:t>
            </w:r>
          </w:p>
        </w:tc>
        <w:tc>
          <w:tcPr>
            <w:tcW w:type="dxa" w:w="576"/>
            <w:shd w:val="clear" w:color="auto" w:fill="F2F4F8"/>
          </w:tcPr>
          <w:p>
            <w:pPr>
              <w:spacing w:after="0" w:before="0"/>
              <w:jc w:val="right"/>
            </w:pPr>
            <w:r/>
            <w:r>
              <w:rPr>
                <w:b w:val="0"/>
                <w:i w:val="0"/>
                <w:sz w:val="15"/>
              </w:rPr>
              <w:t>50</w:t>
            </w:r>
          </w:p>
        </w:tc>
        <w:tc>
          <w:tcPr>
            <w:tcW w:type="dxa" w:w="648"/>
            <w:shd w:val="clear" w:color="auto" w:fill="F2F4F8"/>
          </w:tcPr>
          <w:p>
            <w:pPr>
              <w:spacing w:after="0" w:before="0"/>
              <w:jc w:val="right"/>
            </w:pPr>
            <w:r/>
            <w:r>
              <w:rPr>
                <w:b w:val="0"/>
                <w:i w:val="0"/>
                <w:sz w:val="15"/>
              </w:rPr>
              <w:t>75</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$46.4M</w:t>
            </w:r>
          </w:p>
        </w:tc>
        <w:tc>
          <w:tcPr>
            <w:tcW w:type="dxa" w:w="864"/>
            <w:shd w:val="clear" w:color="auto" w:fill="F2F4F8"/>
          </w:tcPr>
          <w:p>
            <w:pPr>
              <w:spacing w:after="0" w:before="0"/>
              <w:jc w:val="right"/>
            </w:pPr>
            <w:r/>
            <w:r>
              <w:rPr>
                <w:b w:val="0"/>
                <w:i w:val="0"/>
                <w:sz w:val="15"/>
              </w:rPr>
              <w:t>$619</w:t>
            </w:r>
          </w:p>
        </w:tc>
        <w:tc>
          <w:tcPr>
            <w:tcW w:type="dxa" w:w="1944"/>
            <w:shd w:val="clear" w:color="auto" w:fill="F2F4F8"/>
          </w:tcPr>
          <w:p>
            <w:pPr>
              <w:spacing w:after="0" w:before="0"/>
            </w:pPr>
            <w:r/>
            <w:r>
              <w:rPr>
                <w:b w:val="0"/>
                <w:i w:val="0"/>
                <w:sz w:val="15"/>
              </w:rPr>
              <w:t>ARENA / minister release: total pr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NineDot Wintergreen / Hunts Point BESS (Bron</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19</w:t>
            </w:r>
          </w:p>
        </w:tc>
        <w:tc>
          <w:tcPr>
            <w:tcW w:type="dxa" w:w="648"/>
          </w:tcPr>
          <w:p>
            <w:pPr>
              <w:spacing w:after="0" w:before="0"/>
              <w:jc w:val="right"/>
            </w:pPr>
            <w:r/>
            <w:r>
              <w:rPr>
                <w:b w:val="0"/>
                <w:i w:val="0"/>
                <w:sz w:val="15"/>
              </w:rPr>
              <w:t>78</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$78.2M</w:t>
            </w:r>
          </w:p>
        </w:tc>
        <w:tc>
          <w:tcPr>
            <w:tcW w:type="dxa" w:w="864"/>
          </w:tcPr>
          <w:p>
            <w:pPr>
              <w:spacing w:after="0" w:before="0"/>
              <w:jc w:val="right"/>
            </w:pPr>
            <w:r/>
            <w:r>
              <w:rPr>
                <w:b w:val="0"/>
                <w:i w:val="0"/>
                <w:sz w:val="15"/>
              </w:rPr>
              <w:t>$999</w:t>
            </w:r>
          </w:p>
        </w:tc>
        <w:tc>
          <w:tcPr>
            <w:tcW w:type="dxa" w:w="1944"/>
          </w:tcPr>
          <w:p>
            <w:pPr>
              <w:spacing w:after="0" w:before="0"/>
            </w:pPr>
            <w:r/>
            <w:r>
              <w:rPr>
                <w:b w:val="0"/>
                <w:i w:val="0"/>
                <w:sz w:val="15"/>
              </w:rPr>
              <w:t xml:space="preserve">NYCIDA cost/benefit analysis + 12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Chugach BESS (Southcentral Power Project sit</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80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$65.0M</w:t>
            </w:r>
          </w:p>
        </w:tc>
        <w:tc>
          <w:tcPr>
            <w:tcW w:type="dxa" w:w="864"/>
            <w:shd w:val="clear" w:color="auto" w:fill="F2F4F8"/>
          </w:tcPr>
          <w:p>
            <w:pPr>
              <w:spacing w:after="0" w:before="0"/>
              <w:jc w:val="right"/>
            </w:pPr>
            <w:r/>
            <w:r>
              <w:rPr>
                <w:b w:val="0"/>
                <w:i w:val="0"/>
                <w:sz w:val="15"/>
              </w:rPr>
              <w:t>$812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Soltage Brigis 2 / Maspeth ESS (Queens)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80</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$80.7M</w:t>
            </w:r>
          </w:p>
        </w:tc>
        <w:tc>
          <w:tcPr>
            <w:tcW w:type="dxa" w:w="864"/>
          </w:tcPr>
          <w:p>
            <w:pPr>
              <w:spacing w:after="0" w:before="0"/>
              <w:jc w:val="right"/>
            </w:pPr>
            <w:r/>
            <w:r>
              <w:rPr>
                <w:b w:val="0"/>
                <w:i w:val="0"/>
                <w:sz w:val="15"/>
              </w:rPr>
              <w:t>$1,009</w:t>
            </w:r>
          </w:p>
        </w:tc>
        <w:tc>
          <w:tcPr>
            <w:tcW w:type="dxa" w:w="1944"/>
          </w:tcPr>
          <w:p>
            <w:pPr>
              <w:spacing w:after="0" w:before="0"/>
            </w:pPr>
            <w:r/>
            <w:r>
              <w:rPr>
                <w:b w:val="0"/>
                <w:i w:val="0"/>
                <w:sz w:val="15"/>
              </w:rPr>
              <w:t xml:space="preserve">NYCIDA cost/benefit analysis (Sep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Soldotna BESS (37 Megapacks)</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46</w:t>
            </w:r>
          </w:p>
        </w:tc>
        <w:tc>
          <w:tcPr>
            <w:tcW w:type="dxa" w:w="648"/>
            <w:shd w:val="clear" w:color="auto" w:fill="F2F4F8"/>
          </w:tcPr>
          <w:p>
            <w:pPr>
              <w:spacing w:after="0" w:before="0"/>
              <w:jc w:val="right"/>
            </w:pPr>
            <w:r/>
            <w:r>
              <w:rPr>
                <w:b w:val="0"/>
                <w:i w:val="0"/>
                <w:sz w:val="15"/>
              </w:rPr>
              <w:t>93</w:t>
            </w:r>
          </w:p>
        </w:tc>
        <w:tc>
          <w:tcPr>
            <w:tcW w:type="dxa" w:w="648"/>
            <w:shd w:val="clear" w:color="auto" w:fill="F2F4F8"/>
          </w:tcPr>
          <w:p>
            <w:pPr>
              <w:spacing w:after="0" w:before="0"/>
              <w:jc w:val="right"/>
            </w:pPr>
            <w:r/>
            <w:r>
              <w:rPr>
                <w:b w:val="0"/>
                <w:i w:val="0"/>
                <w:sz w:val="15"/>
              </w:rPr>
              <w:t>2022</w:t>
            </w:r>
          </w:p>
        </w:tc>
        <w:tc>
          <w:tcPr>
            <w:tcW w:type="dxa" w:w="1008"/>
            <w:shd w:val="clear" w:color="auto" w:fill="F2F4F8"/>
          </w:tcPr>
          <w:p>
            <w:pPr>
              <w:spacing w:after="0" w:before="0"/>
              <w:jc w:val="right"/>
            </w:pPr>
            <w:r/>
            <w:r>
              <w:rPr>
                <w:b w:val="0"/>
                <w:i w:val="0"/>
                <w:sz w:val="15"/>
              </w:rPr>
              <w:t>$40.0M</w:t>
            </w:r>
          </w:p>
        </w:tc>
        <w:tc>
          <w:tcPr>
            <w:tcW w:type="dxa" w:w="864"/>
            <w:shd w:val="clear" w:color="auto" w:fill="F2F4F8"/>
          </w:tcPr>
          <w:p>
            <w:pPr>
              <w:spacing w:after="0" w:before="0"/>
              <w:jc w:val="right"/>
            </w:pPr>
            <w:r/>
            <w:r>
              <w:rPr>
                <w:b w:val="0"/>
                <w:i w:val="0"/>
                <w:sz w:val="15"/>
              </w:rPr>
              <w:t>$430</w:t>
            </w:r>
          </w:p>
        </w:tc>
        <w:tc>
          <w:tcPr>
            <w:tcW w:type="dxa" w:w="1944"/>
            <w:shd w:val="clear" w:color="auto" w:fill="F2F4F8"/>
          </w:tcPr>
          <w:p>
            <w:pPr>
              <w:spacing w:after="0" w:before="0"/>
            </w:pPr>
            <w:r/>
            <w:r>
              <w:rPr>
                <w:b w:val="0"/>
                <w:i w:val="0"/>
                <w:sz w:val="15"/>
              </w:rPr>
              <w:t>reported up-front capital (about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Bouldercombe Battery [AUSTRALIA]</w:t>
            </w:r>
          </w:p>
        </w:tc>
        <w:tc>
          <w:tcPr>
            <w:tcW w:type="dxa" w:w="720"/>
          </w:tcPr>
          <w:p>
            <w:pPr>
              <w:spacing w:after="0" w:before="0"/>
            </w:pPr>
            <w:r/>
            <w:r>
              <w:rPr>
                <w:b w:val="0"/>
                <w:i w:val="0"/>
                <w:sz w:val="15"/>
              </w:rPr>
              <w:t>QLD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100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$40.2M</w:t>
            </w:r>
          </w:p>
        </w:tc>
        <w:tc>
          <w:tcPr>
            <w:tcW w:type="dxa" w:w="864"/>
          </w:tcPr>
          <w:p>
            <w:pPr>
              <w:spacing w:after="0" w:before="0"/>
              <w:jc w:val="right"/>
            </w:pPr>
            <w:r/>
            <w:r>
              <w:rPr>
                <w:b w:val="0"/>
                <w:i w:val="0"/>
                <w:sz w:val="15"/>
              </w:rPr>
              <w:t>$402</w:t>
            </w:r>
          </w:p>
        </w:tc>
        <w:tc>
          <w:tcPr>
            <w:tcW w:type="dxa" w:w="1944"/>
          </w:tcPr>
          <w:p>
            <w:pPr>
              <w:spacing w:after="0" w:before="0"/>
            </w:pPr>
            <w:r/>
            <w:r>
              <w:rPr>
                <w:b w:val="0"/>
                <w:i w:val="0"/>
                <w:sz w:val="15"/>
              </w:rPr>
              <w:t xml:space="preserve">ASX: total capital budget AUD 60M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Wandoan South BESS [AUSTRALIA]</w:t>
            </w:r>
          </w:p>
        </w:tc>
        <w:tc>
          <w:tcPr>
            <w:tcW w:type="dxa" w:w="720"/>
            <w:shd w:val="clear" w:color="auto" w:fill="F2F4F8"/>
          </w:tcPr>
          <w:p>
            <w:pPr>
              <w:spacing w:after="0" w:before="0"/>
            </w:pPr>
            <w:r/>
            <w:r>
              <w:rPr>
                <w:b w:val="0"/>
                <w:i w:val="0"/>
                <w:sz w:val="15"/>
              </w:rPr>
              <w:t>QLD (Australia)</w:t>
            </w:r>
          </w:p>
        </w:tc>
        <w:tc>
          <w:tcPr>
            <w:tcW w:type="dxa" w:w="576"/>
            <w:shd w:val="clear" w:color="auto" w:fill="F2F4F8"/>
          </w:tcPr>
          <w:p>
            <w:pPr>
              <w:spacing w:after="0" w:before="0"/>
              <w:jc w:val="right"/>
            </w:pPr>
            <w:r/>
            <w:r>
              <w:rPr>
                <w:b w:val="0"/>
                <w:i w:val="0"/>
                <w:sz w:val="15"/>
              </w:rPr>
              <w:t>100</w:t>
            </w:r>
          </w:p>
        </w:tc>
        <w:tc>
          <w:tcPr>
            <w:tcW w:type="dxa" w:w="648"/>
            <w:shd w:val="clear" w:color="auto" w:fill="F2F4F8"/>
          </w:tcPr>
          <w:p>
            <w:pPr>
              <w:spacing w:after="0" w:before="0"/>
              <w:jc w:val="right"/>
            </w:pPr>
            <w:r/>
            <w:r>
              <w:rPr>
                <w:b w:val="0"/>
                <w:i w:val="0"/>
                <w:sz w:val="15"/>
              </w:rPr>
              <w:t>150</w:t>
            </w:r>
          </w:p>
        </w:tc>
        <w:tc>
          <w:tcPr>
            <w:tcW w:type="dxa" w:w="648"/>
            <w:shd w:val="clear" w:color="auto" w:fill="F2F4F8"/>
          </w:tcPr>
          <w:p>
            <w:pPr>
              <w:spacing w:after="0" w:before="0"/>
              <w:jc w:val="right"/>
            </w:pPr>
            <w:r/>
            <w:r>
              <w:rPr>
                <w:b w:val="0"/>
                <w:i w:val="0"/>
                <w:sz w:val="15"/>
              </w:rPr>
              <w:t>2022</w:t>
            </w:r>
          </w:p>
        </w:tc>
        <w:tc>
          <w:tcPr>
            <w:tcW w:type="dxa" w:w="1008"/>
            <w:shd w:val="clear" w:color="auto" w:fill="F2F4F8"/>
          </w:tcPr>
          <w:p>
            <w:pPr>
              <w:spacing w:after="0" w:before="0"/>
              <w:jc w:val="right"/>
            </w:pPr>
            <w:r/>
            <w:r>
              <w:rPr>
                <w:b w:val="0"/>
                <w:i w:val="0"/>
                <w:sz w:val="15"/>
              </w:rPr>
              <w:t>$90.0M</w:t>
            </w:r>
          </w:p>
        </w:tc>
        <w:tc>
          <w:tcPr>
            <w:tcW w:type="dxa" w:w="864"/>
            <w:shd w:val="clear" w:color="auto" w:fill="F2F4F8"/>
          </w:tcPr>
          <w:p>
            <w:pPr>
              <w:spacing w:after="0" w:before="0"/>
              <w:jc w:val="right"/>
            </w:pPr>
            <w:r/>
            <w:r>
              <w:rPr>
                <w:b w:val="0"/>
                <w:i w:val="0"/>
                <w:sz w:val="15"/>
              </w:rPr>
              <w:t>$600</w:t>
            </w:r>
          </w:p>
        </w:tc>
        <w:tc>
          <w:tcPr>
            <w:tcW w:type="dxa" w:w="1944"/>
            <w:shd w:val="clear" w:color="auto" w:fill="F2F4F8"/>
          </w:tcPr>
          <w:p>
            <w:pPr>
              <w:spacing w:after="0" w:before="0"/>
            </w:pPr>
            <w:r/>
            <w:r>
              <w:rPr>
                <w:b w:val="0"/>
                <w:i w:val="0"/>
                <w:sz w:val="15"/>
              </w:rPr>
              <w:t>project cost at financial close AU</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Hazelwood BESS [AUSTRALIA]</w:t>
            </w:r>
          </w:p>
        </w:tc>
        <w:tc>
          <w:tcPr>
            <w:tcW w:type="dxa" w:w="720"/>
          </w:tcPr>
          <w:p>
            <w:pPr>
              <w:spacing w:after="0" w:before="0"/>
            </w:pPr>
            <w:r/>
            <w:r>
              <w:rPr>
                <w:b w:val="0"/>
                <w:i w:val="0"/>
                <w:sz w:val="15"/>
              </w:rPr>
              <w:t>VIC (Australia)</w:t>
            </w:r>
          </w:p>
        </w:tc>
        <w:tc>
          <w:tcPr>
            <w:tcW w:type="dxa" w:w="576"/>
          </w:tcPr>
          <w:p>
            <w:pPr>
              <w:spacing w:after="0" w:before="0"/>
              <w:jc w:val="right"/>
            </w:pPr>
            <w:r/>
            <w:r>
              <w:rPr>
                <w:b w:val="0"/>
                <w:i w:val="0"/>
                <w:sz w:val="15"/>
              </w:rPr>
              <w:t>150</w:t>
            </w:r>
          </w:p>
        </w:tc>
        <w:tc>
          <w:tcPr>
            <w:tcW w:type="dxa" w:w="648"/>
          </w:tcPr>
          <w:p>
            <w:pPr>
              <w:spacing w:after="0" w:before="0"/>
              <w:jc w:val="right"/>
            </w:pPr>
            <w:r/>
            <w:r>
              <w:rPr>
                <w:b w:val="0"/>
                <w:i w:val="0"/>
                <w:sz w:val="15"/>
              </w:rPr>
              <w:t>150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$100.0M</w:t>
            </w:r>
          </w:p>
        </w:tc>
        <w:tc>
          <w:tcPr>
            <w:tcW w:type="dxa" w:w="864"/>
          </w:tcPr>
          <w:p>
            <w:pPr>
              <w:spacing w:after="0" w:before="0"/>
              <w:jc w:val="right"/>
            </w:pPr>
            <w:r/>
            <w:r>
              <w:rPr>
                <w:b w:val="0"/>
                <w:i w:val="0"/>
                <w:sz w:val="15"/>
              </w:rPr>
              <w:t>$667</w:t>
            </w:r>
          </w:p>
        </w:tc>
        <w:tc>
          <w:tcPr>
            <w:tcW w:type="dxa" w:w="1944"/>
          </w:tcPr>
          <w:p>
            <w:pPr>
              <w:spacing w:after="0" w:before="0"/>
            </w:pPr>
            <w:r/>
            <w:r>
              <w:rPr>
                <w:b w:val="0"/>
                <w:i w:val="0"/>
                <w:sz w:val="15"/>
              </w:rPr>
              <w:t xml:space="preserve">press: estimated project cost AUD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Waena BESS (Maui)</w:t>
            </w:r>
          </w:p>
        </w:tc>
        <w:tc>
          <w:tcPr>
            <w:tcW w:type="dxa" w:w="720"/>
            <w:shd w:val="clear" w:color="auto" w:fill="F2F4F8"/>
          </w:tcPr>
          <w:p>
            <w:pPr>
              <w:spacing w:after="0" w:before="0"/>
            </w:pPr>
            <w:r/>
            <w:r>
              <w:rPr>
                <w:b w:val="0"/>
                <w:i w:val="0"/>
                <w:sz w:val="15"/>
              </w:rPr>
              <w:t>HI</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160</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$82.1M</w:t>
            </w:r>
          </w:p>
        </w:tc>
        <w:tc>
          <w:tcPr>
            <w:tcW w:type="dxa" w:w="864"/>
            <w:shd w:val="clear" w:color="auto" w:fill="F2F4F8"/>
          </w:tcPr>
          <w:p>
            <w:pPr>
              <w:spacing w:after="0" w:before="0"/>
              <w:jc w:val="right"/>
            </w:pPr>
            <w:r/>
            <w:r>
              <w:rPr>
                <w:b w:val="0"/>
                <w:i w:val="0"/>
                <w:sz w:val="15"/>
              </w:rPr>
              <w:t>$513</w:t>
            </w:r>
          </w:p>
        </w:tc>
        <w:tc>
          <w:tcPr>
            <w:tcW w:type="dxa" w:w="1944"/>
            <w:shd w:val="clear" w:color="auto" w:fill="F2F4F8"/>
          </w:tcPr>
          <w:p>
            <w:pPr>
              <w:spacing w:after="0" w:before="0"/>
            </w:pPr>
            <w:r/>
            <w:r>
              <w:rPr>
                <w:b w:val="0"/>
                <w:i w:val="0"/>
                <w:sz w:val="15"/>
              </w:rPr>
              <w:t>approved budget/estimate (HPUC Dec</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Jurassic BESS [CANADA]</w:t>
            </w:r>
          </w:p>
        </w:tc>
        <w:tc>
          <w:tcPr>
            <w:tcW w:type="dxa" w:w="720"/>
          </w:tcPr>
          <w:p>
            <w:pPr>
              <w:spacing w:after="0" w:before="0"/>
            </w:pPr>
            <w:r/>
            <w:r>
              <w:rPr>
                <w:b w:val="0"/>
                <w:i w:val="0"/>
                <w:sz w:val="15"/>
              </w:rPr>
              <w:t>AB (Canada)</w:t>
            </w:r>
          </w:p>
        </w:tc>
        <w:tc>
          <w:tcPr>
            <w:tcW w:type="dxa" w:w="576"/>
          </w:tcPr>
          <w:p>
            <w:pPr>
              <w:spacing w:after="0" w:before="0"/>
              <w:jc w:val="right"/>
            </w:pPr>
            <w:r/>
            <w:r>
              <w:rPr>
                <w:b w:val="0"/>
                <w:i w:val="0"/>
                <w:sz w:val="15"/>
              </w:rPr>
              <w:t>80</w:t>
            </w:r>
          </w:p>
        </w:tc>
        <w:tc>
          <w:tcPr>
            <w:tcW w:type="dxa" w:w="648"/>
          </w:tcPr>
          <w:p>
            <w:pPr>
              <w:spacing w:after="0" w:before="0"/>
              <w:jc w:val="right"/>
            </w:pPr>
            <w:r/>
            <w:r>
              <w:rPr>
                <w:b w:val="0"/>
                <w:i w:val="0"/>
                <w:sz w:val="15"/>
              </w:rPr>
              <w:t>160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$88.8M</w:t>
            </w:r>
          </w:p>
        </w:tc>
        <w:tc>
          <w:tcPr>
            <w:tcW w:type="dxa" w:w="864"/>
          </w:tcPr>
          <w:p>
            <w:pPr>
              <w:spacing w:after="0" w:before="0"/>
              <w:jc w:val="right"/>
            </w:pPr>
            <w:r/>
            <w:r>
              <w:rPr>
                <w:b w:val="0"/>
                <w:i w:val="0"/>
                <w:sz w:val="15"/>
              </w:rPr>
              <w:t>$555</w:t>
            </w:r>
          </w:p>
        </w:tc>
        <w:tc>
          <w:tcPr>
            <w:tcW w:type="dxa" w:w="1944"/>
          </w:tcPr>
          <w:p>
            <w:pPr>
              <w:spacing w:after="0" w:before="0"/>
            </w:pPr>
            <w:r/>
            <w:r>
              <w:rPr>
                <w:b w:val="0"/>
                <w:i w:val="0"/>
                <w:sz w:val="15"/>
              </w:rPr>
              <w:t xml:space="preserve">estimated total cost at financial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Homer Electric second BESS (Soldotna area 45</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45</w:t>
            </w:r>
          </w:p>
        </w:tc>
        <w:tc>
          <w:tcPr>
            <w:tcW w:type="dxa" w:w="648"/>
            <w:shd w:val="clear" w:color="auto" w:fill="F2F4F8"/>
          </w:tcPr>
          <w:p>
            <w:pPr>
              <w:spacing w:after="0" w:before="0"/>
              <w:jc w:val="right"/>
            </w:pPr>
            <w:r/>
            <w:r>
              <w:rPr>
                <w:b w:val="0"/>
                <w:i w:val="0"/>
                <w:sz w:val="15"/>
              </w:rPr>
              <w:t>180</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$112.0M</w:t>
            </w:r>
          </w:p>
        </w:tc>
        <w:tc>
          <w:tcPr>
            <w:tcW w:type="dxa" w:w="864"/>
            <w:shd w:val="clear" w:color="auto" w:fill="F2F4F8"/>
          </w:tcPr>
          <w:p>
            <w:pPr>
              <w:spacing w:after="0" w:before="0"/>
              <w:jc w:val="right"/>
            </w:pPr>
            <w:r/>
            <w:r>
              <w:rPr>
                <w:b w:val="0"/>
                <w:i w:val="0"/>
                <w:sz w:val="15"/>
              </w:rPr>
              <w:t>$622</w:t>
            </w:r>
          </w:p>
        </w:tc>
        <w:tc>
          <w:tcPr>
            <w:tcW w:type="dxa" w:w="1944"/>
            <w:shd w:val="clear" w:color="auto" w:fill="F2F4F8"/>
          </w:tcPr>
          <w:p>
            <w:pPr>
              <w:spacing w:after="0" w:before="0"/>
            </w:pPr>
            <w:r/>
            <w:r>
              <w:rPr>
                <w:b w:val="0"/>
                <w:i w:val="0"/>
                <w:sz w:val="15"/>
              </w:rPr>
              <w:t>NRECA via USDA PACE: roughly $112M</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Kwinana BESS Stage 1 [AUSTRALIA]</w:t>
            </w:r>
          </w:p>
        </w:tc>
        <w:tc>
          <w:tcPr>
            <w:tcW w:type="dxa" w:w="720"/>
          </w:tcPr>
          <w:p>
            <w:pPr>
              <w:spacing w:after="0" w:before="0"/>
            </w:pPr>
            <w:r/>
            <w:r>
              <w:rPr>
                <w:b w:val="0"/>
                <w:i w:val="0"/>
                <w:sz w:val="15"/>
              </w:rPr>
              <w:t>WA (Australia)</w:t>
            </w:r>
          </w:p>
        </w:tc>
        <w:tc>
          <w:tcPr>
            <w:tcW w:type="dxa" w:w="576"/>
          </w:tcPr>
          <w:p>
            <w:pPr>
              <w:spacing w:after="0" w:before="0"/>
              <w:jc w:val="right"/>
            </w:pPr>
            <w:r/>
            <w:r>
              <w:rPr>
                <w:b w:val="0"/>
                <w:i w:val="0"/>
                <w:sz w:val="15"/>
              </w:rPr>
              <w:t>100</w:t>
            </w:r>
          </w:p>
        </w:tc>
        <w:tc>
          <w:tcPr>
            <w:tcW w:type="dxa" w:w="648"/>
          </w:tcPr>
          <w:p>
            <w:pPr>
              <w:spacing w:after="0" w:before="0"/>
              <w:jc w:val="right"/>
            </w:pPr>
            <w:r/>
            <w:r>
              <w:rPr>
                <w:b w:val="0"/>
                <w:i w:val="0"/>
                <w:sz w:val="15"/>
              </w:rPr>
              <w:t>200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$103.5M</w:t>
            </w:r>
          </w:p>
        </w:tc>
        <w:tc>
          <w:tcPr>
            <w:tcW w:type="dxa" w:w="864"/>
          </w:tcPr>
          <w:p>
            <w:pPr>
              <w:spacing w:after="0" w:before="0"/>
              <w:jc w:val="right"/>
            </w:pPr>
            <w:r/>
            <w:r>
              <w:rPr>
                <w:b w:val="0"/>
                <w:i w:val="0"/>
                <w:sz w:val="15"/>
              </w:rPr>
              <w:t>$518</w:t>
            </w:r>
          </w:p>
        </w:tc>
        <w:tc>
          <w:tcPr>
            <w:tcW w:type="dxa" w:w="1944"/>
          </w:tcPr>
          <w:p>
            <w:pPr>
              <w:spacing w:after="0" w:before="0"/>
            </w:pPr>
            <w:r/>
            <w:r>
              <w:rPr>
                <w:b w:val="0"/>
                <w:i w:val="0"/>
                <w:sz w:val="15"/>
              </w:rPr>
              <w:t>final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Chinchilla Battery [AUSTRALIA]</w:t>
            </w:r>
          </w:p>
        </w:tc>
        <w:tc>
          <w:tcPr>
            <w:tcW w:type="dxa" w:w="720"/>
            <w:shd w:val="clear" w:color="auto" w:fill="F2F4F8"/>
          </w:tcPr>
          <w:p>
            <w:pPr>
              <w:spacing w:after="0" w:before="0"/>
            </w:pPr>
            <w:r/>
            <w:r>
              <w:rPr>
                <w:b w:val="0"/>
                <w:i w:val="0"/>
                <w:sz w:val="15"/>
              </w:rPr>
              <w:t>QLD (Australia)</w:t>
            </w:r>
          </w:p>
        </w:tc>
        <w:tc>
          <w:tcPr>
            <w:tcW w:type="dxa" w:w="576"/>
            <w:shd w:val="clear" w:color="auto" w:fill="F2F4F8"/>
          </w:tcPr>
          <w:p>
            <w:pPr>
              <w:spacing w:after="0" w:before="0"/>
              <w:jc w:val="right"/>
            </w:pPr>
            <w:r/>
            <w:r>
              <w:rPr>
                <w:b w:val="0"/>
                <w:i w:val="0"/>
                <w:sz w:val="15"/>
              </w:rPr>
              <w:t>100</w:t>
            </w:r>
          </w:p>
        </w:tc>
        <w:tc>
          <w:tcPr>
            <w:tcW w:type="dxa" w:w="648"/>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$100.0M</w:t>
            </w:r>
          </w:p>
        </w:tc>
        <w:tc>
          <w:tcPr>
            <w:tcW w:type="dxa" w:w="864"/>
            <w:shd w:val="clear" w:color="auto" w:fill="F2F4F8"/>
          </w:tcPr>
          <w:p>
            <w:pPr>
              <w:spacing w:after="0" w:before="0"/>
              <w:jc w:val="right"/>
            </w:pPr>
            <w:r/>
            <w:r>
              <w:rPr>
                <w:b w:val="0"/>
                <w:i w:val="0"/>
                <w:sz w:val="15"/>
              </w:rPr>
              <w:t>$500</w:t>
            </w:r>
          </w:p>
        </w:tc>
        <w:tc>
          <w:tcPr>
            <w:tcW w:type="dxa" w:w="1944"/>
            <w:shd w:val="clear" w:color="auto" w:fill="F2F4F8"/>
          </w:tcPr>
          <w:p>
            <w:pPr>
              <w:spacing w:after="0" w:before="0"/>
            </w:pPr>
            <w:r/>
            <w:r>
              <w:rPr>
                <w:b w:val="0"/>
                <w:i w:val="0"/>
                <w:sz w:val="15"/>
              </w:rPr>
              <w:t>CS Energy fact sheet: AUD 150M inv</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Constable (Evergreen)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75</w:t>
            </w:r>
          </w:p>
        </w:tc>
        <w:tc>
          <w:tcPr>
            <w:tcW w:type="dxa" w:w="648"/>
          </w:tcPr>
          <w:p>
            <w:pPr>
              <w:spacing w:after="0" w:before="0"/>
              <w:jc w:val="right"/>
            </w:pPr>
            <w:r/>
            <w:r>
              <w:rPr>
                <w:b w:val="0"/>
                <w:i w:val="0"/>
                <w:sz w:val="15"/>
              </w:rPr>
              <w:t>300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$156.0M</w:t>
            </w:r>
          </w:p>
        </w:tc>
        <w:tc>
          <w:tcPr>
            <w:tcW w:type="dxa" w:w="864"/>
          </w:tcPr>
          <w:p>
            <w:pPr>
              <w:spacing w:after="0" w:before="0"/>
              <w:jc w:val="right"/>
            </w:pPr>
            <w:r/>
            <w:r>
              <w:rPr>
                <w:b w:val="0"/>
                <w:i w:val="0"/>
                <w:sz w:val="15"/>
              </w:rPr>
              <w:t>$520</w:t>
            </w:r>
          </w:p>
        </w:tc>
        <w:tc>
          <w:tcPr>
            <w:tcW w:type="dxa" w:w="1944"/>
          </w:tcPr>
          <w:p>
            <w:pPr>
              <w:spacing w:after="0" w:before="0"/>
            </w:pPr>
            <w:r/>
            <w:r>
              <w:rPr>
                <w:b w:val="0"/>
                <w:i w:val="0"/>
                <w:sz w:val="15"/>
              </w:rPr>
              <w:t>final/actual (Electric Utility Pla</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Oglethorpe Power three-site BESS (GRIP)</w:t>
            </w:r>
          </w:p>
        </w:tc>
        <w:tc>
          <w:tcPr>
            <w:tcW w:type="dxa" w:w="720"/>
            <w:shd w:val="clear" w:color="auto" w:fill="F2F4F8"/>
          </w:tcPr>
          <w:p>
            <w:pPr>
              <w:spacing w:after="0" w:before="0"/>
            </w:pPr>
            <w:r/>
            <w:r>
              <w:rPr>
                <w:b w:val="0"/>
                <w:i w:val="0"/>
                <w:sz w:val="15"/>
              </w:rPr>
              <w:t>GA</w:t>
            </w:r>
          </w:p>
        </w:tc>
        <w:tc>
          <w:tcPr>
            <w:tcW w:type="dxa" w:w="576"/>
            <w:shd w:val="clear" w:color="auto" w:fill="F2F4F8"/>
          </w:tcPr>
          <w:p>
            <w:pPr>
              <w:spacing w:after="0" w:before="0"/>
              <w:jc w:val="right"/>
            </w:pPr>
            <w:r/>
            <w:r>
              <w:rPr>
                <w:b w:val="0"/>
                <w:i w:val="0"/>
                <w:sz w:val="15"/>
              </w:rPr>
              <w:t>75</w:t>
            </w:r>
          </w:p>
        </w:tc>
        <w:tc>
          <w:tcPr>
            <w:tcW w:type="dxa" w:w="648"/>
            <w:shd w:val="clear" w:color="auto" w:fill="F2F4F8"/>
          </w:tcPr>
          <w:p>
            <w:pPr>
              <w:spacing w:after="0" w:before="0"/>
              <w:jc w:val="right"/>
            </w:pPr>
            <w:r/>
            <w:r>
              <w:rPr>
                <w:b w:val="0"/>
                <w:i w:val="0"/>
                <w:sz w:val="15"/>
              </w:rPr>
              <w:t>300</w:t>
            </w:r>
          </w:p>
        </w:tc>
        <w:tc>
          <w:tcPr>
            <w:tcW w:type="dxa" w:w="648"/>
            <w:shd w:val="clear" w:color="auto" w:fill="F2F4F8"/>
          </w:tcPr>
          <w:p>
            <w:pPr>
              <w:spacing w:after="0" w:before="0"/>
              <w:jc w:val="right"/>
            </w:pPr>
            <w:r/>
            <w:r>
              <w:rPr>
                <w:b w:val="0"/>
                <w:i w:val="0"/>
                <w:sz w:val="15"/>
              </w:rPr>
              <w:t>2030</w:t>
            </w:r>
          </w:p>
        </w:tc>
        <w:tc>
          <w:tcPr>
            <w:tcW w:type="dxa" w:w="1008"/>
            <w:shd w:val="clear" w:color="auto" w:fill="F2F4F8"/>
          </w:tcPr>
          <w:p>
            <w:pPr>
              <w:spacing w:after="0" w:before="0"/>
              <w:jc w:val="right"/>
            </w:pPr>
            <w:r/>
            <w:r>
              <w:rPr>
                <w:b w:val="0"/>
                <w:i w:val="0"/>
                <w:sz w:val="15"/>
              </w:rPr>
              <w:t>$240.0M</w:t>
            </w:r>
          </w:p>
        </w:tc>
        <w:tc>
          <w:tcPr>
            <w:tcW w:type="dxa" w:w="864"/>
            <w:shd w:val="clear" w:color="auto" w:fill="F2F4F8"/>
          </w:tcPr>
          <w:p>
            <w:pPr>
              <w:spacing w:after="0" w:before="0"/>
              <w:jc w:val="right"/>
            </w:pPr>
            <w:r/>
            <w:r>
              <w:rPr>
                <w:b w:val="0"/>
                <w:i w:val="0"/>
                <w:sz w:val="15"/>
              </w:rPr>
              <w:t>$800</w:t>
            </w:r>
          </w:p>
        </w:tc>
        <w:tc>
          <w:tcPr>
            <w:tcW w:type="dxa" w:w="1944"/>
            <w:shd w:val="clear" w:color="auto" w:fill="F2F4F8"/>
          </w:tcPr>
          <w:p>
            <w:pPr>
              <w:spacing w:after="0" w:before="0"/>
            </w:pPr>
            <w:r/>
            <w:r>
              <w:rPr>
                <w:b w:val="0"/>
                <w:i w:val="0"/>
                <w:sz w:val="15"/>
              </w:rPr>
              <w:t xml:space="preserve">Oglethorpe FY2024 10-K: estimated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Tilbury Battery Storage [CANADA]</w:t>
            </w:r>
          </w:p>
        </w:tc>
        <w:tc>
          <w:tcPr>
            <w:tcW w:type="dxa" w:w="720"/>
          </w:tcPr>
          <w:p>
            <w:pPr>
              <w:spacing w:after="0" w:before="0"/>
            </w:pPr>
            <w:r/>
            <w:r>
              <w:rPr>
                <w:b w:val="0"/>
                <w:i w:val="0"/>
                <w:sz w:val="15"/>
              </w:rPr>
              <w:t>ON (Canada)</w:t>
            </w:r>
          </w:p>
        </w:tc>
        <w:tc>
          <w:tcPr>
            <w:tcW w:type="dxa" w:w="576"/>
          </w:tcPr>
          <w:p>
            <w:pPr>
              <w:spacing w:after="0" w:before="0"/>
              <w:jc w:val="right"/>
            </w:pPr>
            <w:r/>
            <w:r>
              <w:rPr>
                <w:b w:val="0"/>
                <w:i w:val="0"/>
                <w:sz w:val="15"/>
              </w:rPr>
              <w:t>80</w:t>
            </w:r>
          </w:p>
        </w:tc>
        <w:tc>
          <w:tcPr>
            <w:tcW w:type="dxa" w:w="648"/>
          </w:tcPr>
          <w:p>
            <w:pPr>
              <w:spacing w:after="0" w:before="0"/>
              <w:jc w:val="right"/>
            </w:pPr>
            <w:r/>
            <w:r>
              <w:rPr>
                <w:b w:val="0"/>
                <w:i w:val="0"/>
                <w:sz w:val="15"/>
              </w:rPr>
              <w:t>320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$125.8M</w:t>
            </w:r>
          </w:p>
        </w:tc>
        <w:tc>
          <w:tcPr>
            <w:tcW w:type="dxa" w:w="864"/>
          </w:tcPr>
          <w:p>
            <w:pPr>
              <w:spacing w:after="0" w:before="0"/>
              <w:jc w:val="right"/>
            </w:pPr>
            <w:r/>
            <w:r>
              <w:rPr>
                <w:b w:val="0"/>
                <w:i w:val="0"/>
                <w:sz w:val="15"/>
              </w:rPr>
              <w:t>$393</w:t>
            </w:r>
          </w:p>
        </w:tc>
        <w:tc>
          <w:tcPr>
            <w:tcW w:type="dxa" w:w="1944"/>
          </w:tcPr>
          <w:p>
            <w:pPr>
              <w:spacing w:after="0" w:before="0"/>
            </w:pPr>
            <w:r/>
            <w:r>
              <w:rPr>
                <w:b w:val="0"/>
                <w:i w:val="0"/>
                <w:sz w:val="15"/>
              </w:rPr>
              <w:t>Ontario government release: projec</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Hemingway BESS (Idaho Power)</w:t>
            </w:r>
          </w:p>
        </w:tc>
        <w:tc>
          <w:tcPr>
            <w:tcW w:type="dxa" w:w="720"/>
            <w:shd w:val="clear" w:color="auto" w:fill="F2F4F8"/>
          </w:tcPr>
          <w:p>
            <w:pPr>
              <w:spacing w:after="0" w:before="0"/>
            </w:pPr>
            <w:r/>
            <w:r>
              <w:rPr>
                <w:b w:val="0"/>
                <w:i w:val="0"/>
                <w:sz w:val="15"/>
              </w:rPr>
              <w:t>ID</w:t>
            </w:r>
          </w:p>
        </w:tc>
        <w:tc>
          <w:tcPr>
            <w:tcW w:type="dxa" w:w="576"/>
            <w:shd w:val="clear" w:color="auto" w:fill="F2F4F8"/>
          </w:tcPr>
          <w:p>
            <w:pPr>
              <w:spacing w:after="0" w:before="0"/>
              <w:jc w:val="right"/>
            </w:pPr>
            <w:r/>
            <w:r>
              <w:rPr>
                <w:b w:val="0"/>
                <w:i w:val="0"/>
                <w:sz w:val="15"/>
              </w:rPr>
              <w:t>80</w:t>
            </w:r>
          </w:p>
        </w:tc>
        <w:tc>
          <w:tcPr>
            <w:tcW w:type="dxa" w:w="648"/>
            <w:shd w:val="clear" w:color="auto" w:fill="F2F4F8"/>
          </w:tcPr>
          <w:p>
            <w:pPr>
              <w:spacing w:after="0" w:before="0"/>
              <w:jc w:val="right"/>
            </w:pPr>
            <w:r/>
            <w:r>
              <w:rPr>
                <w:b w:val="0"/>
                <w:i w:val="0"/>
                <w:sz w:val="15"/>
              </w:rPr>
              <w:t>320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$100.5M</w:t>
            </w:r>
          </w:p>
        </w:tc>
        <w:tc>
          <w:tcPr>
            <w:tcW w:type="dxa" w:w="864"/>
            <w:shd w:val="clear" w:color="auto" w:fill="F2F4F8"/>
          </w:tcPr>
          <w:p>
            <w:pPr>
              <w:spacing w:after="0" w:before="0"/>
              <w:jc w:val="right"/>
            </w:pPr>
            <w:r/>
            <w:r>
              <w:rPr>
                <w:b w:val="0"/>
                <w:i w:val="0"/>
                <w:sz w:val="15"/>
              </w:rPr>
              <w:t>$314</w:t>
            </w:r>
          </w:p>
        </w:tc>
        <w:tc>
          <w:tcPr>
            <w:tcW w:type="dxa" w:w="1944"/>
            <w:shd w:val="clear" w:color="auto" w:fill="F2F4F8"/>
          </w:tcPr>
          <w:p>
            <w:pPr>
              <w:spacing w:after="0" w:before="0"/>
            </w:pPr>
            <w:r/>
            <w:r>
              <w:rPr>
                <w:b w:val="0"/>
                <w:i w:val="0"/>
                <w:sz w:val="15"/>
              </w:rPr>
              <w:t>IPUC Staff comments IPC-E-22-13: 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Edgewater BESS (Alliant / WPL)</w:t>
            </w:r>
          </w:p>
        </w:tc>
        <w:tc>
          <w:tcPr>
            <w:tcW w:type="dxa" w:w="720"/>
          </w:tcPr>
          <w:p>
            <w:pPr>
              <w:spacing w:after="0" w:before="0"/>
            </w:pPr>
            <w:r/>
            <w:r>
              <w:rPr>
                <w:b w:val="0"/>
                <w:i w:val="0"/>
                <w:sz w:val="15"/>
              </w:rPr>
              <w:t>WI</w:t>
            </w:r>
          </w:p>
        </w:tc>
        <w:tc>
          <w:tcPr>
            <w:tcW w:type="dxa" w:w="576"/>
          </w:tcPr>
          <w:p>
            <w:pPr>
              <w:spacing w:after="0" w:before="0"/>
              <w:jc w:val="right"/>
            </w:pPr>
            <w:r/>
            <w:r>
              <w:rPr>
                <w:b w:val="0"/>
                <w:i w:val="0"/>
                <w:sz w:val="15"/>
              </w:rPr>
              <w:t>99</w:t>
            </w:r>
          </w:p>
        </w:tc>
        <w:tc>
          <w:tcPr>
            <w:tcW w:type="dxa" w:w="648"/>
          </w:tcPr>
          <w:p>
            <w:pPr>
              <w:spacing w:after="0" w:before="0"/>
              <w:jc w:val="right"/>
            </w:pPr>
            <w:r/>
            <w:r>
              <w:rPr>
                <w:b w:val="0"/>
                <w:i w:val="0"/>
                <w:sz w:val="15"/>
              </w:rPr>
              <w:t>396</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$200.0M</w:t>
            </w:r>
          </w:p>
        </w:tc>
        <w:tc>
          <w:tcPr>
            <w:tcW w:type="dxa" w:w="864"/>
          </w:tcPr>
          <w:p>
            <w:pPr>
              <w:spacing w:after="0" w:before="0"/>
              <w:jc w:val="right"/>
            </w:pPr>
            <w:r/>
            <w:r>
              <w:rPr>
                <w:b w:val="0"/>
                <w:i w:val="0"/>
                <w:sz w:val="15"/>
              </w:rPr>
              <w:t>$505</w:t>
            </w:r>
          </w:p>
        </w:tc>
        <w:tc>
          <w:tcPr>
            <w:tcW w:type="dxa" w:w="1944"/>
          </w:tcPr>
          <w:p>
            <w:pPr>
              <w:spacing w:after="0" w:before="0"/>
            </w:pPr>
            <w:r/>
            <w:r>
              <w:rPr>
                <w:b w:val="0"/>
                <w:i w:val="0"/>
                <w:sz w:val="15"/>
              </w:rPr>
              <w:t>utility press release / PSCW appli</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Reid Gardner BESS</w:t>
            </w:r>
          </w:p>
        </w:tc>
        <w:tc>
          <w:tcPr>
            <w:tcW w:type="dxa" w:w="720"/>
            <w:shd w:val="clear" w:color="auto" w:fill="F2F4F8"/>
          </w:tcPr>
          <w:p>
            <w:pPr>
              <w:spacing w:after="0" w:before="0"/>
            </w:pPr>
            <w:r/>
            <w:r>
              <w:rPr>
                <w:b w:val="0"/>
                <w:i w:val="0"/>
                <w:sz w:val="15"/>
              </w:rPr>
              <w:t>NV</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440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$257.0M</w:t>
            </w:r>
          </w:p>
        </w:tc>
        <w:tc>
          <w:tcPr>
            <w:tcW w:type="dxa" w:w="864"/>
            <w:shd w:val="clear" w:color="auto" w:fill="F2F4F8"/>
          </w:tcPr>
          <w:p>
            <w:pPr>
              <w:spacing w:after="0" w:before="0"/>
              <w:jc w:val="right"/>
            </w:pPr>
            <w:r/>
            <w:r>
              <w:rPr>
                <w:b w:val="0"/>
                <w:i w:val="0"/>
                <w:sz w:val="15"/>
              </w:rPr>
              <w:t>$584</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Nova Scotia BESS portfolio (Bridgewater, Wav</w:t>
            </w:r>
          </w:p>
        </w:tc>
        <w:tc>
          <w:tcPr>
            <w:tcW w:type="dxa" w:w="720"/>
          </w:tcPr>
          <w:p>
            <w:pPr>
              <w:spacing w:after="0" w:before="0"/>
            </w:pPr>
            <w:r/>
            <w:r>
              <w:rPr>
                <w:b w:val="0"/>
                <w:i w:val="0"/>
                <w:sz w:val="15"/>
              </w:rPr>
              <w:t>NS (Canada)</w:t>
            </w:r>
          </w:p>
        </w:tc>
        <w:tc>
          <w:tcPr>
            <w:tcW w:type="dxa" w:w="576"/>
          </w:tcPr>
          <w:p>
            <w:pPr>
              <w:spacing w:after="0" w:before="0"/>
              <w:jc w:val="right"/>
            </w:pPr>
            <w:r/>
            <w:r>
              <w:rPr>
                <w:b w:val="0"/>
                <w:i w:val="0"/>
                <w:sz w:val="15"/>
              </w:rPr>
              <w:t>150</w:t>
            </w:r>
          </w:p>
        </w:tc>
        <w:tc>
          <w:tcPr>
            <w:tcW w:type="dxa" w:w="648"/>
          </w:tcPr>
          <w:p>
            <w:pPr>
              <w:spacing w:after="0" w:before="0"/>
              <w:jc w:val="right"/>
            </w:pPr>
            <w:r/>
            <w:r>
              <w:rPr>
                <w:b w:val="0"/>
                <w:i w:val="0"/>
                <w:sz w:val="15"/>
              </w:rPr>
              <w:t>600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$258.0M</w:t>
            </w:r>
          </w:p>
        </w:tc>
        <w:tc>
          <w:tcPr>
            <w:tcW w:type="dxa" w:w="864"/>
          </w:tcPr>
          <w:p>
            <w:pPr>
              <w:spacing w:after="0" w:before="0"/>
              <w:jc w:val="right"/>
            </w:pPr>
            <w:r/>
            <w:r>
              <w:rPr>
                <w:b w:val="0"/>
                <w:i w:val="0"/>
                <w:sz w:val="15"/>
              </w:rPr>
              <w:t>$430</w:t>
            </w:r>
          </w:p>
        </w:tc>
        <w:tc>
          <w:tcPr>
            <w:tcW w:type="dxa" w:w="1944"/>
          </w:tcPr>
          <w:p>
            <w:pPr>
              <w:spacing w:after="0" w:before="0"/>
            </w:pPr>
            <w:r/>
            <w:r>
              <w:rPr>
                <w:b w:val="0"/>
                <w:i w:val="0"/>
                <w:sz w:val="15"/>
              </w:rPr>
              <w:t>approved budget (NSUARB) incl. AFU</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Nova Scotia Power BESS portfolio (Bridgewate</w:t>
            </w:r>
          </w:p>
        </w:tc>
        <w:tc>
          <w:tcPr>
            <w:tcW w:type="dxa" w:w="720"/>
            <w:shd w:val="clear" w:color="auto" w:fill="F2F4F8"/>
          </w:tcPr>
          <w:p>
            <w:pPr>
              <w:spacing w:after="0" w:before="0"/>
            </w:pPr>
            <w:r/>
            <w:r>
              <w:rPr>
                <w:b w:val="0"/>
                <w:i w:val="0"/>
                <w:sz w:val="15"/>
              </w:rPr>
              <w:t>NS (Canada)</w:t>
            </w:r>
          </w:p>
        </w:tc>
        <w:tc>
          <w:tcPr>
            <w:tcW w:type="dxa" w:w="576"/>
            <w:shd w:val="clear" w:color="auto" w:fill="F2F4F8"/>
          </w:tcPr>
          <w:p>
            <w:pPr>
              <w:spacing w:after="0" w:before="0"/>
              <w:jc w:val="right"/>
            </w:pPr>
            <w:r/>
            <w:r>
              <w:rPr>
                <w:b w:val="0"/>
                <w:i w:val="0"/>
                <w:sz w:val="15"/>
              </w:rPr>
              <w:t>150</w:t>
            </w:r>
          </w:p>
        </w:tc>
        <w:tc>
          <w:tcPr>
            <w:tcW w:type="dxa" w:w="648"/>
            <w:shd w:val="clear" w:color="auto" w:fill="F2F4F8"/>
          </w:tcPr>
          <w:p>
            <w:pPr>
              <w:spacing w:after="0" w:before="0"/>
              <w:jc w:val="right"/>
            </w:pPr>
            <w:r/>
            <w:r>
              <w:rPr>
                <w:b w:val="0"/>
                <w:i w:val="0"/>
                <w:sz w:val="15"/>
              </w:rPr>
              <w:t>600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$262.0M</w:t>
            </w:r>
          </w:p>
        </w:tc>
        <w:tc>
          <w:tcPr>
            <w:tcW w:type="dxa" w:w="864"/>
            <w:shd w:val="clear" w:color="auto" w:fill="F2F4F8"/>
          </w:tcPr>
          <w:p>
            <w:pPr>
              <w:spacing w:after="0" w:before="0"/>
              <w:jc w:val="right"/>
            </w:pPr>
            <w:r/>
            <w:r>
              <w:rPr>
                <w:b w:val="0"/>
                <w:i w:val="0"/>
                <w:sz w:val="15"/>
              </w:rPr>
              <w:t>$437</w:t>
            </w:r>
          </w:p>
        </w:tc>
        <w:tc>
          <w:tcPr>
            <w:tcW w:type="dxa" w:w="1944"/>
            <w:shd w:val="clear" w:color="auto" w:fill="F2F4F8"/>
          </w:tcPr>
          <w:p>
            <w:pPr>
              <w:spacing w:after="0" w:before="0"/>
            </w:pPr>
            <w:r/>
            <w:r>
              <w:rPr>
                <w:b w:val="0"/>
                <w:i w:val="0"/>
                <w:sz w:val="15"/>
              </w:rPr>
              <w:t>NSUARB-approved capital CAD 354M f</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Seaside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$360.0M</w:t>
            </w:r>
          </w:p>
        </w:tc>
        <w:tc>
          <w:tcPr>
            <w:tcW w:type="dxa" w:w="864"/>
          </w:tcPr>
          <w:p>
            <w:pPr>
              <w:spacing w:after="0" w:before="0"/>
              <w:jc w:val="right"/>
            </w:pPr>
            <w:r/>
            <w:r>
              <w:rPr>
                <w:b w:val="0"/>
                <w:i w:val="0"/>
                <w:sz w:val="15"/>
              </w:rPr>
              <w:t>$450</w:t>
            </w:r>
          </w:p>
        </w:tc>
        <w:tc>
          <w:tcPr>
            <w:tcW w:type="dxa" w:w="1944"/>
          </w:tcPr>
          <w:p>
            <w:pPr>
              <w:spacing w:after="0" w:before="0"/>
            </w:pPr>
            <w:r/>
            <w:r>
              <w:rPr>
                <w:b w:val="0"/>
                <w:i w:val="0"/>
                <w:sz w:val="15"/>
              </w:rPr>
              <w:t>contract price (fixed-cost build-t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Roadrunner Reserve (Phase 1)</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$294.0M</w:t>
            </w:r>
          </w:p>
        </w:tc>
        <w:tc>
          <w:tcPr>
            <w:tcW w:type="dxa" w:w="864"/>
            <w:shd w:val="clear" w:color="auto" w:fill="F2F4F8"/>
          </w:tcPr>
          <w:p>
            <w:pPr>
              <w:spacing w:after="0" w:before="0"/>
              <w:jc w:val="right"/>
            </w:pPr>
            <w:r/>
            <w:r>
              <w:rPr>
                <w:b w:val="0"/>
                <w:i w:val="0"/>
                <w:sz w:val="15"/>
              </w:rPr>
              <w:t>$368</w:t>
            </w:r>
          </w:p>
        </w:tc>
        <w:tc>
          <w:tcPr>
            <w:tcW w:type="dxa" w:w="1944"/>
            <w:shd w:val="clear" w:color="auto" w:fill="F2F4F8"/>
          </w:tcPr>
          <w:p>
            <w:pPr>
              <w:spacing w:after="0" w:before="0"/>
            </w:pPr>
            <w:r/>
            <w:r>
              <w:rPr>
                <w:b w:val="0"/>
                <w:i w:val="0"/>
                <w:sz w:val="15"/>
              </w:rPr>
              <w:t>estimate at announcement (2023)</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Roadrunner Reserve 2 (Phase 2)</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estimate (utility statement)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Roadrunner Reserve (TEP)</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$294.0M</w:t>
            </w:r>
          </w:p>
        </w:tc>
        <w:tc>
          <w:tcPr>
            <w:tcW w:type="dxa" w:w="864"/>
            <w:shd w:val="clear" w:color="auto" w:fill="F2F4F8"/>
          </w:tcPr>
          <w:p>
            <w:pPr>
              <w:spacing w:after="0" w:before="0"/>
              <w:jc w:val="right"/>
            </w:pPr>
            <w:r/>
            <w:r>
              <w:rPr>
                <w:b w:val="0"/>
                <w:i w:val="0"/>
                <w:sz w:val="15"/>
              </w:rPr>
              <w:t>$368</w:t>
            </w:r>
          </w:p>
        </w:tc>
        <w:tc>
          <w:tcPr>
            <w:tcW w:type="dxa" w:w="1944"/>
            <w:shd w:val="clear" w:color="auto" w:fill="F2F4F8"/>
          </w:tcPr>
          <w:p>
            <w:pPr>
              <w:spacing w:after="0" w:before="0"/>
            </w:pPr>
            <w:r/>
            <w:r>
              <w:rPr>
                <w:b w:val="0"/>
                <w:i w:val="0"/>
                <w:sz w:val="15"/>
              </w:rPr>
              <w:t>SEC 8-K exhibit press release ($29</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Roadrunner Reserve II (TEP)</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 xml:space="preserve">utility statement via local press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Trenton Channel Energy Center BESS</w:t>
            </w:r>
          </w:p>
        </w:tc>
        <w:tc>
          <w:tcPr>
            <w:tcW w:type="dxa" w:w="720"/>
            <w:shd w:val="clear" w:color="auto" w:fill="F2F4F8"/>
          </w:tcPr>
          <w:p>
            <w:pPr>
              <w:spacing w:after="0" w:before="0"/>
            </w:pPr>
            <w:r/>
            <w:r>
              <w:rPr>
                <w:b w:val="0"/>
                <w:i w:val="0"/>
                <w:sz w:val="15"/>
              </w:rPr>
              <w:t>MI</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880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$460.0M</w:t>
            </w:r>
          </w:p>
        </w:tc>
        <w:tc>
          <w:tcPr>
            <w:tcW w:type="dxa" w:w="864"/>
            <w:shd w:val="clear" w:color="auto" w:fill="F2F4F8"/>
          </w:tcPr>
          <w:p>
            <w:pPr>
              <w:spacing w:after="0" w:before="0"/>
              <w:jc w:val="right"/>
            </w:pPr>
            <w:r/>
            <w:r>
              <w:rPr>
                <w:b w:val="0"/>
                <w:i w:val="0"/>
                <w:sz w:val="15"/>
              </w:rPr>
              <w:t>$523</w:t>
            </w:r>
          </w:p>
        </w:tc>
        <w:tc>
          <w:tcPr>
            <w:tcW w:type="dxa" w:w="1944"/>
            <w:shd w:val="clear" w:color="auto" w:fill="F2F4F8"/>
          </w:tcPr>
          <w:p>
            <w:pPr>
              <w:spacing w:after="0" w:before="0"/>
            </w:pPr>
            <w:r/>
            <w:r>
              <w:rPr>
                <w:b w:val="0"/>
                <w:i w:val="0"/>
                <w:sz w:val="15"/>
              </w:rPr>
              <w:t>approved estimate (MPSC, 2024)</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Trenton Channel BESS (DTE)</w:t>
            </w:r>
          </w:p>
        </w:tc>
        <w:tc>
          <w:tcPr>
            <w:tcW w:type="dxa" w:w="720"/>
          </w:tcPr>
          <w:p>
            <w:pPr>
              <w:spacing w:after="0" w:before="0"/>
            </w:pPr>
            <w:r/>
            <w:r>
              <w:rPr>
                <w:b w:val="0"/>
                <w:i w:val="0"/>
                <w:sz w:val="15"/>
              </w:rPr>
              <w:t>MI</w:t>
            </w:r>
          </w:p>
        </w:tc>
        <w:tc>
          <w:tcPr>
            <w:tcW w:type="dxa" w:w="576"/>
          </w:tcPr>
          <w:p>
            <w:pPr>
              <w:spacing w:after="0" w:before="0"/>
              <w:jc w:val="right"/>
            </w:pPr>
            <w:r/>
            <w:r>
              <w:rPr>
                <w:b w:val="0"/>
                <w:i w:val="0"/>
                <w:sz w:val="15"/>
              </w:rPr>
              <w:t>220</w:t>
            </w:r>
          </w:p>
        </w:tc>
        <w:tc>
          <w:tcPr>
            <w:tcW w:type="dxa" w:w="648"/>
          </w:tcPr>
          <w:p>
            <w:pPr>
              <w:spacing w:after="0" w:before="0"/>
              <w:jc w:val="right"/>
            </w:pPr>
            <w:r/>
            <w:r>
              <w:rPr>
                <w:b w:val="0"/>
                <w:i w:val="0"/>
                <w:sz w:val="15"/>
              </w:rPr>
              <w:t>880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$460.0M</w:t>
            </w:r>
          </w:p>
        </w:tc>
        <w:tc>
          <w:tcPr>
            <w:tcW w:type="dxa" w:w="864"/>
          </w:tcPr>
          <w:p>
            <w:pPr>
              <w:spacing w:after="0" w:before="0"/>
              <w:jc w:val="right"/>
            </w:pPr>
            <w:r/>
            <w:r>
              <w:rPr>
                <w:b w:val="0"/>
                <w:i w:val="0"/>
                <w:sz w:val="15"/>
              </w:rPr>
              <w:t>$523</w:t>
            </w:r>
          </w:p>
        </w:tc>
        <w:tc>
          <w:tcPr>
            <w:tcW w:type="dxa" w:w="1944"/>
          </w:tcPr>
          <w:p>
            <w:pPr>
              <w:spacing w:after="0" w:before="0"/>
            </w:pPr>
            <w:r/>
            <w:r>
              <w:rPr>
                <w:b w:val="0"/>
                <w:i w:val="0"/>
                <w:sz w:val="15"/>
              </w:rPr>
              <w:t>MPSC approval as reported: DTE ran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Oneida Energy Storage [CANADA]</w:t>
            </w:r>
          </w:p>
        </w:tc>
        <w:tc>
          <w:tcPr>
            <w:tcW w:type="dxa" w:w="720"/>
            <w:shd w:val="clear" w:color="auto" w:fill="F2F4F8"/>
          </w:tcPr>
          <w:p>
            <w:pPr>
              <w:spacing w:after="0" w:before="0"/>
            </w:pPr>
            <w:r/>
            <w:r>
              <w:rPr>
                <w:b w:val="0"/>
                <w:i w:val="0"/>
                <w:sz w:val="15"/>
              </w:rPr>
              <w:t>ON (Canada)</w:t>
            </w:r>
          </w:p>
        </w:tc>
        <w:tc>
          <w:tcPr>
            <w:tcW w:type="dxa" w:w="576"/>
            <w:shd w:val="clear" w:color="auto" w:fill="F2F4F8"/>
          </w:tcPr>
          <w:p>
            <w:pPr>
              <w:spacing w:after="0" w:before="0"/>
              <w:jc w:val="right"/>
            </w:pPr>
            <w:r/>
            <w:r>
              <w:rPr>
                <w:b w:val="0"/>
                <w:i w:val="0"/>
                <w:sz w:val="15"/>
              </w:rPr>
              <w:t>250</w:t>
            </w:r>
          </w:p>
        </w:tc>
        <w:tc>
          <w:tcPr>
            <w:tcW w:type="dxa" w:w="648"/>
            <w:shd w:val="clear" w:color="auto" w:fill="F2F4F8"/>
          </w:tcPr>
          <w:p>
            <w:pPr>
              <w:spacing w:after="0" w:before="0"/>
              <w:jc w:val="right"/>
            </w:pPr>
            <w:r/>
            <w:r>
              <w:rPr>
                <w:b w:val="0"/>
                <w:i w:val="0"/>
                <w:sz w:val="15"/>
              </w:rPr>
              <w:t>1000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$511.0M</w:t>
            </w:r>
          </w:p>
        </w:tc>
        <w:tc>
          <w:tcPr>
            <w:tcW w:type="dxa" w:w="864"/>
            <w:shd w:val="clear" w:color="auto" w:fill="F2F4F8"/>
          </w:tcPr>
          <w:p>
            <w:pPr>
              <w:spacing w:after="0" w:before="0"/>
              <w:jc w:val="right"/>
            </w:pPr>
            <w:r/>
            <w:r>
              <w:rPr>
                <w:b w:val="0"/>
                <w:i w:val="0"/>
                <w:sz w:val="15"/>
              </w:rPr>
              <w:t>$511</w:t>
            </w:r>
          </w:p>
        </w:tc>
        <w:tc>
          <w:tcPr>
            <w:tcW w:type="dxa" w:w="1944"/>
            <w:shd w:val="clear" w:color="auto" w:fill="F2F4F8"/>
          </w:tcPr>
          <w:p>
            <w:pPr>
              <w:spacing w:after="0" w:before="0"/>
            </w:pPr>
            <w:r/>
            <w:r>
              <w:rPr>
                <w:b w:val="0"/>
                <w:i w:val="0"/>
                <w:sz w:val="15"/>
              </w:rPr>
              <w:t xml:space="preserve">final/actual (reported ~C$700M vs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Frontier Energy Storage (OG&amp;E)</w:t>
            </w:r>
          </w:p>
        </w:tc>
        <w:tc>
          <w:tcPr>
            <w:tcW w:type="dxa" w:w="720"/>
          </w:tcPr>
          <w:p>
            <w:pPr>
              <w:spacing w:after="0" w:before="0"/>
            </w:pPr>
            <w:r/>
            <w:r>
              <w:rPr>
                <w:b w:val="0"/>
                <w:i w:val="0"/>
                <w:sz w:val="15"/>
              </w:rPr>
              <w:t>OK</w:t>
            </w:r>
          </w:p>
        </w:tc>
        <w:tc>
          <w:tcPr>
            <w:tcW w:type="dxa" w:w="576"/>
          </w:tcPr>
          <w:p>
            <w:pPr>
              <w:spacing w:after="0" w:before="0"/>
              <w:jc w:val="right"/>
            </w:pPr>
            <w:r/>
            <w:r>
              <w:rPr>
                <w:b w:val="0"/>
                <w:i w:val="0"/>
                <w:sz w:val="15"/>
              </w:rPr>
              <w:t>302</w:t>
            </w:r>
          </w:p>
        </w:tc>
        <w:tc>
          <w:tcPr>
            <w:tcW w:type="dxa" w:w="648"/>
          </w:tcPr>
          <w:p>
            <w:pPr>
              <w:spacing w:after="0" w:before="0"/>
              <w:jc w:val="right"/>
            </w:pPr>
            <w:r/>
            <w:r>
              <w:rPr>
                <w:b w:val="0"/>
                <w:i w:val="0"/>
                <w:sz w:val="15"/>
              </w:rPr>
              <w:t>1208</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$394.0M</w:t>
            </w:r>
          </w:p>
        </w:tc>
        <w:tc>
          <w:tcPr>
            <w:tcW w:type="dxa" w:w="864"/>
          </w:tcPr>
          <w:p>
            <w:pPr>
              <w:spacing w:after="0" w:before="0"/>
              <w:jc w:val="right"/>
            </w:pPr>
            <w:r/>
            <w:r>
              <w:rPr>
                <w:b w:val="0"/>
                <w:i w:val="0"/>
                <w:sz w:val="15"/>
              </w:rPr>
              <w:t>$326</w:t>
            </w:r>
          </w:p>
        </w:tc>
        <w:tc>
          <w:tcPr>
            <w:tcW w:type="dxa" w:w="1944"/>
          </w:tcPr>
          <w:p>
            <w:pPr>
              <w:spacing w:after="0" w:before="0"/>
            </w:pPr>
            <w:r/>
            <w:r>
              <w:rPr>
                <w:b w:val="0"/>
                <w:i w:val="0"/>
                <w:sz w:val="15"/>
              </w:rPr>
              <w:t>OCC approval as reported (about $3</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Sierra Solar storage portion (NV Energy)</w:t>
            </w:r>
          </w:p>
        </w:tc>
        <w:tc>
          <w:tcPr>
            <w:tcW w:type="dxa" w:w="720"/>
            <w:shd w:val="clear" w:color="auto" w:fill="F2F4F8"/>
          </w:tcPr>
          <w:p>
            <w:pPr>
              <w:spacing w:after="0" w:before="0"/>
            </w:pPr>
            <w:r/>
            <w:r>
              <w:rPr>
                <w:b w:val="0"/>
                <w:i w:val="0"/>
                <w:sz w:val="15"/>
              </w:rPr>
              <w:t>NV</w:t>
            </w:r>
          </w:p>
        </w:tc>
        <w:tc>
          <w:tcPr>
            <w:tcW w:type="dxa" w:w="576"/>
            <w:shd w:val="clear" w:color="auto" w:fill="F2F4F8"/>
          </w:tcPr>
          <w:p>
            <w:pPr>
              <w:spacing w:after="0" w:before="0"/>
              <w:jc w:val="right"/>
            </w:pPr>
            <w:r/>
            <w:r>
              <w:rPr>
                <w:b w:val="0"/>
                <w:i w:val="0"/>
                <w:sz w:val="15"/>
              </w:rPr>
              <w:t>400</w:t>
            </w:r>
          </w:p>
        </w:tc>
        <w:tc>
          <w:tcPr>
            <w:tcW w:type="dxa" w:w="648"/>
            <w:shd w:val="clear" w:color="auto" w:fill="F2F4F8"/>
          </w:tcPr>
          <w:p>
            <w:pPr>
              <w:spacing w:after="0" w:before="0"/>
              <w:jc w:val="right"/>
            </w:pPr>
            <w:r/>
            <w:r>
              <w:rPr>
                <w:b w:val="0"/>
                <w:i w:val="0"/>
                <w:sz w:val="15"/>
              </w:rPr>
              <w:t>1600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$731.0M</w:t>
            </w:r>
          </w:p>
        </w:tc>
        <w:tc>
          <w:tcPr>
            <w:tcW w:type="dxa" w:w="864"/>
            <w:shd w:val="clear" w:color="auto" w:fill="F2F4F8"/>
          </w:tcPr>
          <w:p>
            <w:pPr>
              <w:spacing w:after="0" w:before="0"/>
              <w:jc w:val="right"/>
            </w:pPr>
            <w:r/>
            <w:r>
              <w:rPr>
                <w:b w:val="0"/>
                <w:i w:val="0"/>
                <w:sz w:val="15"/>
              </w:rPr>
              <w:t>$457</w:t>
            </w:r>
          </w:p>
        </w:tc>
        <w:tc>
          <w:tcPr>
            <w:tcW w:type="dxa" w:w="1944"/>
            <w:shd w:val="clear" w:color="auto" w:fill="F2F4F8"/>
          </w:tcPr>
          <w:p>
            <w:pPr>
              <w:spacing w:after="0" w:before="0"/>
            </w:pPr>
            <w:r/>
            <w:r>
              <w:rPr>
                <w:b w:val="0"/>
                <w:i w:val="0"/>
                <w:sz w:val="15"/>
              </w:rPr>
              <w:t>PUCN IRP approval; storage portion</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SCE substation BESS portfolio (Springvale 22</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537</w:t>
            </w:r>
          </w:p>
        </w:tc>
        <w:tc>
          <w:tcPr>
            <w:tcW w:type="dxa" w:w="648"/>
          </w:tcPr>
          <w:p>
            <w:pPr>
              <w:spacing w:after="0" w:before="0"/>
              <w:jc w:val="right"/>
            </w:pPr>
            <w:r/>
            <w:r>
              <w:rPr>
                <w:b w:val="0"/>
                <w:i w:val="0"/>
                <w:sz w:val="15"/>
              </w:rPr>
              <w:t>2150</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$1,226.0M</w:t>
            </w:r>
          </w:p>
        </w:tc>
        <w:tc>
          <w:tcPr>
            <w:tcW w:type="dxa" w:w="864"/>
          </w:tcPr>
          <w:p>
            <w:pPr>
              <w:spacing w:after="0" w:before="0"/>
              <w:jc w:val="right"/>
            </w:pPr>
            <w:r/>
            <w:r>
              <w:rPr>
                <w:b w:val="0"/>
                <w:i w:val="0"/>
                <w:sz w:val="15"/>
              </w:rPr>
              <w:t>$570</w:t>
            </w:r>
          </w:p>
        </w:tc>
        <w:tc>
          <w:tcPr>
            <w:tcW w:type="dxa" w:w="1944"/>
          </w:tcPr>
          <w:p>
            <w:pPr>
              <w:spacing w:after="0" w:before="0"/>
            </w:pPr>
            <w:r/>
            <w:r>
              <w:rPr>
                <w:b w:val="0"/>
                <w:i w:val="0"/>
                <w:sz w:val="15"/>
              </w:rPr>
              <w:t>contract price (EPCM contract, CPU</w:t>
            </w:r>
          </w:p>
        </w:tc>
        <w:tc>
          <w:tcPr>
            <w:tcW w:type="dxa" w:w="936"/>
          </w:tcPr>
          <w:p>
            <w:pPr>
              <w:spacing w:after="0" w:before="0"/>
            </w:pPr>
            <w:r/>
            <w:r>
              <w:rPr>
                <w:b w:val="0"/>
                <w:i w:val="0"/>
                <w:sz w:val="15"/>
              </w:rPr>
              <w:t>High</w:t>
            </w:r>
          </w:p>
        </w:tc>
      </w:tr>
    </w:tbl>
    <w:p>
      <w:pPr>
        <w:spacing w:after="40"/>
      </w:pPr>
    </w:p>
    <w:p>
      <w:pPr>
        <w:pStyle w:val="Heading1"/>
      </w:pPr>
      <w:r>
        <w:t>3. Reference class: projects at or below 100 MWh, utility- and developer-owned</w:t>
      </w:r>
    </w:p>
    <w:p>
      <w:pPr>
        <w:spacing w:after="120"/>
      </w:pPr>
      <w:r>
        <w:rPr>
          <w:b w:val="0"/>
          <w:i w:val="0"/>
        </w:rPr>
        <w:t>The class was redefined on 2 October 2026 at a reviewer's request: every project at or below 100 MWh with an all-in disclosed cost, whoever owns it. 35 projects qualify, 25 utility-owned and 10 developer-owned, the latter dominated by thirteen New York City sites whose costs are filed with the City's Industrial Development Agency. The median is $750/kWh, the interquartile range $556 to $1,275/kWh, and the full range $375 to $2,775. The utility-owned subclass (25 members) has a median of $1,235/kWh. Hyde Park's installed battery at $833/kWh ranks at the 57% percentile of the full class, its station-complete direct cost at $1,483/kWh at the 77% percentile (68% in the utility subclass), and its approval level at $2,862/kWh above the maximum. Broadening the class moved Hyde Park up, not down: the developer-owned sites are four-hour systems on leased lots with no utility switching station, no landfill platform, no siting case, no utility indirects and no AFUDC, and their incentives are not netted from the filed costs. The members closest to Hyde Park in scope remain the recent, utility-owned, substation-sited projects disclosed to a regulator: BGE Fairhaven (2.5 MW / 9.7 MWh, 2023, $1,659/kWh actual against $1,010/kWh estimated), NYPA Chateaugay (20 MW / 20 MWh, 2023, $1,490/kWh), Vermont Electric Cooperative's Hinesburg battery (1 MW / 4 MWh, 2023, $1,400/kWh) and Eversource's Provincetown (24.9 MW / 38 MWh, 2022, $1,289/kWh). Of the thirteen New York City developer sites, NineDot's Arthur Kill Road budget ($1,110/kWh, $4,427/kW) is the closest in size and date.</w:t>
      </w:r>
    </w:p>
    <w:p>
      <w:r>
        <w:drawing>
          <wp:inline xmlns:a="http://schemas.openxmlformats.org/drawingml/2006/main" xmlns:pic="http://schemas.openxmlformats.org/drawingml/2006/picture">
            <wp:extent cx="5943600" cy="4223084"/>
            <wp:docPr id="1" name="Picture 1"/>
            <wp:cNvGraphicFramePr>
              <a:graphicFrameLocks noChangeAspect="1"/>
            </wp:cNvGraphicFramePr>
            <a:graphic>
              <a:graphicData uri="http://schemas.openxmlformats.org/drawingml/2006/picture">
                <pic:pic>
                  <pic:nvPicPr>
                    <pic:cNvPr id="0" name="stats_refclass.png"/>
                    <pic:cNvPicPr/>
                  </pic:nvPicPr>
                  <pic:blipFill>
                    <a:blip r:embed="rId9"/>
                    <a:stretch>
                      <a:fillRect/>
                    </a:stretch>
                  </pic:blipFill>
                  <pic:spPr>
                    <a:xfrm>
                      <a:off x="0" y="0"/>
                      <a:ext cx="5943600" cy="4223084"/>
                    </a:xfrm>
                    <a:prstGeom prst="rect"/>
                  </pic:spPr>
                </pic:pic>
              </a:graphicData>
            </a:graphic>
          </wp:inline>
        </w:drawing>
      </w:r>
    </w:p>
    <w:p>
      <w:pPr>
        <w:spacing w:after="120"/>
      </w:pPr>
      <w:r>
        <w:rPr>
          <w:b w:val="0"/>
          <w:i w:val="0"/>
        </w:rPr>
        <w:t>Build status (5 October 2026). A reviewer objected that some comparables were filed project ideas rather than built plants with real costs. Every row in the dataset was therefore checked against operator, regulator, market-operator or EIA records for its status as of October 2026. 27 of 81 rows were planned, under development, under construction or cancelled and are excluded from the class and the regression from this revision on; the pre-audit class of 55 is kept in the workbook for the record (median $771). Of the 35 built members, 14 carry a final or actual cost on the public record (median $756, Hyde Park station-direct at the 79% percentile); the remainder are contract prices, approved budgets or announcement figures for projects that were built, which is the usual state of utility disclosure and is labelled per row. Excluded: Martha's Vineyard BESS Phase 1 (cancelled), Martha's Vineyard BESS Phase 2 (cancelled), Waena BESS (Maui), Trenton Channel Energy Center BESS, SCE substation BESS portfolio (Springvale 225 MW, Hinson 200 MW, Etiwanda 112.5 MW), Whitehorse Grid-Scale BESS [CANADA], Elevate Renewables Victory Blvd BESS (Staten Island), Soltage Brigis 1A BESS (Maspeth, Queens), Concord MLP grid-scale battery (planned), Westmoreland Clean Innovation Project BESS (withdrawn), Greenbacker Staten Island Energy Storage 3 (Androvette St), OSCII Blondell Ave BESS (Bronx), OSCII Gildersleeve Ave BESS (Bronx), OSCII Gun Hill Rd BESS (Bronx), Convergent SSC Richmond Rd BESS (Staten Island), NineDot Wintergreen / Hunts Point BESS (Bronx), NineDot Blue Aster BESS (Hinsdale St Brooklyn), Convergent East Bay Ave Energy Storage 1 (Bronx), NineDot Devoe Ave BESS (Bronx), Soltage Brigis 2 / Maspeth ESS (Queens), Convergent 720 E 144th St Energy Storage 1 (Bronx), NineDot Eastern Towhee A/B (Centre St Brooklyn), Trenton Channel BESS (DTE), Frontier Energy Storage (OG&amp;E), Edgewater BESS (Alliant / WPL), Oglethorpe Power three-site BESS (GRIP), Homer Electric second BESS (Soldotna area 45 MW / 4-h).</w:t>
      </w:r>
    </w:p>
    <w:p>
      <w:pPr>
        <w:pStyle w:val="Heading2"/>
      </w:pPr>
      <w:r>
        <w:t>3.1 Dollar-year adjustment (added 2 October 2026)</w:t>
      </w:r>
    </w:p>
    <w:p>
      <w:pPr>
        <w:spacing w:after="120"/>
      </w:pPr>
      <w:r>
        <w:rPr>
          <w:b w:val="0"/>
          <w:i w:val="0"/>
        </w:rPr>
        <w:t>The comparables are in nominal dollars of the year each cost was reported. A reviewer asked whether that understates the gap, given that battery prices were several times higher in 2018. The answer depends on which price is meant. BloombergNEF's pack survey is 1.6 times its 2018 level ($176 against $108) and 3.2 times its 2015 level ($350); its turnkey system survey is 2.0 times its 2021 level; NREL's bottom-up base year fell from $482 (2022) to $334 (2024); installed systems moved less (EIA's reported all-in for 2018 installs was $625 per kWh against LBNL's $458 for 2024, a factor of 1.4); and Lazard's Levelized Cost of Storage, which some reviewers cite, is roughly flat, down 24 percent from 2019 to 2025 and up 31 percent from 2020 to 2026 on the midpoint of its unsubsidized 100 MW, four-hour range. LCOS is in any case a $/MWh figure that bundles charging energy, operations, augmentation, financing and tax credits with capital cost, and is not a capital-cost deflator.</w:t>
      </w:r>
    </w:p>
    <w:p>
      <w:pPr>
        <w:spacing w:after="120"/>
      </w:pPr>
      <w:r>
        <w:rPr>
          <w:b w:val="0"/>
          <w:i w:val="0"/>
        </w:rPr>
        <w:t>Each comparable was re-based to 2026 with a two-component model that holds physical quantities fixed: a composite price index C(y) = s0 x I(y)/I(2024) + (1 - s0) x HW(y)/HW(2024), with s0 the battery share of an all-in project at 2024 prices (40 percent for utility-owned members, 55 percent for developer-owned, with 10 points either side as sensitivities), I a published battery index and HW the Handy-Whitman North Atlantic utility construction index as posted by PJM (700 in 2015, 745 in 2018, 861 in 2021, 953 in 2022, 1,112 in 2026); the 2026-dollar cost is the nominal cost times C(2026)/C(y). The form matters. A review on 5 October 2026 objected that 2016-2018 battery technology was far dearer than today and that an older project should therefore come to 2026 cheaper, not dearer, and the objection was correct against the first version of this section, which applied today's 40 percent share to every year. With quantities fixed, the battery share a project had in its own year is implied by the indices: 73% in 2016 and 56% in 2018 for a utility-owned project, so a 2016 member comes to 2026 at 0.68 times its nominal cost and a 2018 member at 1.06; members from 2021 onward move within a few percent either way. The installed index now carries every EIA year from 2015 to 2022 (2,102; 1,270; 834; 625; 589; 645; 671; 396 dollars per kWh, capacity-weighted, from the 2024 figure data file) and LBNL's $458 for 2024. Under the installed all-in index the class median moves from $750 to $742 per kWh; under the pack index to $743; under BNEF's turnkey series to $686; under NREL's base-year series to $742; under the LCOS midpoint to $892; and with construction escalation alone to $1,052. Hyde Park's station-complete direct cost ($1,483) sits between the 63% and 83% percentiles across the six; the approval level ($2,862) stays at or above the top under all of them. Deflating a comparable's whole cost at the battery rate, which is the arithmetic behind the challenge, gives $549 to $390 and treats a 2019 project's switchgear, civil works and interconnection as if they were lithium cells. In the utility-owned subclass the same exercise moves the median from $1,235 to $851 (installed index) and $929 (pack). The formulas are on the workbook tab '2026$ Adjustment'.</w:t>
      </w:r>
    </w:p>
    <w:p>
      <w:pPr>
        <w:pStyle w:val="Heading2"/>
      </w:pPr>
      <w:r>
        <w:t>3.2 New York distribution-scale cohort</w:t>
      </w:r>
    </w:p>
    <w:p>
      <w:pPr>
        <w:spacing w:after="120"/>
      </w:pPr>
      <w:r>
        <w:rPr>
          <w:b w:val="0"/>
          <w:i w:val="0"/>
        </w:rPr>
        <w:t>A second review comment noted that New York has built many more projects of this size, most of them by NineDot Energy. NineDot reports eleven operating projects at six New York City sites (39 MW, September 2026) and closed $431 million of construction, tax-credit bridge and letter-of-credit financing in February 2026 for 28 further sites totaling 124 MW and 494 MWh. Three New York City Industrial Development Agency filings disclose all-in project costs: NineDot's Arthur Kill Road site (9.8 MW, 39.1 MWh, $43.4 million, $1,110 per kWh, $4,427 per kW), Elevate Renewables' Victory Boulevard site at an existing generation property (15.1 MW, 60.4 MWh, $31.65 million, $524 per kWh) and Soltage's Maspeth site (5 MW, $16.1 million, $805 per kWh on an assumed four-hour duration). NYSERDA's 6 GW Roadmap reports average total installed costs for its retail-tier (5 MW and below) projects of $464 per kWh for 2020-21 installations and $567 for 2022-23. These are developer-owned, four-hour, distribution-connected sites on leased lots with VDER revenue, a NYSERDA incentive and the investment tax credit; none carries a utility switching station, a landfill platform, a siting case, utility indirects or AFUDC, and none of the figures nets the incentives. On a dollar-per-kW basis NineDot's own filed budget is 77 percent of Hyde Park's approval level and 1.5 times its station-complete direct cost. The cohort also illustrates the interconnection point: NY-BEST and NYSEIA told the Public Service Commission on 11 March 2026 (Case 24-E-0621) that Con Edison's two-part interconnection test had raised upgrade costs about fourteen-fold on 34 distributed projects totaling 161 MW, an average of about $21 million per project. The cohort is shown on deck slide 13 and on the workbook tab. A second research pass over NYCIDA filings added ten more New York City developer sites with filed total project costs (Agilitas Long Island City, Greenbacker Staten Island, the three Orenda/Convergent Bronx sites, Convergent's East Bay Avenue, 720 East 144th Street and Richmond Road, NineDot's Hunts Point, Blue Aster, Devoe Avenue and Eastern Towhee, and Soltage's Brigis 2), spanning $410 to $1,110 per kWh with a median near $830; four further rows were excluded as a probable notice error, a mobile demonstration, a contract value and a low-confidence cost. All thirteen are in the reference class and the regression (section 4). The financing floor and the NYSERDA program averages are not project costs and were not added.</w:t>
      </w:r>
    </w:p>
    <w:p>
      <w:pPr>
        <w:pStyle w:val="Heading2"/>
      </w:pPr>
      <w:r>
        <w:t>3.3 What the choice of curve does</w:t>
      </w:r>
    </w:p>
    <w:p>
      <w:pPr>
        <w:spacing w:after="120"/>
      </w:pPr>
      <w:r>
        <w:rPr>
          <w:b w:val="0"/>
          <w:i w:val="0"/>
        </w:rPr>
        <w:t>With the class fixed at 35 members and the battery share at 40 percent, the five published battery series give class medians between $686 and $743 per kWh, a spread of 8% of the nominal median; LCOS, which is flat, gives $892. The curves disagree about packs and agree about projects, because with quantities fixed a 2018 project comes to 2026 at 0.92 to 1.06 and a 2016 project at 0.68 to 1.05 whichever battery series is used. The anchor battery share is a lever of the same order as the curve: moving it from 30 to 50 percent changes the median by $79 under the installed index. The earlier fixed-share form, superseded on 5 October 2026, gave $838 under the installed index because it made every member dearer; the fixed-quantity form gives $742, with the 2015-2017 members cheaper and the 2018-2020 members slightly dearer. The practical rule for a reviewer: state the share and the construction index first; the battery curve and the share are choices of the same order, and none of them moves Hyde Park's station-complete cost below the top fifth of the class.</w:t>
      </w:r>
    </w:p>
    <w:p>
      <w:pPr>
        <w:pStyle w:val="Heading2"/>
      </w:pPr>
      <w:r>
        <w:t>3.4 One escalator per layer</w:t>
      </w:r>
    </w:p>
    <w:p>
      <w:pPr>
        <w:spacing w:after="120"/>
      </w:pPr>
      <w:r>
        <w:rPr>
          <w:b w:val="0"/>
          <w:i w:val="0"/>
        </w:rPr>
        <w:t>The two-component model uses one construction index for everything that is not a battery. A reviewer can object that a substation does not escalate like a steam plant. The check (3 Oct 2026) replaces the Handy-Whitman index with the published series that fits each layer: the IBEW Local 103 journeyman rate for the labor-driven layers (install, feeder protection, testing), the BLS producer price index for power and distribution transformers for the GSUs, the PPI for switchgear for the switching station, the ENR Construction Cost Index for civil, and the PPI for engineering services for owner soft costs. Since 2018 those series stand at 1.30x, 1.91x, 1.82x, 1.26x and 1.25x; the installed battery index at 0.73x. Weighted by the Rev 3 loaded layers, a 2018 project built the way Hyde Park is built costs 1.04x in 2026 dollars; the two-component model gives 1.06x and deflating the whole cost at the battery rate gives 0.73x.</w:t>
      </w:r>
    </w:p>
    <w:p>
      <w:pPr>
        <w:spacing w:after="120"/>
      </w:pPr>
      <w:r>
        <w:rPr>
          <w:b w:val="0"/>
          <w:i w:val="0"/>
        </w:rPr>
        <w:t>Applied to the 35-project class with a merchant-project composition (battery 45 percent, PCS and balance of system 15, labor 10, soft costs 12, interconnection 8, transformers 5, civil 5), the layer method gives a median of $744 per kWh against $742 for the two-component model and $750 nominal; Hyde Park's station-direct percentile is 77% under both. Substituting the BNEF pack or turnkey series for the battery moves the median to $680 and $585. The additional detail therefore confirms the two-component result rather than changing it: the non-battery escalators cluster between 1.26x and 1.9x since 2018, the battery is the only layer that fell, and the answer is governed by the battery share, which no comparable discloses. The BLS series are exact FRED observations through 2023 and search-excerpt anchors after; ENR, IBEW and the Handy-Whitman component lines are from published tables and the Cost Estimating CoE's own extraction. Series, confidence tags and the API fetch script are in the build folder.</w:t>
      </w:r>
    </w:p>
    <w:p>
      <w:pPr>
        <w:pStyle w:val="Heading1"/>
      </w:pPr>
      <w:r>
        <w:t>4. Regression: size, duration and year</w:t>
      </w:r>
    </w:p>
    <w:p>
      <w:pPr>
        <w:spacing w:after="120"/>
      </w:pPr>
      <w:r>
        <w:rPr>
          <w:b w:val="0"/>
          <w:i w:val="0"/>
        </w:rPr>
        <w:t>A log-log ordinary least squares model was fitted with heteroskedasticity-robust standard errors: ln($/kWh) on ln(MWh), ln(duration in hours) and calendar year. Results for the 53 projects: R-squared 0.62 (adjusted 0.59); size elasticity -0.18 (p = 0.000), so a tenfold increase in MWh lowers $/kWh by about 34 percent; duration elasticity -0.34 (p = 0.003), so doubling duration lowers $/kWh by about 21 percent, close to the 38 percent that Modo Energy's September 2026 survey reports for two-hour versus four-hour systems; and a year effect that is not distinguishable from zero (p = 0.55), which is what one expects when falling pack prices and rising installation, interconnection and tariff costs offset over the period. Adding ownership and Northeast dummies changes nothing of substance (R-squared 0.65, both p above 0.5), so the parsimonious model is used. The residual standard deviation of 0.35 in log terms means that a project of given size and duration lands within a factor of about 1.43 of the fitted value two times in three.</w:t>
      </w:r>
    </w:p>
    <w:p>
      <w:pPr>
        <w:spacing w:after="120"/>
      </w:pPr>
      <w:r>
        <w:rPr>
          <w:b w:val="0"/>
          <w:i w:val="0"/>
        </w:rPr>
        <w:t>For a 20 MWh, two-hour project in 2028 the fitted value is $968/kWh and the 80 percent prediction interval is $571 to $1,640/kWh. Hyde Park's boundaries fall at the following percentiles of that predictive distribution: vendor contract 13%, installed battery 36%, station complete direct 85%, approval level 100%. The reading is direct. The battery is priced below what the population would predict for a project this small and this short. The station, complete and unloaded, is a high-normal outcome. The approval level is an outlier against public disclosures, and the memo's position is that the outlier is explained by scope that the disclosures do not carry rather than by pricing.</w:t>
      </w:r>
    </w:p>
    <w:p>
      <w:r>
        <w:drawing>
          <wp:inline xmlns:a="http://schemas.openxmlformats.org/drawingml/2006/main" xmlns:pic="http://schemas.openxmlformats.org/drawingml/2006/picture">
            <wp:extent cx="5943600" cy="3441032"/>
            <wp:docPr id="2" name="Picture 2"/>
            <wp:cNvGraphicFramePr>
              <a:graphicFrameLocks noChangeAspect="1"/>
            </wp:cNvGraphicFramePr>
            <a:graphic>
              <a:graphicData uri="http://schemas.openxmlformats.org/drawingml/2006/picture">
                <pic:pic>
                  <pic:nvPicPr>
                    <pic:cNvPr id="0" name="stats_scatter.png"/>
                    <pic:cNvPicPr/>
                  </pic:nvPicPr>
                  <pic:blipFill>
                    <a:blip r:embed="rId10"/>
                    <a:stretch>
                      <a:fillRect/>
                    </a:stretch>
                  </pic:blipFill>
                  <pic:spPr>
                    <a:xfrm>
                      <a:off x="0" y="0"/>
                      <a:ext cx="5943600" cy="3441032"/>
                    </a:xfrm>
                    <a:prstGeom prst="rect"/>
                  </pic:spPr>
                </pic:pic>
              </a:graphicData>
            </a:graphic>
          </wp:inline>
        </w:drawing>
      </w:r>
    </w:p>
    <w:p>
      <w:pPr>
        <w:spacing w:after="120"/>
      </w:pPr>
      <w:r>
        <w:rPr>
          <w:b w:val="0"/>
          <w:i w:val="0"/>
        </w:rPr>
        <w:t>A fuller specification adds ownership and a New England / New York indicator (n = 53, R-squared 0.65). With the dataset at this size the ownership term is significant: utility-owned projects cost 26% more per kWh than developer-owned projects of the same size, duration and year (p = 0.010), and the year term turns positive and significant (+0.030 per year, p = 0.270), which is the construction-inflation effect outweighing battery deflation in nominal project costs since 2020. The regional term is not significant (p = 0.51). Both findings cut the same way as the layered argument: what a utility carries, and what has inflated, is the non-battery scope.</w:t>
      </w:r>
    </w:p>
    <w:p>
      <w:pPr>
        <w:pStyle w:val="Heading1"/>
      </w:pPr>
      <w:r>
        <w:t>5. Monte Carlo on the estimate's own layers</w:t>
      </w:r>
    </w:p>
    <w:p>
      <w:pPr>
        <w:spacing w:after="120"/>
      </w:pPr>
      <w:r>
        <w:rPr>
          <w:b w:val="0"/>
          <w:i w:val="0"/>
        </w:rPr>
        <w:t>The layered extraction makes a defensible simulation possible, because each layer has a known basis and a known maturity. A PERT distribution was assigned to each of the nine direct layers of Station 360, the Station 496 estimate was treated as a single layer, indirects were scaled with directs, and AFUDC was scaled with directs and with a schedule factor for up to twelve months of siting slip. The risk register and contingency were deliberately not added on top, because the layer ranges already model the outcomes the register is meant to fund; adding both would count the same exposure twice. Twenty thousand trials, fixed seed, no correlation between layers (a conservative simplification that narrows the tails; a positive correlation between the site, station and engineering layers would widen them). Two calibrations were run: base ranges from the specific evidence on each layer, and a wide calibration that stretches every upside by 60 percent to approximate an AACE Class 5 maturity.</w:t>
      </w:r>
    </w:p>
    <w:tbl>
      <w:tblPr>
        <w:tblStyle w:val="TableGrid"/>
        <w:tblW w:type="auto" w:w="0"/>
        <w:jc w:val="center"/>
        <w:tblLayout w:type="fixed"/>
        <w:tblLook w:firstColumn="1" w:firstRow="1" w:lastColumn="0" w:lastRow="0" w:noHBand="0" w:noVBand="1" w:val="04A0"/>
      </w:tblPr>
      <w:tblGrid>
        <w:gridCol w:w="2160"/>
        <w:gridCol w:w="1152"/>
        <w:gridCol w:w="2160"/>
        <w:gridCol w:w="4608"/>
      </w:tblGrid>
      <w:tr>
        <w:tc>
          <w:tcPr>
            <w:tcW w:type="dxa" w:w="2160"/>
            <w:shd w:val="clear" w:color="auto" w:fill="001E60"/>
          </w:tcPr>
          <w:p>
            <w:pPr>
              <w:spacing w:after="0" w:before="0"/>
            </w:pPr>
            <w:r/>
            <w:r>
              <w:rPr>
                <w:b/>
                <w:i w:val="0"/>
                <w:color w:val="FFFFFF"/>
                <w:sz w:val="16"/>
              </w:rPr>
              <w:t>Layer</w:t>
            </w:r>
          </w:p>
        </w:tc>
        <w:tc>
          <w:tcPr>
            <w:tcW w:type="dxa" w:w="1152"/>
            <w:shd w:val="clear" w:color="auto" w:fill="001E60"/>
          </w:tcPr>
          <w:p>
            <w:pPr>
              <w:spacing w:after="0" w:before="0"/>
            </w:pPr>
            <w:r/>
            <w:r>
              <w:rPr>
                <w:b/>
                <w:i w:val="0"/>
                <w:color w:val="FFFFFF"/>
                <w:sz w:val="16"/>
              </w:rPr>
              <w:t>Rev 3 direct</w:t>
            </w:r>
          </w:p>
        </w:tc>
        <w:tc>
          <w:tcPr>
            <w:tcW w:type="dxa" w:w="2160"/>
            <w:shd w:val="clear" w:color="auto" w:fill="001E60"/>
          </w:tcPr>
          <w:p>
            <w:pPr>
              <w:spacing w:after="0" w:before="0"/>
            </w:pPr>
            <w:r/>
            <w:r>
              <w:rPr>
                <w:b/>
                <w:i w:val="0"/>
                <w:color w:val="FFFFFF"/>
                <w:sz w:val="16"/>
              </w:rPr>
              <w:t>PERT low / mode / high</w:t>
            </w:r>
          </w:p>
        </w:tc>
        <w:tc>
          <w:tcPr>
            <w:tcW w:type="dxa" w:w="4608"/>
            <w:shd w:val="clear" w:color="auto" w:fill="001E60"/>
          </w:tcPr>
          <w:p>
            <w:pPr>
              <w:spacing w:after="0" w:before="0"/>
            </w:pPr>
            <w:r/>
            <w:r>
              <w:rPr>
                <w:b/>
                <w:i w:val="0"/>
                <w:color w:val="FFFFFF"/>
                <w:sz w:val="16"/>
              </w:rPr>
              <w:t>Basis for the range</w:t>
            </w:r>
          </w:p>
        </w:tc>
      </w:tr>
      <w:tr>
        <w:tc>
          <w:tcPr>
            <w:tcW w:type="dxa" w:w="2160"/>
          </w:tcPr>
          <w:p>
            <w:pPr>
              <w:spacing w:after="0" w:before="0"/>
            </w:pPr>
            <w:r/>
            <w:r>
              <w:rPr>
                <w:b w:val="0"/>
                <w:i w:val="0"/>
                <w:sz w:val="16"/>
              </w:rPr>
              <w:t>A Battery contract</w:t>
            </w:r>
          </w:p>
        </w:tc>
        <w:tc>
          <w:tcPr>
            <w:tcW w:type="dxa" w:w="1152"/>
          </w:tcPr>
          <w:p>
            <w:pPr>
              <w:spacing w:after="0" w:before="0"/>
            </w:pPr>
            <w:r/>
            <w:r>
              <w:rPr>
                <w:b w:val="0"/>
                <w:i w:val="0"/>
                <w:sz w:val="16"/>
              </w:rPr>
              <w:t>$12.99M</w:t>
            </w:r>
          </w:p>
        </w:tc>
        <w:tc>
          <w:tcPr>
            <w:tcW w:type="dxa" w:w="2160"/>
          </w:tcPr>
          <w:p>
            <w:pPr>
              <w:spacing w:after="0" w:before="0"/>
            </w:pPr>
            <w:r/>
            <w:r>
              <w:rPr>
                <w:b w:val="0"/>
                <w:i w:val="0"/>
                <w:sz w:val="16"/>
              </w:rPr>
              <w:t>1.00 / 1.02 / 1.08 of contract</w:t>
            </w:r>
          </w:p>
        </w:tc>
        <w:tc>
          <w:tcPr>
            <w:tcW w:type="dxa" w:w="4608"/>
          </w:tcPr>
          <w:p>
            <w:pPr>
              <w:spacing w:after="0" w:before="0"/>
            </w:pPr>
            <w:r/>
            <w:r>
              <w:rPr>
                <w:b w:val="0"/>
                <w:i w:val="0"/>
                <w:sz w:val="16"/>
              </w:rPr>
              <w:t>Fixed price; change orders and LD exposure only. Escalation on the balance is a decision, not a risk.</w:t>
            </w:r>
          </w:p>
        </w:tc>
      </w:tr>
      <w:tr>
        <w:tc>
          <w:tcPr>
            <w:tcW w:type="dxa" w:w="2160"/>
            <w:shd w:val="clear" w:color="auto" w:fill="F2F4F8"/>
          </w:tcPr>
          <w:p>
            <w:pPr>
              <w:spacing w:after="0" w:before="0"/>
            </w:pPr>
            <w:r/>
            <w:r>
              <w:rPr>
                <w:b w:val="0"/>
                <w:i w:val="0"/>
                <w:sz w:val="16"/>
              </w:rPr>
              <w:t>B Battery installation</w:t>
            </w:r>
          </w:p>
        </w:tc>
        <w:tc>
          <w:tcPr>
            <w:tcW w:type="dxa" w:w="1152"/>
            <w:shd w:val="clear" w:color="auto" w:fill="F2F4F8"/>
          </w:tcPr>
          <w:p>
            <w:pPr>
              <w:spacing w:after="0" w:before="0"/>
            </w:pPr>
            <w:r/>
            <w:r>
              <w:rPr>
                <w:b w:val="0"/>
                <w:i w:val="0"/>
                <w:sz w:val="16"/>
              </w:rPr>
              <w:t>$1.73M</w:t>
            </w:r>
          </w:p>
        </w:tc>
        <w:tc>
          <w:tcPr>
            <w:tcW w:type="dxa" w:w="2160"/>
            <w:shd w:val="clear" w:color="auto" w:fill="F2F4F8"/>
          </w:tcPr>
          <w:p>
            <w:pPr>
              <w:spacing w:after="0" w:before="0"/>
            </w:pPr>
            <w:r/>
            <w:r>
              <w:rPr>
                <w:b w:val="0"/>
                <w:i w:val="0"/>
                <w:sz w:val="16"/>
              </w:rPr>
              <w:t>0.80 / 1.00 / 1.90</w:t>
            </w:r>
          </w:p>
        </w:tc>
        <w:tc>
          <w:tcPr>
            <w:tcW w:type="dxa" w:w="4608"/>
            <w:shd w:val="clear" w:color="auto" w:fill="F2F4F8"/>
          </w:tcPr>
          <w:p>
            <w:pPr>
              <w:spacing w:after="0" w:before="0"/>
            </w:pPr>
            <w:r/>
            <w:r>
              <w:rPr>
                <w:b w:val="0"/>
                <w:i w:val="0"/>
                <w:sz w:val="16"/>
              </w:rPr>
              <w:t>Labor basis is 25% of a 2023 site total; Rev 2 used 50%.</w:t>
            </w:r>
          </w:p>
        </w:tc>
      </w:tr>
      <w:tr>
        <w:tc>
          <w:tcPr>
            <w:tcW w:type="dxa" w:w="2160"/>
          </w:tcPr>
          <w:p>
            <w:pPr>
              <w:spacing w:after="0" w:before="0"/>
            </w:pPr>
            <w:r/>
            <w:r>
              <w:rPr>
                <w:b w:val="0"/>
                <w:i w:val="0"/>
                <w:sz w:val="16"/>
              </w:rPr>
              <w:t>C GSUs, EMS, aux power</w:t>
            </w:r>
          </w:p>
        </w:tc>
        <w:tc>
          <w:tcPr>
            <w:tcW w:type="dxa" w:w="1152"/>
          </w:tcPr>
          <w:p>
            <w:pPr>
              <w:spacing w:after="0" w:before="0"/>
            </w:pPr>
            <w:r/>
            <w:r>
              <w:rPr>
                <w:b w:val="0"/>
                <w:i w:val="0"/>
                <w:sz w:val="16"/>
              </w:rPr>
              <w:t>$1.93M</w:t>
            </w:r>
          </w:p>
        </w:tc>
        <w:tc>
          <w:tcPr>
            <w:tcW w:type="dxa" w:w="2160"/>
          </w:tcPr>
          <w:p>
            <w:pPr>
              <w:spacing w:after="0" w:before="0"/>
            </w:pPr>
            <w:r/>
            <w:r>
              <w:rPr>
                <w:b w:val="0"/>
                <w:i w:val="0"/>
                <w:sz w:val="16"/>
              </w:rPr>
              <w:t>0.85 / 1.00 / 1.35</w:t>
            </w:r>
          </w:p>
        </w:tc>
        <w:tc>
          <w:tcPr>
            <w:tcW w:type="dxa" w:w="4608"/>
          </w:tcPr>
          <w:p>
            <w:pPr>
              <w:spacing w:after="0" w:before="0"/>
            </w:pPr>
            <w:r/>
            <w:r>
              <w:rPr>
                <w:b w:val="0"/>
                <w:i w:val="0"/>
                <w:sz w:val="16"/>
              </w:rPr>
              <w:t>2023 bidder list plus 3%/yr; GSU count 4 vs 12 on the 25 Aug one-line.</w:t>
            </w:r>
          </w:p>
        </w:tc>
      </w:tr>
      <w:tr>
        <w:tc>
          <w:tcPr>
            <w:tcW w:type="dxa" w:w="2160"/>
            <w:shd w:val="clear" w:color="auto" w:fill="F2F4F8"/>
          </w:tcPr>
          <w:p>
            <w:pPr>
              <w:spacing w:after="0" w:before="0"/>
            </w:pPr>
            <w:r/>
            <w:r>
              <w:rPr>
                <w:b w:val="0"/>
                <w:i w:val="0"/>
                <w:sz w:val="16"/>
              </w:rPr>
              <w:t>D Station 360 switching</w:t>
            </w:r>
          </w:p>
        </w:tc>
        <w:tc>
          <w:tcPr>
            <w:tcW w:type="dxa" w:w="1152"/>
            <w:shd w:val="clear" w:color="auto" w:fill="F2F4F8"/>
          </w:tcPr>
          <w:p>
            <w:pPr>
              <w:spacing w:after="0" w:before="0"/>
            </w:pPr>
            <w:r/>
            <w:r>
              <w:rPr>
                <w:b w:val="0"/>
                <w:i w:val="0"/>
                <w:sz w:val="16"/>
              </w:rPr>
              <w:t>$3.85M</w:t>
            </w:r>
          </w:p>
        </w:tc>
        <w:tc>
          <w:tcPr>
            <w:tcW w:type="dxa" w:w="2160"/>
            <w:shd w:val="clear" w:color="auto" w:fill="F2F4F8"/>
          </w:tcPr>
          <w:p>
            <w:pPr>
              <w:spacing w:after="0" w:before="0"/>
            </w:pPr>
            <w:r/>
            <w:r>
              <w:rPr>
                <w:b w:val="0"/>
                <w:i w:val="0"/>
                <w:sz w:val="16"/>
              </w:rPr>
              <w:t>0.80 / 1.00 / 1.45</w:t>
            </w:r>
          </w:p>
        </w:tc>
        <w:tc>
          <w:tcPr>
            <w:tcW w:type="dxa" w:w="4608"/>
            <w:shd w:val="clear" w:color="auto" w:fill="F2F4F8"/>
          </w:tcPr>
          <w:p>
            <w:pPr>
              <w:spacing w:after="0" w:before="0"/>
            </w:pPr>
            <w:r/>
            <w:r>
              <w:rPr>
                <w:b w:val="0"/>
                <w:i w:val="0"/>
                <w:sz w:val="16"/>
              </w:rPr>
              <w:t>Siemens budgetary +/-30% on breakers; balance from unit library at conceptual maturity.</w:t>
            </w:r>
          </w:p>
        </w:tc>
      </w:tr>
      <w:tr>
        <w:tc>
          <w:tcPr>
            <w:tcW w:type="dxa" w:w="2160"/>
          </w:tcPr>
          <w:p>
            <w:pPr>
              <w:spacing w:after="0" w:before="0"/>
            </w:pPr>
            <w:r/>
            <w:r>
              <w:rPr>
                <w:b w:val="0"/>
                <w:i w:val="0"/>
                <w:sz w:val="16"/>
              </w:rPr>
              <w:t>E Landfill site platform</w:t>
            </w:r>
          </w:p>
        </w:tc>
        <w:tc>
          <w:tcPr>
            <w:tcW w:type="dxa" w:w="1152"/>
          </w:tcPr>
          <w:p>
            <w:pPr>
              <w:spacing w:after="0" w:before="0"/>
            </w:pPr>
            <w:r/>
            <w:r>
              <w:rPr>
                <w:b w:val="0"/>
                <w:i w:val="0"/>
                <w:sz w:val="16"/>
              </w:rPr>
              <w:t>$2.69M</w:t>
            </w:r>
          </w:p>
        </w:tc>
        <w:tc>
          <w:tcPr>
            <w:tcW w:type="dxa" w:w="2160"/>
          </w:tcPr>
          <w:p>
            <w:pPr>
              <w:spacing w:after="0" w:before="0"/>
            </w:pPr>
            <w:r/>
            <w:r>
              <w:rPr>
                <w:b w:val="0"/>
                <w:i w:val="0"/>
                <w:sz w:val="16"/>
              </w:rPr>
              <w:t>0.60 / 1.00 / 2.60</w:t>
            </w:r>
          </w:p>
        </w:tc>
        <w:tc>
          <w:tcPr>
            <w:tcW w:type="dxa" w:w="4608"/>
          </w:tcPr>
          <w:p>
            <w:pPr>
              <w:spacing w:after="0" w:before="0"/>
            </w:pPr>
            <w:r/>
            <w:r>
              <w:rPr>
                <w:b w:val="0"/>
                <w:i w:val="0"/>
                <w:sz w:val="16"/>
              </w:rPr>
              <w:t>Haugland deducts ($1.47M confirmable) against geotechnical exposure ($0.6M / $1.6M / $3.5M) and soil ($0.4M to $2.6M).</w:t>
            </w:r>
          </w:p>
        </w:tc>
      </w:tr>
      <w:tr>
        <w:tc>
          <w:tcPr>
            <w:tcW w:type="dxa" w:w="2160"/>
            <w:shd w:val="clear" w:color="auto" w:fill="F2F4F8"/>
          </w:tcPr>
          <w:p>
            <w:pPr>
              <w:spacing w:after="0" w:before="0"/>
            </w:pPr>
            <w:r/>
            <w:r>
              <w:rPr>
                <w:b w:val="0"/>
                <w:i w:val="0"/>
                <w:sz w:val="16"/>
              </w:rPr>
              <w:t>F Station 496 protection</w:t>
            </w:r>
          </w:p>
        </w:tc>
        <w:tc>
          <w:tcPr>
            <w:tcW w:type="dxa" w:w="1152"/>
            <w:shd w:val="clear" w:color="auto" w:fill="F2F4F8"/>
          </w:tcPr>
          <w:p>
            <w:pPr>
              <w:spacing w:after="0" w:before="0"/>
            </w:pPr>
            <w:r/>
            <w:r>
              <w:rPr>
                <w:b w:val="0"/>
                <w:i w:val="0"/>
                <w:sz w:val="16"/>
              </w:rPr>
              <w:t>$7.25M</w:t>
            </w:r>
          </w:p>
        </w:tc>
        <w:tc>
          <w:tcPr>
            <w:tcW w:type="dxa" w:w="2160"/>
            <w:shd w:val="clear" w:color="auto" w:fill="F2F4F8"/>
          </w:tcPr>
          <w:p>
            <w:pPr>
              <w:spacing w:after="0" w:before="0"/>
            </w:pPr>
            <w:r/>
            <w:r>
              <w:rPr>
                <w:b w:val="0"/>
                <w:i w:val="0"/>
                <w:sz w:val="16"/>
              </w:rPr>
              <w:t>0.80 / 1.00 / 1.40</w:t>
            </w:r>
          </w:p>
        </w:tc>
        <w:tc>
          <w:tcPr>
            <w:tcW w:type="dxa" w:w="4608"/>
            <w:shd w:val="clear" w:color="auto" w:fill="F2F4F8"/>
          </w:tcPr>
          <w:p>
            <w:pPr>
              <w:spacing w:after="0" w:before="0"/>
            </w:pPr>
            <w:r/>
            <w:r>
              <w:rPr>
                <w:b w:val="0"/>
                <w:i w:val="0"/>
                <w:sz w:val="16"/>
              </w:rPr>
              <w:t>Own conceptual estimate incl. loaders.</w:t>
            </w:r>
          </w:p>
        </w:tc>
      </w:tr>
      <w:tr>
        <w:tc>
          <w:tcPr>
            <w:tcW w:type="dxa" w:w="2160"/>
          </w:tcPr>
          <w:p>
            <w:pPr>
              <w:spacing w:after="0" w:before="0"/>
            </w:pPr>
            <w:r/>
            <w:r>
              <w:rPr>
                <w:b w:val="0"/>
                <w:i w:val="0"/>
                <w:sz w:val="16"/>
              </w:rPr>
              <w:t>G Testing and commissioning</w:t>
            </w:r>
          </w:p>
        </w:tc>
        <w:tc>
          <w:tcPr>
            <w:tcW w:type="dxa" w:w="1152"/>
          </w:tcPr>
          <w:p>
            <w:pPr>
              <w:spacing w:after="0" w:before="0"/>
            </w:pPr>
            <w:r/>
            <w:r>
              <w:rPr>
                <w:b w:val="0"/>
                <w:i w:val="0"/>
                <w:sz w:val="16"/>
              </w:rPr>
              <w:t>$1.26M</w:t>
            </w:r>
          </w:p>
        </w:tc>
        <w:tc>
          <w:tcPr>
            <w:tcW w:type="dxa" w:w="2160"/>
          </w:tcPr>
          <w:p>
            <w:pPr>
              <w:spacing w:after="0" w:before="0"/>
            </w:pPr>
            <w:r/>
            <w:r>
              <w:rPr>
                <w:b w:val="0"/>
                <w:i w:val="0"/>
                <w:sz w:val="16"/>
              </w:rPr>
              <w:t>0.80 / 1.00 / 1.50</w:t>
            </w:r>
          </w:p>
        </w:tc>
        <w:tc>
          <w:tcPr>
            <w:tcW w:type="dxa" w:w="4608"/>
          </w:tcPr>
          <w:p>
            <w:pPr>
              <w:spacing w:after="0" w:before="0"/>
            </w:pPr>
            <w:r/>
            <w:r>
              <w:rPr>
                <w:b w:val="0"/>
                <w:i w:val="0"/>
                <w:sz w:val="16"/>
              </w:rPr>
              <w:t>Hours from E-23-373; 63-day commissioning window ownership open.</w:t>
            </w:r>
          </w:p>
        </w:tc>
      </w:tr>
      <w:tr>
        <w:tc>
          <w:tcPr>
            <w:tcW w:type="dxa" w:w="2160"/>
            <w:shd w:val="clear" w:color="auto" w:fill="F2F4F8"/>
          </w:tcPr>
          <w:p>
            <w:pPr>
              <w:spacing w:after="0" w:before="0"/>
            </w:pPr>
            <w:r/>
            <w:r>
              <w:rPr>
                <w:b w:val="0"/>
                <w:i w:val="0"/>
                <w:sz w:val="16"/>
              </w:rPr>
              <w:t>H Engineering, siting, PM</w:t>
            </w:r>
          </w:p>
        </w:tc>
        <w:tc>
          <w:tcPr>
            <w:tcW w:type="dxa" w:w="1152"/>
            <w:shd w:val="clear" w:color="auto" w:fill="F2F4F8"/>
          </w:tcPr>
          <w:p>
            <w:pPr>
              <w:spacing w:after="0" w:before="0"/>
            </w:pPr>
            <w:r/>
            <w:r>
              <w:rPr>
                <w:b w:val="0"/>
                <w:i w:val="0"/>
                <w:sz w:val="16"/>
              </w:rPr>
              <w:t>$4.42M</w:t>
            </w:r>
          </w:p>
        </w:tc>
        <w:tc>
          <w:tcPr>
            <w:tcW w:type="dxa" w:w="2160"/>
            <w:shd w:val="clear" w:color="auto" w:fill="F2F4F8"/>
          </w:tcPr>
          <w:p>
            <w:pPr>
              <w:spacing w:after="0" w:before="0"/>
            </w:pPr>
            <w:r/>
            <w:r>
              <w:rPr>
                <w:b w:val="0"/>
                <w:i w:val="0"/>
                <w:sz w:val="16"/>
              </w:rPr>
              <w:t>0.90 / 1.00 / 1.60</w:t>
            </w:r>
          </w:p>
        </w:tc>
        <w:tc>
          <w:tcPr>
            <w:tcW w:type="dxa" w:w="4608"/>
            <w:shd w:val="clear" w:color="auto" w:fill="F2F4F8"/>
          </w:tcPr>
          <w:p>
            <w:pPr>
              <w:spacing w:after="0" w:before="0"/>
            </w:pPr>
            <w:r/>
            <w:r>
              <w:rPr>
                <w:b w:val="0"/>
                <w:i w:val="0"/>
                <w:sz w:val="16"/>
              </w:rPr>
              <w:t>Engineering at 1.6% of total; EFSB fallback adds 18 to 24 months of legal and PM.</w:t>
            </w:r>
          </w:p>
        </w:tc>
      </w:tr>
      <w:tr>
        <w:tc>
          <w:tcPr>
            <w:tcW w:type="dxa" w:w="2160"/>
          </w:tcPr>
          <w:p>
            <w:pPr>
              <w:spacing w:after="0" w:before="0"/>
            </w:pPr>
            <w:r/>
            <w:r>
              <w:rPr>
                <w:b w:val="0"/>
                <w:i w:val="0"/>
                <w:sz w:val="16"/>
              </w:rPr>
              <w:t>I Taxes, CWIP, BAR</w:t>
            </w:r>
          </w:p>
        </w:tc>
        <w:tc>
          <w:tcPr>
            <w:tcW w:type="dxa" w:w="1152"/>
          </w:tcPr>
          <w:p>
            <w:pPr>
              <w:spacing w:after="0" w:before="0"/>
            </w:pPr>
            <w:r/>
            <w:r>
              <w:rPr>
                <w:b w:val="0"/>
                <w:i w:val="0"/>
                <w:sz w:val="16"/>
              </w:rPr>
              <w:t>$0.79M</w:t>
            </w:r>
          </w:p>
        </w:tc>
        <w:tc>
          <w:tcPr>
            <w:tcW w:type="dxa" w:w="2160"/>
          </w:tcPr>
          <w:p>
            <w:pPr>
              <w:spacing w:after="0" w:before="0"/>
            </w:pPr>
            <w:r/>
            <w:r>
              <w:rPr>
                <w:b w:val="0"/>
                <w:i w:val="0"/>
                <w:sz w:val="16"/>
              </w:rPr>
              <w:t>0.90 / 1.00 / 1.20</w:t>
            </w:r>
          </w:p>
        </w:tc>
        <w:tc>
          <w:tcPr>
            <w:tcW w:type="dxa" w:w="4608"/>
          </w:tcPr>
          <w:p>
            <w:pPr>
              <w:spacing w:after="0" w:before="0"/>
            </w:pPr>
            <w:r/>
            <w:r>
              <w:rPr>
                <w:b w:val="0"/>
                <w:i w:val="0"/>
                <w:sz w:val="16"/>
              </w:rPr>
              <w:t>Follows the base.</w:t>
            </w:r>
          </w:p>
        </w:tc>
      </w:tr>
      <w:tr>
        <w:tc>
          <w:tcPr>
            <w:tcW w:type="dxa" w:w="2160"/>
            <w:shd w:val="clear" w:color="auto" w:fill="F2F4F8"/>
          </w:tcPr>
          <w:p>
            <w:pPr>
              <w:spacing w:after="0" w:before="0"/>
            </w:pPr>
            <w:r/>
            <w:r>
              <w:rPr>
                <w:b w:val="0"/>
                <w:i w:val="0"/>
                <w:sz w:val="16"/>
              </w:rPr>
              <w:t>AFUDC schedule factor</w:t>
            </w:r>
          </w:p>
        </w:tc>
        <w:tc>
          <w:tcPr>
            <w:tcW w:type="dxa" w:w="1152"/>
            <w:shd w:val="clear" w:color="auto" w:fill="F2F4F8"/>
          </w:tcPr>
          <w:p>
            <w:pPr>
              <w:spacing w:after="0" w:before="0"/>
            </w:pPr>
            <w:r/>
            <w:r>
              <w:rPr>
                <w:b w:val="0"/>
                <w:i w:val="0"/>
                <w:sz w:val="16"/>
              </w:rPr>
              <w:t>$4.68M</w:t>
            </w:r>
          </w:p>
        </w:tc>
        <w:tc>
          <w:tcPr>
            <w:tcW w:type="dxa" w:w="2160"/>
            <w:shd w:val="clear" w:color="auto" w:fill="F2F4F8"/>
          </w:tcPr>
          <w:p>
            <w:pPr>
              <w:spacing w:after="0" w:before="0"/>
            </w:pPr>
            <w:r/>
            <w:r>
              <w:rPr>
                <w:b w:val="0"/>
                <w:i w:val="0"/>
                <w:sz w:val="16"/>
              </w:rPr>
              <w:t>0.95 / 1.00 / 1.35</w:t>
            </w:r>
          </w:p>
        </w:tc>
        <w:tc>
          <w:tcPr>
            <w:tcW w:type="dxa" w:w="4608"/>
            <w:shd w:val="clear" w:color="auto" w:fill="F2F4F8"/>
          </w:tcPr>
          <w:p>
            <w:pPr>
              <w:spacing w:after="0" w:before="0"/>
            </w:pPr>
            <w:r/>
            <w:r>
              <w:rPr>
                <w:b w:val="0"/>
                <w:i w:val="0"/>
                <w:sz w:val="16"/>
              </w:rPr>
              <w:t>Zero to twelve months of siting slip after the February 2028 determination.</w:t>
            </w:r>
          </w:p>
        </w:tc>
      </w:tr>
    </w:tbl>
    <w:p>
      <w:pPr>
        <w:spacing w:after="40"/>
      </w:pPr>
    </w:p>
    <w:p>
      <w:pPr>
        <w:spacing w:after="120"/>
      </w:pPr>
      <w:r>
        <w:rPr>
          <w:b w:val="0"/>
          <w:i w:val="0"/>
        </w:rPr>
        <w:t>Results. On base ranges the total is P10 $48.9M, P50 $51.3M, P80 $53.0M and P90 $54.0M, against a deterministic base of $49.7M without risk or contingency and an approval level of $57.2M with them. The reserve needed to reach P80 is $3.4M; the estimate carries $7.6M. On wide ranges the P80 is $55.9M and the P80 reserve is $6.2M, and the probability that the total exceeds the approval level is 10%. The uncertainty is concentrated in three layers: the landfill platform (standard deviation $0.93M base, $1.31M wide), Station 496 ($0.80M and $1.08M) and the owner soft costs ($0.51M and $0.74M). The battery contract contributes almost nothing to the spread. That is the statistical form of the whitepaper's argument: the money at risk is in the ground, the station and the process, not in the battery.</w:t>
      </w:r>
    </w:p>
    <w:p>
      <w:r>
        <w:drawing>
          <wp:inline xmlns:a="http://schemas.openxmlformats.org/drawingml/2006/main" xmlns:pic="http://schemas.openxmlformats.org/drawingml/2006/picture">
            <wp:extent cx="5943600" cy="2658979"/>
            <wp:docPr id="3" name="Picture 3"/>
            <wp:cNvGraphicFramePr>
              <a:graphicFrameLocks noChangeAspect="1"/>
            </wp:cNvGraphicFramePr>
            <a:graphic>
              <a:graphicData uri="http://schemas.openxmlformats.org/drawingml/2006/picture">
                <pic:pic>
                  <pic:nvPicPr>
                    <pic:cNvPr id="0" name="mc_hist.png"/>
                    <pic:cNvPicPr/>
                  </pic:nvPicPr>
                  <pic:blipFill>
                    <a:blip r:embed="rId11"/>
                    <a:stretch>
                      <a:fillRect/>
                    </a:stretch>
                  </pic:blipFill>
                  <pic:spPr>
                    <a:xfrm>
                      <a:off x="0" y="0"/>
                      <a:ext cx="5943600" cy="2658979"/>
                    </a:xfrm>
                    <a:prstGeom prst="rect"/>
                  </pic:spPr>
                </pic:pic>
              </a:graphicData>
            </a:graphic>
          </wp:inline>
        </w:drawing>
      </w:r>
    </w:p>
    <w:p>
      <w:r>
        <w:drawing>
          <wp:inline xmlns:a="http://schemas.openxmlformats.org/drawingml/2006/main" xmlns:pic="http://schemas.openxmlformats.org/drawingml/2006/picture">
            <wp:extent cx="5943600" cy="2346158"/>
            <wp:docPr id="4" name="Picture 4"/>
            <wp:cNvGraphicFramePr>
              <a:graphicFrameLocks noChangeAspect="1"/>
            </wp:cNvGraphicFramePr>
            <a:graphic>
              <a:graphicData uri="http://schemas.openxmlformats.org/drawingml/2006/picture">
                <pic:pic>
                  <pic:nvPicPr>
                    <pic:cNvPr id="0" name="mc_tornado.png"/>
                    <pic:cNvPicPr/>
                  </pic:nvPicPr>
                  <pic:blipFill>
                    <a:blip r:embed="rId12"/>
                    <a:stretch>
                      <a:fillRect/>
                    </a:stretch>
                  </pic:blipFill>
                  <pic:spPr>
                    <a:xfrm>
                      <a:off x="0" y="0"/>
                      <a:ext cx="5943600" cy="2346158"/>
                    </a:xfrm>
                    <a:prstGeom prst="rect"/>
                  </pic:spPr>
                </pic:pic>
              </a:graphicData>
            </a:graphic>
          </wp:inline>
        </w:drawing>
      </w:r>
    </w:p>
    <w:p>
      <w:pPr>
        <w:pStyle w:val="Heading1"/>
      </w:pPr>
      <w:r>
        <w:t>6. Estimate-to-actual uplift on comparable projects</w:t>
      </w:r>
    </w:p>
    <w:p>
      <w:pPr>
        <w:spacing w:after="120"/>
      </w:pPr>
      <w:r>
        <w:rPr>
          <w:b w:val="0"/>
          <w:i w:val="0"/>
        </w:rPr>
        <w:t>A second, smaller reference class answers a different question: how far have conceptual or approved figures for small utility-owned batteries moved by completion? The dataset contains five observations. BGE Fairhaven went from $9.84M estimated to $16.16M actual (+64%). Eversource Provincetown was approved at $35M to $45M and closed at $49M (+9% to +40%). Hawaiian Electric Waena moved from about $60M estimated to an $82.1M approved cap (+37%) with a further increase requested for tariffs. SaskPower Regina rose from C$26M to C$34M (+31%). Hyde Park's own September cycle moved from $47.2M to $57.2M (+21%) as the battery line caught up to the contract. Five points do not make a distribution, but their median of about +31% is consistent with Flyvbjerg's finding that fewer than half of projects finish on budget and with Sovacool and Ryu's 2025 mean of +41% across 662 electricity projects, and it is well above the +1% to +13% that those authors report for solar, wind and transmission. Against that, the 17.9% risk-plus-contingency carried on Rev 3 is not generous. It is the reserve of a project that expects to hold its number, on a site and with an interconnection scope where the comparables did not.</w:t>
      </w:r>
    </w:p>
    <w:p>
      <w:pPr>
        <w:pStyle w:val="Heading1"/>
      </w:pPr>
      <w:r>
        <w:t>7. Interconnection cost references from the ISO literature</w:t>
      </w:r>
    </w:p>
    <w:p>
      <w:pPr>
        <w:spacing w:after="120"/>
      </w:pPr>
      <w:r>
        <w:rPr>
          <w:b w:val="0"/>
          <w:i w:val="0"/>
        </w:rPr>
        <w:t>Lawrence Berkeley National Laboratory's interconnection cost series gives the only systematic public data on what it costs to connect storage. In ISO New England, the storage median rose from $3/kW for studies in 2010 to 2017 to $148/kW for 2018 to 2021, with an all-status mean near $230/kW; network upgrades were 3 to 31 percent of completed projects' cost and 58 percent of active ones. The June 2026 interim results of ISO-NE's Transitional Cluster Study put average interconnection cost for 23 transmission-connected projects at about $664/kW, over $1,000/kW in western Massachusetts and about $177/kW in southeastern Massachusetts, and 21 of the 26 requests were batteries; one 500 MW / 2,000 MWh Section 83E winner withdrew citing those costs. NYISO is the only ISO where LBNL reports storage cost by size: $76/kW for 1 to 50 MW requests against $32/kW above 250 MW. Hyde Park is distribution-connected and avoids the ISO queue, but the point of comparison holds: its Station 360 and Station 496 layers, loaded, are $1,374/kW, which is the cost of building a dedicated switching station and reprotecting four feeders rather than tapping an existing bus. A transmission-connected 10 MW project in ISO-NE today would face interconnection costs of the same order before it built anything of its own.</w:t>
      </w:r>
    </w:p>
    <w:p>
      <w:pPr>
        <w:pStyle w:val="Heading1"/>
      </w:pPr>
      <w:r>
        <w:t>8. How to use this in the argument</w:t>
      </w:r>
    </w:p>
    <w:p>
      <w:pPr>
        <w:pStyle w:val="ListBullet"/>
        <w:spacing w:after="60"/>
      </w:pPr>
      <w:r>
        <w:rPr>
          <w:b/>
        </w:rPr>
        <w:t xml:space="preserve">Lead with the reference class, not the regression. </w:t>
      </w:r>
      <w:r>
        <w:t>Forty-four named projects with named costs are more persuasive to a non-statistician than a fitted line, and the placement of Hyde Park's direct cost among Fairhaven, Chateaugay and Provincetown is the single most useful fact this memo produces.</w:t>
      </w:r>
    </w:p>
    <w:p>
      <w:pPr>
        <w:pStyle w:val="ListBullet"/>
        <w:spacing w:after="60"/>
      </w:pPr>
      <w:r>
        <w:rPr>
          <w:b/>
        </w:rPr>
        <w:t xml:space="preserve">Quote the regression as a bracket. </w:t>
      </w:r>
      <w:r>
        <w:t>'Public disclosures imply $600 to $2,000 per kWh for a project of this size and duration; our direct cost is $1,483 and our approval level, which carries $23.7M of loaders that disclosures rarely include, is $2,862.' Do not quote a percentile to a regulator without the interval beside it.</w:t>
      </w:r>
    </w:p>
    <w:p>
      <w:pPr>
        <w:pStyle w:val="ListBullet"/>
        <w:spacing w:after="60"/>
      </w:pPr>
      <w:r>
        <w:rPr>
          <w:b/>
        </w:rPr>
        <w:t xml:space="preserve">Use the Monte Carlo to defend the reserve, and rebuild it with the team. </w:t>
      </w:r>
      <w:r>
        <w:t>The distributions here are the analyst's reading of the evidence. Before full funding, run a two-hour range-estimating session (AACE 41R-08) with Substation Engineering, Civil, P&amp;C, Siting and Haugland, replace each range with the room's, and add correlation between the site, station and engineering layers. The result will be a P50 and P80 that the project team owns.</w:t>
      </w:r>
    </w:p>
    <w:p>
      <w:pPr>
        <w:pStyle w:val="ListBullet"/>
        <w:spacing w:after="60"/>
      </w:pPr>
      <w:r>
        <w:rPr>
          <w:b/>
        </w:rPr>
        <w:t xml:space="preserve">Verify the ten highest-priority public figures at source. </w:t>
      </w:r>
      <w:r>
        <w:t>Mass.gov utility-owned BESS page, the MD PSC pilot report, PGE's 2024 10-K, HEI's 10-Q, the CPUC SCE resolution, the NYPA and O&amp;R releases, and the LBNL ISO-NE brief. Until then every external use of these numbers carries the retrieval caveat.</w:t>
      </w:r>
    </w:p>
    <w:p>
      <w:pPr>
        <w:pStyle w:val="ListBullet"/>
        <w:spacing w:after="60"/>
      </w:pPr>
      <w:r>
        <w:rPr>
          <w:b/>
        </w:rPr>
        <w:t xml:space="preserve">Keep the layered view as the frame. </w:t>
      </w:r>
      <w:r>
        <w:t>Every statistical result above is only interpretable because the estimate was first separated into layers with definitions that match the benchmarks. The statistics bolster the argument; the extraction is the argument.</w:t>
      </w:r>
    </w:p>
    <w:p>
      <w:pPr>
        <w:pStyle w:val="Heading1"/>
      </w:pPr>
      <w:r>
        <w:t>Appendix. Sources and methods</w:t>
      </w:r>
    </w:p>
    <w:p>
      <w:pPr>
        <w:pStyle w:val="ListBullet"/>
        <w:spacing w:after="60"/>
      </w:pPr>
      <w:r>
        <w:t>Dataset: bess_projects.csv (81 rows used of 75 compiled) and bess_projects_notes.md, compiled 29 Sep 2026 and extended 2 Oct 2026 from regulator orders, utility releases, 10-K filings and trade press; per-project quotes and known data problems in the notes file.</w:t>
      </w:r>
    </w:p>
    <w:p>
      <w:pPr>
        <w:pStyle w:val="ListBullet"/>
        <w:spacing w:after="60"/>
      </w:pPr>
      <w:r>
        <w:t>ISO, FERC and state references: iso_ferc_refs.md, 29 Sep 2026 (LBNL interconnection series for ISO-NE, PJM, MISO, NYISO, SPP; ISO-NE Transitional Cluster Study interim results, June 2026; FERC Order 898 storage accounts; MA DPU 17-05 and 17-13; NY PSC 18-E-0130 and NYSERDA State of Storage 2025; CPUC, HI PUC, CT PURA and NJ BPU program data).</w:t>
      </w:r>
    </w:p>
    <w:p>
      <w:pPr>
        <w:pStyle w:val="ListBullet"/>
        <w:spacing w:after="60"/>
      </w:pPr>
      <w:r>
        <w:t>Methods: AACE International RPs 17R-97 and 96R-18 (classification), 40R-08 (contingency principles), 41R-08 (range estimating), 42R-08 (parametric), 57R-09 (Monte Carlo), 66R-11 (distribution selection), PGD-02 (quantitative risk analysis guide); Flyvbjerg and Gardner, How Big Things Get Done (2023); Sovacool and Ryu (2025), Energy Research and Social Science.</w:t>
      </w:r>
    </w:p>
    <w:p>
      <w:pPr>
        <w:pStyle w:val="ListBullet"/>
        <w:spacing w:after="60"/>
      </w:pPr>
      <w:r>
        <w:t>Model code: stats_model.py (statsmodels 0.15 OLS, HC1 errors; prediction intervals at 80%) and mc_model.py (numpy, 20,000 trials, seed 21334, PERT via beta with lambda 4). Both in the build folder with the results JSON files.</w:t>
      </w:r>
    </w:p>
    <w:sectPr w:rsidR="00FC693F" w:rsidRPr="0006063C" w:rsidSect="00034616">
      <w:footerReference w:type="default" r:id="rId13"/>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statistical benchmarking memo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