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 Set against a reference class of 55 public projects of its own size, utility- and developer-owned, the station-complete direct cost ranks at the 85% percentile and the approval level above every member; the loaders and the two interconnection scopes are the difference.</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spacing w:after="120"/>
      </w:pPr>
      <w:r>
        <w:rPr>
          <w:b w:val="0"/>
          <w:i w:val="0"/>
        </w:rPr>
        <w:t>Two additions on 3 October 2026. First, a reviewer may object that one construction index cannot stand for a substation, a landfill platform and a commissioning team at once; section 5.3 escalates each layer on its own published series (transformers, switchgear, Boston electrical labor, ENR, engineering services) and shows that the answer does not move: the class median stays at $832 per kWh and Hyde Park's station cost at the 85% percentile, because the battery is the only layer that fell since 2018 and every other layer rose by a quarter to nine tenths. Second, section 8 turns the layer extraction around and asks where the $57.2 million could give: $5.0 to 7.1M loaded in estimate hygiene that needs only decisions, $4.3 to 6.9M in value engineering that needs a study first, and a Section 48E investment tax credit of $8.4 to 12.4M that reduces the revenue requirement rather than the estimate and that nobody on the project yet owns.</w:t>
      </w: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project family, the companion statistical memo assembles a reference class of 55 projects at or below 100 MWh with an all-in disclosed cost, 31 of them utility-owned and 24 developer-owned (section 5.2). Within it,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p>
      <w:pPr>
        <w:pStyle w:val="Heading2"/>
      </w:pPr>
      <w:r>
        <w:t>5.2 The reference class: where Hyde Park sits among projects its own size</w:t>
      </w:r>
    </w:p>
    <w:p>
      <w:pPr>
        <w:spacing w:after="120"/>
      </w:pPr>
      <w:r>
        <w:rPr>
          <w:b w:val="0"/>
          <w:i w:val="0"/>
        </w:rPr>
        <w:t>The class is every public project at or below 100 MWh with a disclosed all-in cost, whoever owns it: 55 members as of 3 October 2026, 31 utility-owned (investor-owned, municipal, cooperative, state and crown utilities) and 24 developer-owned, the latter dominated by New York City sites whose budgets are filed with the City's Industrial Development Agency. The median is $771 per kWh and the interquartile range $576 to $1,172. Hyde Park's installed battery ($833 per kWh, boundary 3) sits at the 58% percentile; its station-complete direct cost ($1,483, boundary 4) at the 85% percentile; its approval level ($2,862) above every member. The utility-owned subclass alone has a median of $986 and places the station-complete cost at the 74% percentile. The regression fitted on the full dataset (n = 81, size elasticity -0.18, duration elasticity -0.30) predicts $1,062 per kWh for a 20 MWh, two-hour project entering service in 2028, with an 80 percent prediction interval of $676 to $1,668; boundary 4 falls at the 83% percentile of that predictive distribution.</w:t>
      </w:r>
    </w:p>
    <w:tbl>
      <w:tblPr>
        <w:tblStyle w:val="TableGrid"/>
        <w:tblW w:type="auto" w:w="0"/>
        <w:jc w:val="center"/>
        <w:tblLayout w:type="fixed"/>
        <w:tblLook w:firstColumn="1" w:firstRow="1" w:lastColumn="0" w:lastRow="0" w:noHBand="0" w:noVBand="1" w:val="04A0"/>
      </w:tblPr>
      <w:tblGrid>
        <w:gridCol w:w="2880"/>
        <w:gridCol w:w="720"/>
        <w:gridCol w:w="1584"/>
        <w:gridCol w:w="2160"/>
        <w:gridCol w:w="2304"/>
      </w:tblGrid>
      <w:tr>
        <w:tc>
          <w:tcPr>
            <w:tcW w:type="dxa" w:w="2880"/>
            <w:shd w:val="clear" w:color="auto" w:fill="001E60"/>
          </w:tcPr>
          <w:p>
            <w:pPr>
              <w:spacing w:after="0" w:before="0"/>
            </w:pPr>
            <w:r/>
            <w:r>
              <w:rPr>
                <w:b/>
                <w:i w:val="0"/>
                <w:color w:val="FFFFFF"/>
                <w:sz w:val="19"/>
              </w:rPr>
              <w:t>Cut of the class</w:t>
            </w:r>
          </w:p>
        </w:tc>
        <w:tc>
          <w:tcPr>
            <w:tcW w:type="dxa" w:w="720"/>
            <w:shd w:val="clear" w:color="auto" w:fill="001E60"/>
          </w:tcPr>
          <w:p>
            <w:pPr>
              <w:spacing w:after="0" w:before="0"/>
            </w:pPr>
            <w:r/>
            <w:r>
              <w:rPr>
                <w:b/>
                <w:i w:val="0"/>
                <w:color w:val="FFFFFF"/>
                <w:sz w:val="19"/>
              </w:rPr>
              <w:t>n</w:t>
            </w:r>
          </w:p>
        </w:tc>
        <w:tc>
          <w:tcPr>
            <w:tcW w:type="dxa" w:w="1584"/>
            <w:shd w:val="clear" w:color="auto" w:fill="001E60"/>
          </w:tcPr>
          <w:p>
            <w:pPr>
              <w:spacing w:after="0" w:before="0"/>
            </w:pPr>
            <w:r/>
            <w:r>
              <w:rPr>
                <w:b/>
                <w:i w:val="0"/>
                <w:color w:val="FFFFFF"/>
                <w:sz w:val="19"/>
              </w:rPr>
              <w:t>Median $/kWh</w:t>
            </w:r>
          </w:p>
        </w:tc>
        <w:tc>
          <w:tcPr>
            <w:tcW w:type="dxa" w:w="2160"/>
            <w:shd w:val="clear" w:color="auto" w:fill="001E60"/>
          </w:tcPr>
          <w:p>
            <w:pPr>
              <w:spacing w:after="0" w:before="0"/>
            </w:pPr>
            <w:r/>
            <w:r>
              <w:rPr>
                <w:b/>
                <w:i w:val="0"/>
                <w:color w:val="FFFFFF"/>
                <w:sz w:val="19"/>
              </w:rPr>
              <w:t>Hyde Park installed $833, pct</w:t>
            </w:r>
          </w:p>
        </w:tc>
        <w:tc>
          <w:tcPr>
            <w:tcW w:type="dxa" w:w="2304"/>
            <w:shd w:val="clear" w:color="auto" w:fill="001E60"/>
          </w:tcPr>
          <w:p>
            <w:pPr>
              <w:spacing w:after="0" w:before="0"/>
            </w:pPr>
            <w:r/>
            <w:r>
              <w:rPr>
                <w:b/>
                <w:i w:val="0"/>
                <w:color w:val="FFFFFF"/>
                <w:sz w:val="19"/>
              </w:rPr>
              <w:t>Hyde Park station direct $1,483, pct</w:t>
            </w:r>
          </w:p>
        </w:tc>
      </w:tr>
      <w:tr>
        <w:tc>
          <w:tcPr>
            <w:tcW w:type="dxa" w:w="2880"/>
          </w:tcPr>
          <w:p>
            <w:pPr>
              <w:spacing w:after="0" w:before="0"/>
            </w:pPr>
            <w:r/>
            <w:r>
              <w:rPr>
                <w:b w:val="0"/>
                <w:i w:val="0"/>
                <w:sz w:val="19"/>
              </w:rPr>
              <w:t>All members</w:t>
            </w:r>
          </w:p>
        </w:tc>
        <w:tc>
          <w:tcPr>
            <w:tcW w:type="dxa" w:w="720"/>
          </w:tcPr>
          <w:p>
            <w:pPr>
              <w:spacing w:after="0" w:before="0"/>
              <w:jc w:val="right"/>
            </w:pPr>
            <w:r/>
            <w:r>
              <w:rPr>
                <w:b w:val="0"/>
                <w:i w:val="0"/>
                <w:sz w:val="19"/>
              </w:rPr>
              <w:t>55</w:t>
            </w:r>
          </w:p>
        </w:tc>
        <w:tc>
          <w:tcPr>
            <w:tcW w:type="dxa" w:w="1584"/>
          </w:tcPr>
          <w:p>
            <w:pPr>
              <w:spacing w:after="0" w:before="0"/>
              <w:jc w:val="right"/>
            </w:pPr>
            <w:r/>
            <w:r>
              <w:rPr>
                <w:b w:val="0"/>
                <w:i w:val="0"/>
                <w:sz w:val="19"/>
              </w:rPr>
              <w:t>$771</w:t>
            </w:r>
          </w:p>
        </w:tc>
        <w:tc>
          <w:tcPr>
            <w:tcW w:type="dxa" w:w="2160"/>
          </w:tcPr>
          <w:p>
            <w:pPr>
              <w:spacing w:after="0" w:before="0"/>
              <w:jc w:val="right"/>
            </w:pPr>
            <w:r/>
            <w:r>
              <w:rPr>
                <w:b w:val="0"/>
                <w:i w:val="0"/>
                <w:sz w:val="19"/>
              </w:rPr>
              <w:t>58%</w:t>
            </w:r>
          </w:p>
        </w:tc>
        <w:tc>
          <w:tcPr>
            <w:tcW w:type="dxa" w:w="2304"/>
          </w:tcPr>
          <w:p>
            <w:pPr>
              <w:spacing w:after="0" w:before="0"/>
              <w:jc w:val="right"/>
            </w:pPr>
            <w:r/>
            <w:r>
              <w:rPr>
                <w:b w:val="0"/>
                <w:i w:val="0"/>
                <w:sz w:val="19"/>
              </w:rPr>
              <w:t>85%</w:t>
            </w:r>
          </w:p>
        </w:tc>
      </w:tr>
      <w:tr>
        <w:tc>
          <w:tcPr>
            <w:tcW w:type="dxa" w:w="2880"/>
            <w:shd w:val="clear" w:color="auto" w:fill="F2F4F8"/>
          </w:tcPr>
          <w:p>
            <w:pPr>
              <w:spacing w:after="0" w:before="0"/>
            </w:pPr>
            <w:r/>
            <w:r>
              <w:rPr>
                <w:b w:val="0"/>
                <w:i w:val="0"/>
                <w:sz w:val="19"/>
              </w:rPr>
              <w:t>Utility-owned</w:t>
            </w:r>
          </w:p>
        </w:tc>
        <w:tc>
          <w:tcPr>
            <w:tcW w:type="dxa" w:w="720"/>
            <w:shd w:val="clear" w:color="auto" w:fill="F2F4F8"/>
          </w:tcPr>
          <w:p>
            <w:pPr>
              <w:spacing w:after="0" w:before="0"/>
              <w:jc w:val="right"/>
            </w:pPr>
            <w:r/>
            <w:r>
              <w:rPr>
                <w:b w:val="0"/>
                <w:i w:val="0"/>
                <w:sz w:val="19"/>
              </w:rPr>
              <w:t>31</w:t>
            </w:r>
          </w:p>
        </w:tc>
        <w:tc>
          <w:tcPr>
            <w:tcW w:type="dxa" w:w="1584"/>
            <w:shd w:val="clear" w:color="auto" w:fill="F2F4F8"/>
          </w:tcPr>
          <w:p>
            <w:pPr>
              <w:spacing w:after="0" w:before="0"/>
              <w:jc w:val="right"/>
            </w:pPr>
            <w:r/>
            <w:r>
              <w:rPr>
                <w:b w:val="0"/>
                <w:i w:val="0"/>
                <w:sz w:val="19"/>
              </w:rPr>
              <w:t>$986</w:t>
            </w:r>
          </w:p>
        </w:tc>
        <w:tc>
          <w:tcPr>
            <w:tcW w:type="dxa" w:w="2160"/>
            <w:shd w:val="clear" w:color="auto" w:fill="F2F4F8"/>
          </w:tcPr>
          <w:p>
            <w:pPr>
              <w:spacing w:after="0" w:before="0"/>
              <w:jc w:val="right"/>
            </w:pPr>
            <w:r/>
            <w:r>
              <w:rPr>
                <w:b w:val="0"/>
                <w:i w:val="0"/>
                <w:sz w:val="19"/>
              </w:rPr>
              <w:t>48%</w:t>
            </w:r>
          </w:p>
        </w:tc>
        <w:tc>
          <w:tcPr>
            <w:tcW w:type="dxa" w:w="2304"/>
            <w:shd w:val="clear" w:color="auto" w:fill="F2F4F8"/>
          </w:tcPr>
          <w:p>
            <w:pPr>
              <w:spacing w:after="0" w:before="0"/>
              <w:jc w:val="right"/>
            </w:pPr>
            <w:r/>
            <w:r>
              <w:rPr>
                <w:b w:val="0"/>
                <w:i w:val="0"/>
                <w:sz w:val="19"/>
              </w:rPr>
              <w:t>74%</w:t>
            </w:r>
          </w:p>
        </w:tc>
      </w:tr>
      <w:tr>
        <w:tc>
          <w:tcPr>
            <w:tcW w:type="dxa" w:w="2880"/>
          </w:tcPr>
          <w:p>
            <w:pPr>
              <w:spacing w:after="0" w:before="0"/>
            </w:pPr>
            <w:r/>
            <w:r>
              <w:rPr>
                <w:b w:val="0"/>
                <w:i w:val="0"/>
                <w:sz w:val="19"/>
              </w:rPr>
              <w:t>Developer-owned</w:t>
            </w:r>
          </w:p>
        </w:tc>
        <w:tc>
          <w:tcPr>
            <w:tcW w:type="dxa" w:w="720"/>
          </w:tcPr>
          <w:p>
            <w:pPr>
              <w:spacing w:after="0" w:before="0"/>
              <w:jc w:val="right"/>
            </w:pPr>
            <w:r/>
            <w:r>
              <w:rPr>
                <w:b w:val="0"/>
                <w:i w:val="0"/>
                <w:sz w:val="19"/>
              </w:rPr>
              <w:t>24</w:t>
            </w:r>
          </w:p>
        </w:tc>
        <w:tc>
          <w:tcPr>
            <w:tcW w:type="dxa" w:w="1584"/>
          </w:tcPr>
          <w:p>
            <w:pPr>
              <w:spacing w:after="0" w:before="0"/>
              <w:jc w:val="right"/>
            </w:pPr>
            <w:r/>
            <w:r>
              <w:rPr>
                <w:b w:val="0"/>
                <w:i w:val="0"/>
                <w:sz w:val="19"/>
              </w:rPr>
              <w:t>$746</w:t>
            </w:r>
          </w:p>
        </w:tc>
        <w:tc>
          <w:tcPr>
            <w:tcW w:type="dxa" w:w="2160"/>
          </w:tcPr>
          <w:p>
            <w:pPr>
              <w:spacing w:after="0" w:before="0"/>
              <w:jc w:val="right"/>
            </w:pPr>
            <w:r/>
            <w:r>
              <w:rPr>
                <w:b w:val="0"/>
                <w:i w:val="0"/>
                <w:sz w:val="19"/>
              </w:rPr>
              <w:t>71%</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New York</w:t>
            </w:r>
          </w:p>
        </w:tc>
        <w:tc>
          <w:tcPr>
            <w:tcW w:type="dxa" w:w="720"/>
            <w:shd w:val="clear" w:color="auto" w:fill="F2F4F8"/>
          </w:tcPr>
          <w:p>
            <w:pPr>
              <w:spacing w:after="0" w:before="0"/>
              <w:jc w:val="right"/>
            </w:pPr>
            <w:r/>
            <w:r>
              <w:rPr>
                <w:b w:val="0"/>
                <w:i w:val="0"/>
                <w:sz w:val="19"/>
              </w:rPr>
              <w:t>19</w:t>
            </w:r>
          </w:p>
        </w:tc>
        <w:tc>
          <w:tcPr>
            <w:tcW w:type="dxa" w:w="1584"/>
            <w:shd w:val="clear" w:color="auto" w:fill="F2F4F8"/>
          </w:tcPr>
          <w:p>
            <w:pPr>
              <w:spacing w:after="0" w:before="0"/>
              <w:jc w:val="right"/>
            </w:pPr>
            <w:r/>
            <w:r>
              <w:rPr>
                <w:b w:val="0"/>
                <w:i w:val="0"/>
                <w:sz w:val="19"/>
              </w:rPr>
              <w:t>$832</w:t>
            </w:r>
          </w:p>
        </w:tc>
        <w:tc>
          <w:tcPr>
            <w:tcW w:type="dxa" w:w="2160"/>
            <w:shd w:val="clear" w:color="auto" w:fill="F2F4F8"/>
          </w:tcPr>
          <w:p>
            <w:pPr>
              <w:spacing w:after="0" w:before="0"/>
              <w:jc w:val="right"/>
            </w:pPr>
            <w:r/>
            <w:r>
              <w:rPr>
                <w:b w:val="0"/>
                <w:i w:val="0"/>
                <w:sz w:val="19"/>
              </w:rPr>
              <w:t>53%</w:t>
            </w:r>
          </w:p>
        </w:tc>
        <w:tc>
          <w:tcPr>
            <w:tcW w:type="dxa" w:w="2304"/>
            <w:shd w:val="clear" w:color="auto" w:fill="F2F4F8"/>
          </w:tcPr>
          <w:p>
            <w:pPr>
              <w:spacing w:after="0" w:before="0"/>
              <w:jc w:val="right"/>
            </w:pPr>
            <w:r/>
            <w:r>
              <w:rPr>
                <w:b w:val="0"/>
                <w:i w:val="0"/>
                <w:sz w:val="19"/>
              </w:rPr>
              <w:t>95%</w:t>
            </w:r>
          </w:p>
        </w:tc>
      </w:tr>
      <w:tr>
        <w:tc>
          <w:tcPr>
            <w:tcW w:type="dxa" w:w="2880"/>
          </w:tcPr>
          <w:p>
            <w:pPr>
              <w:spacing w:after="0" w:before="0"/>
            </w:pPr>
            <w:r/>
            <w:r>
              <w:rPr>
                <w:b w:val="0"/>
                <w:i w:val="0"/>
                <w:sz w:val="19"/>
              </w:rPr>
              <w:t>New England</w:t>
            </w:r>
          </w:p>
        </w:tc>
        <w:tc>
          <w:tcPr>
            <w:tcW w:type="dxa" w:w="720"/>
          </w:tcPr>
          <w:p>
            <w:pPr>
              <w:spacing w:after="0" w:before="0"/>
              <w:jc w:val="right"/>
            </w:pPr>
            <w:r/>
            <w:r>
              <w:rPr>
                <w:b w:val="0"/>
                <w:i w:val="0"/>
                <w:sz w:val="19"/>
              </w:rPr>
              <w:t>13</w:t>
            </w:r>
          </w:p>
        </w:tc>
        <w:tc>
          <w:tcPr>
            <w:tcW w:type="dxa" w:w="1584"/>
          </w:tcPr>
          <w:p>
            <w:pPr>
              <w:spacing w:after="0" w:before="0"/>
              <w:jc w:val="right"/>
            </w:pPr>
            <w:r/>
            <w:r>
              <w:rPr>
                <w:b w:val="0"/>
                <w:i w:val="0"/>
                <w:sz w:val="19"/>
              </w:rPr>
              <w:t>$700</w:t>
            </w:r>
          </w:p>
        </w:tc>
        <w:tc>
          <w:tcPr>
            <w:tcW w:type="dxa" w:w="2160"/>
          </w:tcPr>
          <w:p>
            <w:pPr>
              <w:spacing w:after="0" w:before="0"/>
              <w:jc w:val="right"/>
            </w:pPr>
            <w:r/>
            <w:r>
              <w:rPr>
                <w:b w:val="0"/>
                <w:i w:val="0"/>
                <w:sz w:val="19"/>
              </w:rPr>
              <w:t>69%</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Elsewhere</w:t>
            </w:r>
          </w:p>
        </w:tc>
        <w:tc>
          <w:tcPr>
            <w:tcW w:type="dxa" w:w="720"/>
            <w:shd w:val="clear" w:color="auto" w:fill="F2F4F8"/>
          </w:tcPr>
          <w:p>
            <w:pPr>
              <w:spacing w:after="0" w:before="0"/>
              <w:jc w:val="right"/>
            </w:pPr>
            <w:r/>
            <w:r>
              <w:rPr>
                <w:b w:val="0"/>
                <w:i w:val="0"/>
                <w:sz w:val="19"/>
              </w:rPr>
              <w:t>23</w:t>
            </w:r>
          </w:p>
        </w:tc>
        <w:tc>
          <w:tcPr>
            <w:tcW w:type="dxa" w:w="1584"/>
            <w:shd w:val="clear" w:color="auto" w:fill="F2F4F8"/>
          </w:tcPr>
          <w:p>
            <w:pPr>
              <w:spacing w:after="0" w:before="0"/>
              <w:jc w:val="right"/>
            </w:pPr>
            <w:r/>
            <w:r>
              <w:rPr>
                <w:b w:val="0"/>
                <w:i w:val="0"/>
                <w:sz w:val="19"/>
              </w:rPr>
              <w:t>$771</w:t>
            </w:r>
          </w:p>
        </w:tc>
        <w:tc>
          <w:tcPr>
            <w:tcW w:type="dxa" w:w="2160"/>
            <w:shd w:val="clear" w:color="auto" w:fill="F2F4F8"/>
          </w:tcPr>
          <w:p>
            <w:pPr>
              <w:spacing w:after="0" w:before="0"/>
              <w:jc w:val="right"/>
            </w:pPr>
            <w:r/>
            <w:r>
              <w:rPr>
                <w:b w:val="0"/>
                <w:i w:val="0"/>
                <w:sz w:val="19"/>
              </w:rPr>
              <w:t>57%</w:t>
            </w:r>
          </w:p>
        </w:tc>
        <w:tc>
          <w:tcPr>
            <w:tcW w:type="dxa" w:w="2304"/>
            <w:shd w:val="clear" w:color="auto" w:fill="F2F4F8"/>
          </w:tcPr>
          <w:p>
            <w:pPr>
              <w:spacing w:after="0" w:before="0"/>
              <w:jc w:val="right"/>
            </w:pPr>
            <w:r/>
            <w:r>
              <w:rPr>
                <w:b w:val="0"/>
                <w:i w:val="0"/>
                <w:sz w:val="19"/>
              </w:rPr>
              <w:t>70%</w:t>
            </w:r>
          </w:p>
        </w:tc>
      </w:tr>
      <w:tr>
        <w:tc>
          <w:tcPr>
            <w:tcW w:type="dxa" w:w="2880"/>
          </w:tcPr>
          <w:p>
            <w:pPr>
              <w:spacing w:after="0" w:before="0"/>
            </w:pPr>
            <w:r/>
            <w:r>
              <w:rPr>
                <w:b w:val="0"/>
                <w:i w:val="0"/>
                <w:sz w:val="19"/>
              </w:rPr>
              <w:t>Duration 2.5 h or less</w:t>
            </w:r>
          </w:p>
        </w:tc>
        <w:tc>
          <w:tcPr>
            <w:tcW w:type="dxa" w:w="720"/>
          </w:tcPr>
          <w:p>
            <w:pPr>
              <w:spacing w:after="0" w:before="0"/>
              <w:jc w:val="right"/>
            </w:pPr>
            <w:r/>
            <w:r>
              <w:rPr>
                <w:b w:val="0"/>
                <w:i w:val="0"/>
                <w:sz w:val="19"/>
              </w:rPr>
              <w:t>26</w:t>
            </w:r>
          </w:p>
        </w:tc>
        <w:tc>
          <w:tcPr>
            <w:tcW w:type="dxa" w:w="1584"/>
          </w:tcPr>
          <w:p>
            <w:pPr>
              <w:spacing w:after="0" w:before="0"/>
              <w:jc w:val="right"/>
            </w:pPr>
            <w:r/>
            <w:r>
              <w:rPr>
                <w:b w:val="0"/>
                <w:i w:val="0"/>
                <w:sz w:val="19"/>
              </w:rPr>
              <w:t>$835</w:t>
            </w:r>
          </w:p>
        </w:tc>
        <w:tc>
          <w:tcPr>
            <w:tcW w:type="dxa" w:w="2160"/>
          </w:tcPr>
          <w:p>
            <w:pPr>
              <w:spacing w:after="0" w:before="0"/>
              <w:jc w:val="right"/>
            </w:pPr>
            <w:r/>
            <w:r>
              <w:rPr>
                <w:b w:val="0"/>
                <w:i w:val="0"/>
                <w:sz w:val="19"/>
              </w:rPr>
              <w:t>50%</w:t>
            </w:r>
          </w:p>
        </w:tc>
        <w:tc>
          <w:tcPr>
            <w:tcW w:type="dxa" w:w="2304"/>
          </w:tcPr>
          <w:p>
            <w:pPr>
              <w:spacing w:after="0" w:before="0"/>
              <w:jc w:val="right"/>
            </w:pPr>
            <w:r/>
            <w:r>
              <w:rPr>
                <w:b w:val="0"/>
                <w:i w:val="0"/>
                <w:sz w:val="19"/>
              </w:rPr>
              <w:t>73%</w:t>
            </w:r>
          </w:p>
        </w:tc>
      </w:tr>
      <w:tr>
        <w:tc>
          <w:tcPr>
            <w:tcW w:type="dxa" w:w="2880"/>
            <w:shd w:val="clear" w:color="auto" w:fill="F2F4F8"/>
          </w:tcPr>
          <w:p>
            <w:pPr>
              <w:spacing w:after="0" w:before="0"/>
            </w:pPr>
            <w:r/>
            <w:r>
              <w:rPr>
                <w:b w:val="0"/>
                <w:i w:val="0"/>
                <w:sz w:val="19"/>
              </w:rPr>
              <w:t>Duration over 2.5 h</w:t>
            </w:r>
          </w:p>
        </w:tc>
        <w:tc>
          <w:tcPr>
            <w:tcW w:type="dxa" w:w="720"/>
            <w:shd w:val="clear" w:color="auto" w:fill="F2F4F8"/>
          </w:tcPr>
          <w:p>
            <w:pPr>
              <w:spacing w:after="0" w:before="0"/>
              <w:jc w:val="right"/>
            </w:pPr>
            <w:r/>
            <w:r>
              <w:rPr>
                <w:b w:val="0"/>
                <w:i w:val="0"/>
                <w:sz w:val="19"/>
              </w:rPr>
              <w:t>29</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66%</w:t>
            </w:r>
          </w:p>
        </w:tc>
        <w:tc>
          <w:tcPr>
            <w:tcW w:type="dxa" w:w="2304"/>
            <w:shd w:val="clear" w:color="auto" w:fill="F2F4F8"/>
          </w:tcPr>
          <w:p>
            <w:pPr>
              <w:spacing w:after="0" w:before="0"/>
              <w:jc w:val="right"/>
            </w:pPr>
            <w:r/>
            <w:r>
              <w:rPr>
                <w:b w:val="0"/>
                <w:i w:val="0"/>
                <w:sz w:val="19"/>
              </w:rPr>
              <w:t>97%</w:t>
            </w:r>
          </w:p>
        </w:tc>
      </w:tr>
      <w:tr>
        <w:tc>
          <w:tcPr>
            <w:tcW w:type="dxa" w:w="2880"/>
          </w:tcPr>
          <w:p>
            <w:pPr>
              <w:spacing w:after="0" w:before="0"/>
            </w:pPr>
            <w:r/>
            <w:r>
              <w:rPr>
                <w:b w:val="0"/>
                <w:i w:val="0"/>
                <w:sz w:val="19"/>
              </w:rPr>
              <w:t>In service 2023 or later</w:t>
            </w:r>
          </w:p>
        </w:tc>
        <w:tc>
          <w:tcPr>
            <w:tcW w:type="dxa" w:w="720"/>
          </w:tcPr>
          <w:p>
            <w:pPr>
              <w:spacing w:after="0" w:before="0"/>
              <w:jc w:val="right"/>
            </w:pPr>
            <w:r/>
            <w:r>
              <w:rPr>
                <w:b w:val="0"/>
                <w:i w:val="0"/>
                <w:sz w:val="19"/>
              </w:rPr>
              <w:t>26</w:t>
            </w:r>
          </w:p>
        </w:tc>
        <w:tc>
          <w:tcPr>
            <w:tcW w:type="dxa" w:w="1584"/>
          </w:tcPr>
          <w:p>
            <w:pPr>
              <w:spacing w:after="0" w:before="0"/>
              <w:jc w:val="right"/>
            </w:pPr>
            <w:r/>
            <w:r>
              <w:rPr>
                <w:b w:val="0"/>
                <w:i w:val="0"/>
                <w:sz w:val="19"/>
              </w:rPr>
              <w:t>$821</w:t>
            </w:r>
          </w:p>
        </w:tc>
        <w:tc>
          <w:tcPr>
            <w:tcW w:type="dxa" w:w="2160"/>
          </w:tcPr>
          <w:p>
            <w:pPr>
              <w:spacing w:after="0" w:before="0"/>
              <w:jc w:val="right"/>
            </w:pPr>
            <w:r/>
            <w:r>
              <w:rPr>
                <w:b w:val="0"/>
                <w:i w:val="0"/>
                <w:sz w:val="19"/>
              </w:rPr>
              <w:t>58%</w:t>
            </w:r>
          </w:p>
        </w:tc>
        <w:tc>
          <w:tcPr>
            <w:tcW w:type="dxa" w:w="2304"/>
          </w:tcPr>
          <w:p>
            <w:pPr>
              <w:spacing w:after="0" w:before="0"/>
              <w:jc w:val="right"/>
            </w:pPr>
            <w:r/>
            <w:r>
              <w:rPr>
                <w:b w:val="0"/>
                <w:i w:val="0"/>
                <w:sz w:val="19"/>
              </w:rPr>
              <w:t>92%</w:t>
            </w:r>
          </w:p>
        </w:tc>
      </w:tr>
      <w:tr>
        <w:tc>
          <w:tcPr>
            <w:tcW w:type="dxa" w:w="2880"/>
            <w:shd w:val="clear" w:color="auto" w:fill="F2F4F8"/>
          </w:tcPr>
          <w:p>
            <w:pPr>
              <w:spacing w:after="0" w:before="0"/>
            </w:pPr>
            <w:r/>
            <w:r>
              <w:rPr>
                <w:b w:val="0"/>
                <w:i w:val="0"/>
                <w:sz w:val="19"/>
              </w:rPr>
              <w:t>In service before 2023</w:t>
            </w:r>
          </w:p>
        </w:tc>
        <w:tc>
          <w:tcPr>
            <w:tcW w:type="dxa" w:w="720"/>
            <w:shd w:val="clear" w:color="auto" w:fill="F2F4F8"/>
          </w:tcPr>
          <w:p>
            <w:pPr>
              <w:spacing w:after="0" w:before="0"/>
              <w:jc w:val="right"/>
            </w:pPr>
            <w:r/>
            <w:r>
              <w:rPr>
                <w:b w:val="0"/>
                <w:i w:val="0"/>
                <w:sz w:val="19"/>
              </w:rPr>
              <w:t>29</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59%</w:t>
            </w:r>
          </w:p>
        </w:tc>
        <w:tc>
          <w:tcPr>
            <w:tcW w:type="dxa" w:w="2304"/>
            <w:shd w:val="clear" w:color="auto" w:fill="F2F4F8"/>
          </w:tcPr>
          <w:p>
            <w:pPr>
              <w:spacing w:after="0" w:before="0"/>
              <w:jc w:val="right"/>
            </w:pPr>
            <w:r/>
            <w:r>
              <w:rPr>
                <w:b w:val="0"/>
                <w:i w:val="0"/>
                <w:sz w:val="19"/>
              </w:rPr>
              <w:t>79%</w:t>
            </w:r>
          </w:p>
        </w:tc>
      </w:tr>
    </w:tbl>
    <w:p>
      <w:pPr>
        <w:spacing w:after="40"/>
      </w:pPr>
    </w:p>
    <w:p>
      <w:pPr>
        <w:spacing w:after="120"/>
      </w:pPr>
      <w:r>
        <w:rPr>
          <w:b w:val="0"/>
          <w:i w:val="0"/>
        </w:rPr>
        <w:t>Three readings follow. First, ownership matters less than scope: the developer-owned members are cheaper per kWh (median $746 against $986) mainly because they are four-hour systems on leased lots with no utility switching station, no landfill platform, no siting case, no utility indirects and no AFUDC, and because the filed budgets do not net the New York incentive or the investment tax credit. Second, duration is the single largest structural driver: the members at two and a half hours or less have a median of $835 against $750 for the longer-duration members, which is the NREL cost-structure effect (fixed $/kW spread over fewer kWh) showing up in real projects. Third, the dollar-year objection does not survive re-basing: when each member's battery share is deflated on a published battery index and the remainder escalated on the Handy-Whitman utility construction index, the class median moves from $771 to between $806 and $838 depending on the battery index, and Hyde Park's station-complete percentile stays between 75% and 89%. The memo carries the method, the sensitivities and the sources; Appendix B of this paper lists the members.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2"/>
      </w:pPr>
      <w:r>
        <w:t>5.3 Scaling a published cost to 2026: one escalator per layer</w:t>
      </w:r>
    </w:p>
    <w:p>
      <w:pPr>
        <w:spacing w:after="120"/>
      </w:pPr>
      <w:r>
        <w:rPr>
          <w:b w:val="0"/>
          <w:i w:val="0"/>
        </w:rPr>
        <w:t>Every figure in section 5 was published in a different year, and the comparables in 5.2 are nominal dollars of their in-service year. The statistical memo re-bases them with a two-component model: the battery share of each cost deflated on a battery index and the rest escalated on the Handy-Whitman North Atlantic construction index. The objection a careful reviewer will raise is that the rest is not one thing. A substation does not escalate like a steam plant, Boston electrical labor does not escalate like transformers, and a two-hour utility project has a different mix from a four-hour merchant one. The check below gives each Rev 3 layer its own published series and asks what changes.</w:t>
      </w:r>
    </w:p>
    <w:tbl>
      <w:tblPr>
        <w:tblStyle w:val="TableGrid"/>
        <w:tblW w:type="auto" w:w="0"/>
        <w:jc w:val="center"/>
        <w:tblLayout w:type="fixed"/>
        <w:tblLook w:firstColumn="1" w:firstRow="1" w:lastColumn="0" w:lastRow="0" w:noHBand="0" w:noVBand="1" w:val="04A0"/>
      </w:tblPr>
      <w:tblGrid>
        <w:gridCol w:w="2880"/>
        <w:gridCol w:w="1296"/>
        <w:gridCol w:w="4176"/>
        <w:gridCol w:w="1296"/>
      </w:tblGrid>
      <w:tr>
        <w:tc>
          <w:tcPr>
            <w:tcW w:type="dxa" w:w="2880"/>
            <w:shd w:val="clear" w:color="auto" w:fill="001E60"/>
          </w:tcPr>
          <w:p>
            <w:pPr>
              <w:spacing w:after="0" w:before="0"/>
            </w:pPr>
            <w:r/>
            <w:r>
              <w:rPr>
                <w:b/>
                <w:i w:val="0"/>
                <w:color w:val="FFFFFF"/>
                <w:sz w:val="18"/>
              </w:rPr>
              <w:t>Layer</w:t>
            </w:r>
          </w:p>
        </w:tc>
        <w:tc>
          <w:tcPr>
            <w:tcW w:type="dxa" w:w="1296"/>
            <w:shd w:val="clear" w:color="auto" w:fill="001E60"/>
          </w:tcPr>
          <w:p>
            <w:pPr>
              <w:spacing w:after="0" w:before="0"/>
            </w:pPr>
            <w:r/>
            <w:r>
              <w:rPr>
                <w:b/>
                <w:i w:val="0"/>
                <w:color w:val="FFFFFF"/>
                <w:sz w:val="18"/>
              </w:rPr>
              <w:t>Loaded share</w:t>
            </w:r>
          </w:p>
        </w:tc>
        <w:tc>
          <w:tcPr>
            <w:tcW w:type="dxa" w:w="4176"/>
            <w:shd w:val="clear" w:color="auto" w:fill="001E60"/>
          </w:tcPr>
          <w:p>
            <w:pPr>
              <w:spacing w:after="0" w:before="0"/>
            </w:pPr>
            <w:r/>
            <w:r>
              <w:rPr>
                <w:b/>
                <w:i w:val="0"/>
                <w:color w:val="FFFFFF"/>
                <w:sz w:val="18"/>
              </w:rPr>
              <w:t>Escalator</w:t>
            </w:r>
          </w:p>
        </w:tc>
        <w:tc>
          <w:tcPr>
            <w:tcW w:type="dxa" w:w="1296"/>
            <w:shd w:val="clear" w:color="auto" w:fill="001E60"/>
          </w:tcPr>
          <w:p>
            <w:pPr>
              <w:spacing w:after="0" w:before="0"/>
            </w:pPr>
            <w:r/>
            <w:r>
              <w:rPr>
                <w:b/>
                <w:i w:val="0"/>
                <w:color w:val="FFFFFF"/>
                <w:sz w:val="18"/>
              </w:rPr>
              <w:t>2018 to 2026</w:t>
            </w:r>
          </w:p>
        </w:tc>
      </w:tr>
      <w:tr>
        <w:tc>
          <w:tcPr>
            <w:tcW w:type="dxa" w:w="2880"/>
          </w:tcPr>
          <w:p>
            <w:pPr>
              <w:spacing w:after="0" w:before="0"/>
            </w:pPr>
            <w:r/>
            <w:r>
              <w:rPr>
                <w:b w:val="0"/>
                <w:i w:val="0"/>
                <w:sz w:val="18"/>
              </w:rPr>
              <w:t>A. Battery contract</w:t>
            </w:r>
          </w:p>
        </w:tc>
        <w:tc>
          <w:tcPr>
            <w:tcW w:type="dxa" w:w="1296"/>
          </w:tcPr>
          <w:p>
            <w:pPr>
              <w:spacing w:after="0" w:before="0"/>
              <w:jc w:val="right"/>
            </w:pPr>
            <w:r/>
            <w:r>
              <w:rPr>
                <w:b w:val="0"/>
                <w:i w:val="0"/>
                <w:sz w:val="18"/>
              </w:rPr>
              <w:t>38%</w:t>
            </w:r>
          </w:p>
        </w:tc>
        <w:tc>
          <w:tcPr>
            <w:tcW w:type="dxa" w:w="4176"/>
          </w:tcPr>
          <w:p>
            <w:pPr>
              <w:spacing w:after="0" w:before="0"/>
            </w:pPr>
            <w:r/>
            <w:r>
              <w:rPr>
                <w:b w:val="0"/>
                <w:i w:val="0"/>
                <w:sz w:val="18"/>
              </w:rPr>
              <w:t>EIA / LBNL installed battery cost</w:t>
            </w:r>
          </w:p>
        </w:tc>
        <w:tc>
          <w:tcPr>
            <w:tcW w:type="dxa" w:w="1296"/>
          </w:tcPr>
          <w:p>
            <w:pPr>
              <w:spacing w:after="0" w:before="0"/>
              <w:jc w:val="right"/>
            </w:pPr>
            <w:r/>
            <w:r>
              <w:rPr>
                <w:b w:val="0"/>
                <w:i w:val="0"/>
                <w:sz w:val="18"/>
              </w:rPr>
              <w:t>0.73x</w:t>
            </w:r>
          </w:p>
        </w:tc>
      </w:tr>
      <w:tr>
        <w:tc>
          <w:tcPr>
            <w:tcW w:type="dxa" w:w="2880"/>
            <w:shd w:val="clear" w:color="auto" w:fill="F2F4F8"/>
          </w:tcPr>
          <w:p>
            <w:pPr>
              <w:spacing w:after="0" w:before="0"/>
            </w:pPr>
            <w:r/>
            <w:r>
              <w:rPr>
                <w:b w:val="0"/>
                <w:i w:val="0"/>
                <w:sz w:val="18"/>
              </w:rPr>
              <w:t>B. Battery installation</w:t>
            </w:r>
          </w:p>
        </w:tc>
        <w:tc>
          <w:tcPr>
            <w:tcW w:type="dxa" w:w="1296"/>
            <w:shd w:val="clear" w:color="auto" w:fill="F2F4F8"/>
          </w:tcPr>
          <w:p>
            <w:pPr>
              <w:spacing w:after="0" w:before="0"/>
              <w:jc w:val="right"/>
            </w:pPr>
            <w:r/>
            <w:r>
              <w:rPr>
                <w:b w:val="0"/>
                <w:i w:val="0"/>
                <w:sz w:val="18"/>
              </w:rPr>
              <w:t>5%</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C. GSUs and auxiliary power</w:t>
            </w:r>
          </w:p>
        </w:tc>
        <w:tc>
          <w:tcPr>
            <w:tcW w:type="dxa" w:w="1296"/>
          </w:tcPr>
          <w:p>
            <w:pPr>
              <w:spacing w:after="0" w:before="0"/>
              <w:jc w:val="right"/>
            </w:pPr>
            <w:r/>
            <w:r>
              <w:rPr>
                <w:b w:val="0"/>
                <w:i w:val="0"/>
                <w:sz w:val="18"/>
              </w:rPr>
              <w:t>6%</w:t>
            </w:r>
          </w:p>
        </w:tc>
        <w:tc>
          <w:tcPr>
            <w:tcW w:type="dxa" w:w="4176"/>
          </w:tcPr>
          <w:p>
            <w:pPr>
              <w:spacing w:after="0" w:before="0"/>
            </w:pPr>
            <w:r/>
            <w:r>
              <w:rPr>
                <w:b w:val="0"/>
                <w:i w:val="0"/>
                <w:sz w:val="18"/>
              </w:rPr>
              <w:t>BLS PPI, power and distribution transformers</w:t>
            </w:r>
          </w:p>
        </w:tc>
        <w:tc>
          <w:tcPr>
            <w:tcW w:type="dxa" w:w="1296"/>
          </w:tcPr>
          <w:p>
            <w:pPr>
              <w:spacing w:after="0" w:before="0"/>
              <w:jc w:val="right"/>
            </w:pPr>
            <w:r/>
            <w:r>
              <w:rPr>
                <w:b w:val="0"/>
                <w:i w:val="0"/>
                <w:sz w:val="18"/>
              </w:rPr>
              <w:t>1.91x</w:t>
            </w:r>
          </w:p>
        </w:tc>
      </w:tr>
      <w:tr>
        <w:tc>
          <w:tcPr>
            <w:tcW w:type="dxa" w:w="2880"/>
            <w:shd w:val="clear" w:color="auto" w:fill="F2F4F8"/>
          </w:tcPr>
          <w:p>
            <w:pPr>
              <w:spacing w:after="0" w:before="0"/>
            </w:pPr>
            <w:r/>
            <w:r>
              <w:rPr>
                <w:b w:val="0"/>
                <w:i w:val="0"/>
                <w:sz w:val="18"/>
              </w:rPr>
              <w:t>D. Switching station</w:t>
            </w:r>
          </w:p>
        </w:tc>
        <w:tc>
          <w:tcPr>
            <w:tcW w:type="dxa" w:w="1296"/>
            <w:shd w:val="clear" w:color="auto" w:fill="F2F4F8"/>
          </w:tcPr>
          <w:p>
            <w:pPr>
              <w:spacing w:after="0" w:before="0"/>
              <w:jc w:val="right"/>
            </w:pPr>
            <w:r/>
            <w:r>
              <w:rPr>
                <w:b w:val="0"/>
                <w:i w:val="0"/>
                <w:sz w:val="18"/>
              </w:rPr>
              <w:t>11%</w:t>
            </w:r>
          </w:p>
        </w:tc>
        <w:tc>
          <w:tcPr>
            <w:tcW w:type="dxa" w:w="4176"/>
            <w:shd w:val="clear" w:color="auto" w:fill="F2F4F8"/>
          </w:tcPr>
          <w:p>
            <w:pPr>
              <w:spacing w:after="0" w:before="0"/>
            </w:pPr>
            <w:r/>
            <w:r>
              <w:rPr>
                <w:b w:val="0"/>
                <w:i w:val="0"/>
                <w:sz w:val="18"/>
              </w:rPr>
              <w:t>BLS PPI, switchgear and switchboard</w:t>
            </w:r>
          </w:p>
        </w:tc>
        <w:tc>
          <w:tcPr>
            <w:tcW w:type="dxa" w:w="1296"/>
            <w:shd w:val="clear" w:color="auto" w:fill="F2F4F8"/>
          </w:tcPr>
          <w:p>
            <w:pPr>
              <w:spacing w:after="0" w:before="0"/>
              <w:jc w:val="right"/>
            </w:pPr>
            <w:r/>
            <w:r>
              <w:rPr>
                <w:b w:val="0"/>
                <w:i w:val="0"/>
                <w:sz w:val="18"/>
              </w:rPr>
              <w:t>1.82x</w:t>
            </w:r>
          </w:p>
        </w:tc>
      </w:tr>
      <w:tr>
        <w:tc>
          <w:tcPr>
            <w:tcW w:type="dxa" w:w="2880"/>
          </w:tcPr>
          <w:p>
            <w:pPr>
              <w:spacing w:after="0" w:before="0"/>
            </w:pPr>
            <w:r/>
            <w:r>
              <w:rPr>
                <w:b w:val="0"/>
                <w:i w:val="0"/>
                <w:sz w:val="18"/>
              </w:rPr>
              <w:t>E. Site and civil</w:t>
            </w:r>
          </w:p>
        </w:tc>
        <w:tc>
          <w:tcPr>
            <w:tcW w:type="dxa" w:w="1296"/>
          </w:tcPr>
          <w:p>
            <w:pPr>
              <w:spacing w:after="0" w:before="0"/>
              <w:jc w:val="right"/>
            </w:pPr>
            <w:r/>
            <w:r>
              <w:rPr>
                <w:b w:val="0"/>
                <w:i w:val="0"/>
                <w:sz w:val="18"/>
              </w:rPr>
              <w:t>8%</w:t>
            </w:r>
          </w:p>
        </w:tc>
        <w:tc>
          <w:tcPr>
            <w:tcW w:type="dxa" w:w="4176"/>
          </w:tcPr>
          <w:p>
            <w:pPr>
              <w:spacing w:after="0" w:before="0"/>
            </w:pPr>
            <w:r/>
            <w:r>
              <w:rPr>
                <w:b w:val="0"/>
                <w:i w:val="0"/>
                <w:sz w:val="18"/>
              </w:rPr>
              <w:t>ENR Construction Cost Index</w:t>
            </w:r>
          </w:p>
        </w:tc>
        <w:tc>
          <w:tcPr>
            <w:tcW w:type="dxa" w:w="1296"/>
          </w:tcPr>
          <w:p>
            <w:pPr>
              <w:spacing w:after="0" w:before="0"/>
              <w:jc w:val="right"/>
            </w:pPr>
            <w:r/>
            <w:r>
              <w:rPr>
                <w:b w:val="0"/>
                <w:i w:val="0"/>
                <w:sz w:val="18"/>
              </w:rPr>
              <w:t>1.26x</w:t>
            </w:r>
          </w:p>
        </w:tc>
      </w:tr>
      <w:tr>
        <w:tc>
          <w:tcPr>
            <w:tcW w:type="dxa" w:w="2880"/>
            <w:shd w:val="clear" w:color="auto" w:fill="F2F4F8"/>
          </w:tcPr>
          <w:p>
            <w:pPr>
              <w:spacing w:after="0" w:before="0"/>
            </w:pPr>
            <w:r/>
            <w:r>
              <w:rPr>
                <w:b w:val="0"/>
                <w:i w:val="0"/>
                <w:sz w:val="18"/>
              </w:rPr>
              <w:t>F. Feeder protection (Station 496)</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G. Testing and commissioning</w:t>
            </w:r>
          </w:p>
        </w:tc>
        <w:tc>
          <w:tcPr>
            <w:tcW w:type="dxa" w:w="1296"/>
          </w:tcPr>
          <w:p>
            <w:pPr>
              <w:spacing w:after="0" w:before="0"/>
              <w:jc w:val="right"/>
            </w:pPr>
            <w:r/>
            <w:r>
              <w:rPr>
                <w:b w:val="0"/>
                <w:i w:val="0"/>
                <w:sz w:val="18"/>
              </w:rPr>
              <w:t>4%</w:t>
            </w:r>
          </w:p>
        </w:tc>
        <w:tc>
          <w:tcPr>
            <w:tcW w:type="dxa" w:w="4176"/>
          </w:tcPr>
          <w:p>
            <w:pPr>
              <w:spacing w:after="0" w:before="0"/>
            </w:pPr>
            <w:r/>
            <w:r>
              <w:rPr>
                <w:b w:val="0"/>
                <w:i w:val="0"/>
                <w:sz w:val="18"/>
              </w:rPr>
              <w:t>IBEW Local 103 journeyman rate</w:t>
            </w:r>
          </w:p>
        </w:tc>
        <w:tc>
          <w:tcPr>
            <w:tcW w:type="dxa" w:w="1296"/>
          </w:tcPr>
          <w:p>
            <w:pPr>
              <w:spacing w:after="0" w:before="0"/>
              <w:jc w:val="right"/>
            </w:pPr>
            <w:r/>
            <w:r>
              <w:rPr>
                <w:b w:val="0"/>
                <w:i w:val="0"/>
                <w:sz w:val="18"/>
              </w:rPr>
              <w:t>1.30x</w:t>
            </w:r>
          </w:p>
        </w:tc>
      </w:tr>
      <w:tr>
        <w:tc>
          <w:tcPr>
            <w:tcW w:type="dxa" w:w="2880"/>
            <w:shd w:val="clear" w:color="auto" w:fill="F2F4F8"/>
          </w:tcPr>
          <w:p>
            <w:pPr>
              <w:spacing w:after="0" w:before="0"/>
            </w:pPr>
            <w:r/>
            <w:r>
              <w:rPr>
                <w:b w:val="0"/>
                <w:i w:val="0"/>
                <w:sz w:val="18"/>
              </w:rPr>
              <w:t>H. Owner soft costs</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BLS PPI, engineering services</w:t>
            </w:r>
          </w:p>
        </w:tc>
        <w:tc>
          <w:tcPr>
            <w:tcW w:type="dxa" w:w="1296"/>
            <w:shd w:val="clear" w:color="auto" w:fill="F2F4F8"/>
          </w:tcPr>
          <w:p>
            <w:pPr>
              <w:spacing w:after="0" w:before="0"/>
              <w:jc w:val="right"/>
            </w:pPr>
            <w:r/>
            <w:r>
              <w:rPr>
                <w:b w:val="0"/>
                <w:i w:val="0"/>
                <w:sz w:val="18"/>
              </w:rPr>
              <w:t>1.25x</w:t>
            </w:r>
          </w:p>
        </w:tc>
      </w:tr>
      <w:tr>
        <w:tc>
          <w:tcPr>
            <w:tcW w:type="dxa" w:w="2880"/>
          </w:tcPr>
          <w:p>
            <w:pPr>
              <w:spacing w:after="0" w:before="0"/>
            </w:pPr>
            <w:r/>
            <w:r>
              <w:rPr>
                <w:b w:val="0"/>
                <w:i w:val="0"/>
                <w:sz w:val="18"/>
              </w:rPr>
              <w:t>I. Taxes and insurance</w:t>
            </w:r>
          </w:p>
        </w:tc>
        <w:tc>
          <w:tcPr>
            <w:tcW w:type="dxa" w:w="1296"/>
          </w:tcPr>
          <w:p>
            <w:pPr>
              <w:spacing w:after="0" w:before="0"/>
              <w:jc w:val="right"/>
            </w:pPr>
            <w:r/>
            <w:r>
              <w:rPr>
                <w:b w:val="0"/>
                <w:i w:val="0"/>
                <w:sz w:val="18"/>
              </w:rPr>
              <w:t>2%</w:t>
            </w:r>
          </w:p>
        </w:tc>
        <w:tc>
          <w:tcPr>
            <w:tcW w:type="dxa" w:w="4176"/>
          </w:tcPr>
          <w:p>
            <w:pPr>
              <w:spacing w:after="0" w:before="0"/>
            </w:pPr>
            <w:r/>
            <w:r>
              <w:rPr>
                <w:b w:val="0"/>
                <w:i w:val="0"/>
                <w:sz w:val="18"/>
              </w:rPr>
              <w:t>Handy-Whitman, North Atlantic</w:t>
            </w:r>
          </w:p>
        </w:tc>
        <w:tc>
          <w:tcPr>
            <w:tcW w:type="dxa" w:w="1296"/>
          </w:tcPr>
          <w:p>
            <w:pPr>
              <w:spacing w:after="0" w:before="0"/>
              <w:jc w:val="right"/>
            </w:pPr>
            <w:r/>
            <w:r>
              <w:rPr>
                <w:b w:val="0"/>
                <w:i w:val="0"/>
                <w:sz w:val="18"/>
              </w:rPr>
              <w:t>1.49x</w:t>
            </w:r>
          </w:p>
        </w:tc>
      </w:tr>
      <w:tr>
        <w:tc>
          <w:tcPr>
            <w:tcW w:type="dxa" w:w="2880"/>
            <w:shd w:val="clear" w:color="auto" w:fill="F2F4F8"/>
          </w:tcPr>
          <w:p>
            <w:pPr>
              <w:spacing w:after="0" w:before="0"/>
            </w:pPr>
            <w:r/>
            <w:r>
              <w:rPr>
                <w:b w:val="0"/>
                <w:i w:val="0"/>
                <w:sz w:val="18"/>
              </w:rPr>
              <w:t>Composite, Hyde Park weights</w:t>
            </w:r>
          </w:p>
        </w:tc>
        <w:tc>
          <w:tcPr>
            <w:tcW w:type="dxa" w:w="1296"/>
            <w:shd w:val="clear" w:color="auto" w:fill="F2F4F8"/>
          </w:tcPr>
          <w:p>
            <w:pPr>
              <w:spacing w:after="0" w:before="0"/>
              <w:jc w:val="right"/>
            </w:pPr>
            <w:r/>
            <w:r>
              <w:rPr>
                <w:b w:val="0"/>
                <w:i w:val="0"/>
                <w:sz w:val="18"/>
              </w:rPr>
              <w:t>100%</w:t>
            </w:r>
          </w:p>
        </w:tc>
        <w:tc>
          <w:tcPr>
            <w:tcW w:type="dxa" w:w="4176"/>
            <w:shd w:val="clear" w:color="auto" w:fill="F2F4F8"/>
          </w:tcPr>
          <w:p>
            <w:pPr>
              <w:spacing w:after="0" w:before="0"/>
            </w:pPr>
            <w:r/>
            <w:r>
              <w:rPr>
                <w:b w:val="0"/>
                <w:i w:val="0"/>
                <w:sz w:val="18"/>
              </w:rPr>
              <w:t>weighted sum</w:t>
            </w:r>
          </w:p>
        </w:tc>
        <w:tc>
          <w:tcPr>
            <w:tcW w:type="dxa" w:w="1296"/>
            <w:shd w:val="clear" w:color="auto" w:fill="F2F4F8"/>
          </w:tcPr>
          <w:p>
            <w:pPr>
              <w:spacing w:after="0" w:before="0"/>
              <w:jc w:val="right"/>
            </w:pPr>
            <w:r/>
            <w:r>
              <w:rPr>
                <w:b w:val="0"/>
                <w:i w:val="0"/>
                <w:sz w:val="18"/>
              </w:rPr>
              <w:t>1.17x</w:t>
            </w:r>
          </w:p>
        </w:tc>
      </w:tr>
    </w:tbl>
    <w:p>
      <w:pPr>
        <w:spacing w:after="40"/>
      </w:pPr>
    </w:p>
    <w:p>
      <w:pPr>
        <w:spacing w:after="120"/>
      </w:pPr>
      <w:r>
        <w:rPr>
          <w:b w:val="0"/>
          <w:i w:val="0"/>
        </w:rPr>
        <w:t>Five non-battery series stand between 1.25x and 1.91x since 2018; the installed battery index stands at 0.73x. Weighted by the Rev 3 loaded layers, a 2018 project built the way Hyde Park is built costs 1.17x in 2026 dollars. The two-component model gives 1.19x; deflating the whole cost at the battery rate, which is what the 'batteries were four times the price' argument does, gives 0.73x. Transformers (1.91x) and switchgear (1.82x) are the fastest risers, so a station-heavy utility project has escalated faster than a battery-heavy merchant one, not slower.</w:t>
      </w:r>
    </w:p>
    <w:tbl>
      <w:tblPr>
        <w:tblStyle w:val="TableGrid"/>
        <w:tblW w:type="auto" w:w="0"/>
        <w:jc w:val="center"/>
        <w:tblLayout w:type="fixed"/>
        <w:tblLook w:firstColumn="1" w:firstRow="1" w:lastColumn="0" w:lastRow="0" w:noHBand="0" w:noVBand="1" w:val="04A0"/>
      </w:tblPr>
      <w:tblGrid>
        <w:gridCol w:w="3312"/>
        <w:gridCol w:w="1440"/>
        <w:gridCol w:w="1440"/>
        <w:gridCol w:w="1584"/>
        <w:gridCol w:w="1440"/>
        <w:gridCol w:w="1440"/>
      </w:tblGrid>
      <w:tr>
        <w:tc>
          <w:tcPr>
            <w:tcW w:type="dxa" w:w="3312"/>
            <w:shd w:val="clear" w:color="auto" w:fill="001E60"/>
          </w:tcPr>
          <w:p>
            <w:pPr>
              <w:spacing w:after="0" w:before="0"/>
            </w:pPr>
            <w:r/>
            <w:r>
              <w:rPr>
                <w:b/>
                <w:i w:val="0"/>
                <w:color w:val="FFFFFF"/>
                <w:sz w:val="18"/>
              </w:rPr>
              <w:t>Method</w:t>
            </w:r>
          </w:p>
        </w:tc>
        <w:tc>
          <w:tcPr>
            <w:tcW w:type="dxa" w:w="1440"/>
            <w:shd w:val="clear" w:color="auto" w:fill="001E60"/>
          </w:tcPr>
          <w:p>
            <w:pPr>
              <w:spacing w:after="0" w:before="0"/>
            </w:pPr>
            <w:r/>
            <w:r>
              <w:rPr>
                <w:b/>
                <w:i w:val="0"/>
                <w:color w:val="FFFFFF"/>
                <w:sz w:val="18"/>
              </w:rPr>
              <w:t>Class median $/kWh</w:t>
            </w:r>
          </w:p>
        </w:tc>
        <w:tc>
          <w:tcPr>
            <w:tcW w:type="dxa" w:w="1440"/>
            <w:shd w:val="clear" w:color="auto" w:fill="001E60"/>
          </w:tcPr>
          <w:p>
            <w:pPr>
              <w:spacing w:after="0" w:before="0"/>
            </w:pPr>
            <w:r/>
            <w:r>
              <w:rPr>
                <w:b/>
                <w:i w:val="0"/>
                <w:color w:val="FFFFFF"/>
                <w:sz w:val="18"/>
              </w:rPr>
              <w:t>Hyde Park installed, pct</w:t>
            </w:r>
          </w:p>
        </w:tc>
        <w:tc>
          <w:tcPr>
            <w:tcW w:type="dxa" w:w="1584"/>
            <w:shd w:val="clear" w:color="auto" w:fill="001E60"/>
          </w:tcPr>
          <w:p>
            <w:pPr>
              <w:spacing w:after="0" w:before="0"/>
            </w:pPr>
            <w:r/>
            <w:r>
              <w:rPr>
                <w:b/>
                <w:i w:val="0"/>
                <w:color w:val="FFFFFF"/>
                <w:sz w:val="18"/>
              </w:rPr>
              <w:t>Hyde Park station direct, pct</w:t>
            </w:r>
          </w:p>
        </w:tc>
        <w:tc>
          <w:tcPr>
            <w:tcW w:type="dxa" w:w="1440"/>
            <w:shd w:val="clear" w:color="auto" w:fill="001E60"/>
          </w:tcPr>
          <w:p>
            <w:pPr>
              <w:spacing w:after="0" w:before="0"/>
            </w:pPr>
            <w:r/>
            <w:r>
              <w:rPr>
                <w:b/>
                <w:i w:val="0"/>
                <w:color w:val="FFFFFF"/>
                <w:sz w:val="18"/>
              </w:rPr>
              <w:t>Utility subclass median</w:t>
            </w:r>
          </w:p>
        </w:tc>
        <w:tc>
          <w:tcPr>
            <w:tcW w:type="dxa" w:w="1440"/>
            <w:shd w:val="clear" w:color="auto" w:fill="001E60"/>
          </w:tcPr>
          <w:p>
            <w:pPr>
              <w:spacing w:after="0" w:before="0"/>
            </w:pPr>
            <w:r/>
            <w:r>
              <w:rPr>
                <w:b/>
                <w:i w:val="0"/>
                <w:color w:val="FFFFFF"/>
                <w:sz w:val="18"/>
              </w:rPr>
              <w:t>Station pct, utility subclass</w:t>
            </w:r>
          </w:p>
        </w:tc>
      </w:tr>
      <w:tr>
        <w:tc>
          <w:tcPr>
            <w:tcW w:type="dxa" w:w="3312"/>
          </w:tcPr>
          <w:p>
            <w:pPr>
              <w:spacing w:after="0" w:before="0"/>
            </w:pPr>
            <w:r/>
            <w:r>
              <w:rPr>
                <w:b w:val="0"/>
                <w:i w:val="0"/>
                <w:sz w:val="18"/>
              </w:rPr>
              <w:t>As published</w:t>
            </w:r>
          </w:p>
        </w:tc>
        <w:tc>
          <w:tcPr>
            <w:tcW w:type="dxa" w:w="1440"/>
          </w:tcPr>
          <w:p>
            <w:pPr>
              <w:spacing w:after="0" w:before="0"/>
              <w:jc w:val="right"/>
            </w:pPr>
            <w:r/>
            <w:r>
              <w:rPr>
                <w:b w:val="0"/>
                <w:i w:val="0"/>
                <w:sz w:val="18"/>
              </w:rPr>
              <w:t>$771</w:t>
            </w:r>
          </w:p>
        </w:tc>
        <w:tc>
          <w:tcPr>
            <w:tcW w:type="dxa" w:w="1440"/>
          </w:tcPr>
          <w:p>
            <w:pPr>
              <w:spacing w:after="0" w:before="0"/>
              <w:jc w:val="right"/>
            </w:pPr>
            <w:r/>
            <w:r>
              <w:rPr>
                <w:b w:val="0"/>
                <w:i w:val="0"/>
                <w:sz w:val="18"/>
              </w:rPr>
              <w:t>58%</w:t>
            </w:r>
          </w:p>
        </w:tc>
        <w:tc>
          <w:tcPr>
            <w:tcW w:type="dxa" w:w="1584"/>
          </w:tcPr>
          <w:p>
            <w:pPr>
              <w:spacing w:after="0" w:before="0"/>
              <w:jc w:val="right"/>
            </w:pPr>
            <w:r/>
            <w:r>
              <w:rPr>
                <w:b w:val="0"/>
                <w:i w:val="0"/>
                <w:sz w:val="18"/>
              </w:rPr>
              <w:t>85%</w:t>
            </w:r>
          </w:p>
        </w:tc>
        <w:tc>
          <w:tcPr>
            <w:tcW w:type="dxa" w:w="1440"/>
          </w:tcPr>
          <w:p>
            <w:pPr>
              <w:spacing w:after="0" w:before="0"/>
              <w:jc w:val="right"/>
            </w:pPr>
            <w:r/>
            <w:r>
              <w:rPr>
                <w:b w:val="0"/>
                <w:i w:val="0"/>
                <w:sz w:val="18"/>
              </w:rPr>
              <w:t>$986</w:t>
            </w:r>
          </w:p>
        </w:tc>
        <w:tc>
          <w:tcPr>
            <w:tcW w:type="dxa" w:w="1440"/>
          </w:tcPr>
          <w:p>
            <w:pPr>
              <w:spacing w:after="0" w:before="0"/>
              <w:jc w:val="right"/>
            </w:pPr>
            <w:r/>
            <w:r>
              <w:rPr>
                <w:b w:val="0"/>
                <w:i w:val="0"/>
                <w:sz w:val="18"/>
              </w:rPr>
              <w:t>74%</w:t>
            </w:r>
          </w:p>
        </w:tc>
      </w:tr>
      <w:tr>
        <w:tc>
          <w:tcPr>
            <w:tcW w:type="dxa" w:w="3312"/>
            <w:shd w:val="clear" w:color="auto" w:fill="F2F4F8"/>
          </w:tcPr>
          <w:p>
            <w:pPr>
              <w:spacing w:after="0" w:before="0"/>
            </w:pPr>
            <w:r/>
            <w:r>
              <w:rPr>
                <w:b w:val="0"/>
                <w:i w:val="0"/>
                <w:sz w:val="18"/>
              </w:rPr>
              <w:t>Whole cost at the battery rate</w:t>
            </w:r>
          </w:p>
        </w:tc>
        <w:tc>
          <w:tcPr>
            <w:tcW w:type="dxa" w:w="1440"/>
            <w:shd w:val="clear" w:color="auto" w:fill="F2F4F8"/>
          </w:tcPr>
          <w:p>
            <w:pPr>
              <w:spacing w:after="0" w:before="0"/>
              <w:jc w:val="right"/>
            </w:pPr>
            <w:r/>
            <w:r>
              <w:rPr>
                <w:b w:val="0"/>
                <w:i w:val="0"/>
                <w:sz w:val="18"/>
              </w:rPr>
              <w:t>$620</w:t>
            </w:r>
          </w:p>
        </w:tc>
        <w:tc>
          <w:tcPr>
            <w:tcW w:type="dxa" w:w="1440"/>
            <w:shd w:val="clear" w:color="auto" w:fill="F2F4F8"/>
          </w:tcPr>
          <w:p>
            <w:pPr>
              <w:spacing w:after="0" w:before="0"/>
              <w:jc w:val="right"/>
            </w:pPr>
            <w:r/>
            <w:r>
              <w:rPr>
                <w:b w:val="0"/>
                <w:i w:val="0"/>
                <w:sz w:val="18"/>
              </w:rPr>
              <w:t>67%</w:t>
            </w:r>
          </w:p>
        </w:tc>
        <w:tc>
          <w:tcPr>
            <w:tcW w:type="dxa" w:w="1584"/>
            <w:shd w:val="clear" w:color="auto" w:fill="F2F4F8"/>
          </w:tcPr>
          <w:p>
            <w:pPr>
              <w:spacing w:after="0" w:before="0"/>
              <w:jc w:val="right"/>
            </w:pPr>
            <w:r/>
            <w:r>
              <w:rPr>
                <w:b w:val="0"/>
                <w:i w:val="0"/>
                <w:sz w:val="18"/>
              </w:rPr>
              <w:t>95%</w:t>
            </w:r>
          </w:p>
        </w:tc>
        <w:tc>
          <w:tcPr>
            <w:tcW w:type="dxa" w:w="1440"/>
            <w:shd w:val="clear" w:color="auto" w:fill="F2F4F8"/>
          </w:tcPr>
          <w:p>
            <w:pPr>
              <w:spacing w:after="0" w:before="0"/>
              <w:jc w:val="right"/>
            </w:pPr>
            <w:r/>
            <w:r>
              <w:rPr>
                <w:b w:val="0"/>
                <w:i w:val="0"/>
                <w:sz w:val="18"/>
              </w:rPr>
              <w:t>$610</w:t>
            </w:r>
          </w:p>
        </w:tc>
        <w:tc>
          <w:tcPr>
            <w:tcW w:type="dxa" w:w="1440"/>
            <w:shd w:val="clear" w:color="auto" w:fill="F2F4F8"/>
          </w:tcPr>
          <w:p>
            <w:pPr>
              <w:spacing w:after="0" w:before="0"/>
              <w:jc w:val="right"/>
            </w:pPr>
            <w:r/>
            <w:r>
              <w:rPr>
                <w:b w:val="0"/>
                <w:i w:val="0"/>
                <w:sz w:val="18"/>
              </w:rPr>
              <w:t>90%</w:t>
            </w:r>
          </w:p>
        </w:tc>
      </w:tr>
      <w:tr>
        <w:tc>
          <w:tcPr>
            <w:tcW w:type="dxa" w:w="3312"/>
          </w:tcPr>
          <w:p>
            <w:pPr>
              <w:spacing w:after="0" w:before="0"/>
            </w:pPr>
            <w:r/>
            <w:r>
              <w:rPr>
                <w:b w:val="0"/>
                <w:i w:val="0"/>
                <w:sz w:val="18"/>
              </w:rPr>
              <w:t>Battery 40%, Handy-Whitman 60%</w:t>
            </w:r>
          </w:p>
        </w:tc>
        <w:tc>
          <w:tcPr>
            <w:tcW w:type="dxa" w:w="1440"/>
          </w:tcPr>
          <w:p>
            <w:pPr>
              <w:spacing w:after="0" w:before="0"/>
              <w:jc w:val="right"/>
            </w:pPr>
            <w:r/>
            <w:r>
              <w:rPr>
                <w:b w:val="0"/>
                <w:i w:val="0"/>
                <w:sz w:val="18"/>
              </w:rPr>
              <w:t>$832</w:t>
            </w:r>
          </w:p>
        </w:tc>
        <w:tc>
          <w:tcPr>
            <w:tcW w:type="dxa" w:w="1440"/>
          </w:tcPr>
          <w:p>
            <w:pPr>
              <w:spacing w:after="0" w:before="0"/>
              <w:jc w:val="right"/>
            </w:pPr>
            <w:r/>
            <w:r>
              <w:rPr>
                <w:b w:val="0"/>
                <w:i w:val="0"/>
                <w:sz w:val="18"/>
              </w:rPr>
              <w:t>51%</w:t>
            </w:r>
          </w:p>
        </w:tc>
        <w:tc>
          <w:tcPr>
            <w:tcW w:type="dxa" w:w="1584"/>
          </w:tcPr>
          <w:p>
            <w:pPr>
              <w:spacing w:after="0" w:before="0"/>
              <w:jc w:val="right"/>
            </w:pPr>
            <w:r/>
            <w:r>
              <w:rPr>
                <w:b w:val="0"/>
                <w:i w:val="0"/>
                <w:sz w:val="18"/>
              </w:rPr>
              <w:t>85%</w:t>
            </w:r>
          </w:p>
        </w:tc>
        <w:tc>
          <w:tcPr>
            <w:tcW w:type="dxa" w:w="1440"/>
          </w:tcPr>
          <w:p>
            <w:pPr>
              <w:spacing w:after="0" w:before="0"/>
              <w:jc w:val="right"/>
            </w:pPr>
            <w:r/>
            <w:r>
              <w:rPr>
                <w:b w:val="0"/>
                <w:i w:val="0"/>
                <w:sz w:val="18"/>
              </w:rPr>
              <w:t>$1,057</w:t>
            </w:r>
          </w:p>
        </w:tc>
        <w:tc>
          <w:tcPr>
            <w:tcW w:type="dxa" w:w="1440"/>
          </w:tcPr>
          <w:p>
            <w:pPr>
              <w:spacing w:after="0" w:before="0"/>
              <w:jc w:val="right"/>
            </w:pPr>
            <w:r/>
            <w:r>
              <w:rPr>
                <w:b w:val="0"/>
                <w:i w:val="0"/>
                <w:sz w:val="18"/>
              </w:rPr>
              <w:t>74%</w:t>
            </w:r>
          </w:p>
        </w:tc>
      </w:tr>
      <w:tr>
        <w:tc>
          <w:tcPr>
            <w:tcW w:type="dxa" w:w="3312"/>
            <w:shd w:val="clear" w:color="auto" w:fill="F2F4F8"/>
          </w:tcPr>
          <w:p>
            <w:pPr>
              <w:spacing w:after="0" w:before="0"/>
            </w:pPr>
            <w:r/>
            <w:r>
              <w:rPr>
                <w:b w:val="0"/>
                <w:i w:val="0"/>
                <w:sz w:val="18"/>
              </w:rPr>
              <w:t>One index per layer, developer weights</w:t>
            </w:r>
          </w:p>
        </w:tc>
        <w:tc>
          <w:tcPr>
            <w:tcW w:type="dxa" w:w="1440"/>
            <w:shd w:val="clear" w:color="auto" w:fill="F2F4F8"/>
          </w:tcPr>
          <w:p>
            <w:pPr>
              <w:spacing w:after="0" w:before="0"/>
              <w:jc w:val="right"/>
            </w:pPr>
            <w:r/>
            <w:r>
              <w:rPr>
                <w:b w:val="0"/>
                <w:i w:val="0"/>
                <w:sz w:val="18"/>
              </w:rPr>
              <w:t>$832</w:t>
            </w:r>
          </w:p>
        </w:tc>
        <w:tc>
          <w:tcPr>
            <w:tcW w:type="dxa" w:w="1440"/>
            <w:shd w:val="clear" w:color="auto" w:fill="F2F4F8"/>
          </w:tcPr>
          <w:p>
            <w:pPr>
              <w:spacing w:after="0" w:before="0"/>
              <w:jc w:val="right"/>
            </w:pPr>
            <w:r/>
            <w:r>
              <w:rPr>
                <w:b w:val="0"/>
                <w:i w:val="0"/>
                <w:sz w:val="18"/>
              </w:rPr>
              <w:t>51%</w:t>
            </w:r>
          </w:p>
        </w:tc>
        <w:tc>
          <w:tcPr>
            <w:tcW w:type="dxa" w:w="1584"/>
            <w:shd w:val="clear" w:color="auto" w:fill="F2F4F8"/>
          </w:tcPr>
          <w:p>
            <w:pPr>
              <w:spacing w:after="0" w:before="0"/>
              <w:jc w:val="right"/>
            </w:pPr>
            <w:r/>
            <w:r>
              <w:rPr>
                <w:b w:val="0"/>
                <w:i w:val="0"/>
                <w:sz w:val="18"/>
              </w:rPr>
              <w:t>85%</w:t>
            </w:r>
          </w:p>
        </w:tc>
        <w:tc>
          <w:tcPr>
            <w:tcW w:type="dxa" w:w="1440"/>
            <w:shd w:val="clear" w:color="auto" w:fill="F2F4F8"/>
          </w:tcPr>
          <w:p>
            <w:pPr>
              <w:spacing w:after="0" w:before="0"/>
              <w:jc w:val="right"/>
            </w:pPr>
            <w:r/>
            <w:r>
              <w:rPr>
                <w:b w:val="0"/>
                <w:i w:val="0"/>
                <w:sz w:val="18"/>
              </w:rPr>
              <w:t>$994</w:t>
            </w:r>
          </w:p>
        </w:tc>
        <w:tc>
          <w:tcPr>
            <w:tcW w:type="dxa" w:w="1440"/>
            <w:shd w:val="clear" w:color="auto" w:fill="F2F4F8"/>
          </w:tcPr>
          <w:p>
            <w:pPr>
              <w:spacing w:after="0" w:before="0"/>
              <w:jc w:val="right"/>
            </w:pPr>
            <w:r/>
            <w:r>
              <w:rPr>
                <w:b w:val="0"/>
                <w:i w:val="0"/>
                <w:sz w:val="18"/>
              </w:rPr>
              <w:t>74%</w:t>
            </w:r>
          </w:p>
        </w:tc>
      </w:tr>
      <w:tr>
        <w:tc>
          <w:tcPr>
            <w:tcW w:type="dxa" w:w="3312"/>
          </w:tcPr>
          <w:p>
            <w:pPr>
              <w:spacing w:after="0" w:before="0"/>
            </w:pPr>
            <w:r/>
            <w:r>
              <w:rPr>
                <w:b w:val="0"/>
                <w:i w:val="0"/>
                <w:sz w:val="18"/>
              </w:rPr>
              <w:t>One index per layer, Hyde Park weights</w:t>
            </w:r>
          </w:p>
        </w:tc>
        <w:tc>
          <w:tcPr>
            <w:tcW w:type="dxa" w:w="1440"/>
          </w:tcPr>
          <w:p>
            <w:pPr>
              <w:spacing w:after="0" w:before="0"/>
              <w:jc w:val="right"/>
            </w:pPr>
            <w:r/>
            <w:r>
              <w:rPr>
                <w:b w:val="0"/>
                <w:i w:val="0"/>
                <w:sz w:val="18"/>
              </w:rPr>
              <w:t>$832</w:t>
            </w:r>
          </w:p>
        </w:tc>
        <w:tc>
          <w:tcPr>
            <w:tcW w:type="dxa" w:w="1440"/>
          </w:tcPr>
          <w:p>
            <w:pPr>
              <w:spacing w:after="0" w:before="0"/>
              <w:jc w:val="right"/>
            </w:pPr>
            <w:r/>
            <w:r>
              <w:rPr>
                <w:b w:val="0"/>
                <w:i w:val="0"/>
                <w:sz w:val="18"/>
              </w:rPr>
              <w:t>51%</w:t>
            </w:r>
          </w:p>
        </w:tc>
        <w:tc>
          <w:tcPr>
            <w:tcW w:type="dxa" w:w="1584"/>
          </w:tcPr>
          <w:p>
            <w:pPr>
              <w:spacing w:after="0" w:before="0"/>
              <w:jc w:val="right"/>
            </w:pPr>
            <w:r/>
            <w:r>
              <w:rPr>
                <w:b w:val="0"/>
                <w:i w:val="0"/>
                <w:sz w:val="18"/>
              </w:rPr>
              <w:t>85%</w:t>
            </w:r>
          </w:p>
        </w:tc>
        <w:tc>
          <w:tcPr>
            <w:tcW w:type="dxa" w:w="1440"/>
          </w:tcPr>
          <w:p>
            <w:pPr>
              <w:spacing w:after="0" w:before="0"/>
              <w:jc w:val="right"/>
            </w:pPr>
            <w:r/>
            <w:r>
              <w:rPr>
                <w:b w:val="0"/>
                <w:i w:val="0"/>
                <w:sz w:val="18"/>
              </w:rPr>
              <w:t>$1,055</w:t>
            </w:r>
          </w:p>
        </w:tc>
        <w:tc>
          <w:tcPr>
            <w:tcW w:type="dxa" w:w="1440"/>
          </w:tcPr>
          <w:p>
            <w:pPr>
              <w:spacing w:after="0" w:before="0"/>
              <w:jc w:val="right"/>
            </w:pPr>
            <w:r/>
            <w:r>
              <w:rPr>
                <w:b w:val="0"/>
                <w:i w:val="0"/>
                <w:sz w:val="18"/>
              </w:rPr>
              <w:t>74%</w:t>
            </w:r>
          </w:p>
        </w:tc>
      </w:tr>
      <w:tr>
        <w:tc>
          <w:tcPr>
            <w:tcW w:type="dxa" w:w="3312"/>
            <w:shd w:val="clear" w:color="auto" w:fill="F2F4F8"/>
          </w:tcPr>
          <w:p>
            <w:pPr>
              <w:spacing w:after="0" w:before="0"/>
            </w:pPr>
            <w:r/>
            <w:r>
              <w:rPr>
                <w:b w:val="0"/>
                <w:i w:val="0"/>
                <w:sz w:val="18"/>
              </w:rPr>
              <w:t>Layer method, BNEF pack for the battery</w:t>
            </w:r>
          </w:p>
        </w:tc>
        <w:tc>
          <w:tcPr>
            <w:tcW w:type="dxa" w:w="1440"/>
            <w:shd w:val="clear" w:color="auto" w:fill="F2F4F8"/>
          </w:tcPr>
          <w:p>
            <w:pPr>
              <w:spacing w:after="0" w:before="0"/>
              <w:jc w:val="right"/>
            </w:pPr>
            <w:r/>
            <w:r>
              <w:rPr>
                <w:b w:val="0"/>
                <w:i w:val="0"/>
                <w:sz w:val="18"/>
              </w:rPr>
              <w:t>$829</w:t>
            </w:r>
          </w:p>
        </w:tc>
        <w:tc>
          <w:tcPr>
            <w:tcW w:type="dxa" w:w="1440"/>
            <w:shd w:val="clear" w:color="auto" w:fill="F2F4F8"/>
          </w:tcPr>
          <w:p>
            <w:pPr>
              <w:spacing w:after="0" w:before="0"/>
              <w:jc w:val="right"/>
            </w:pPr>
            <w:r/>
            <w:r>
              <w:rPr>
                <w:b w:val="0"/>
                <w:i w:val="0"/>
                <w:sz w:val="18"/>
              </w:rPr>
              <w:t>55%</w:t>
            </w:r>
          </w:p>
        </w:tc>
        <w:tc>
          <w:tcPr>
            <w:tcW w:type="dxa" w:w="1584"/>
            <w:shd w:val="clear" w:color="auto" w:fill="F2F4F8"/>
          </w:tcPr>
          <w:p>
            <w:pPr>
              <w:spacing w:after="0" w:before="0"/>
              <w:jc w:val="right"/>
            </w:pPr>
            <w:r/>
            <w:r>
              <w:rPr>
                <w:b w:val="0"/>
                <w:i w:val="0"/>
                <w:sz w:val="18"/>
              </w:rPr>
              <w:t>87%</w:t>
            </w:r>
          </w:p>
        </w:tc>
        <w:tc>
          <w:tcPr>
            <w:tcW w:type="dxa" w:w="1440"/>
            <w:shd w:val="clear" w:color="auto" w:fill="F2F4F8"/>
          </w:tcPr>
          <w:p>
            <w:pPr>
              <w:spacing w:after="0" w:before="0"/>
              <w:jc w:val="right"/>
            </w:pPr>
            <w:r/>
            <w:r>
              <w:rPr>
                <w:b w:val="0"/>
                <w:i w:val="0"/>
                <w:sz w:val="18"/>
              </w:rPr>
              <w:t>$1,034</w:t>
            </w:r>
          </w:p>
        </w:tc>
        <w:tc>
          <w:tcPr>
            <w:tcW w:type="dxa" w:w="1440"/>
            <w:shd w:val="clear" w:color="auto" w:fill="F2F4F8"/>
          </w:tcPr>
          <w:p>
            <w:pPr>
              <w:spacing w:after="0" w:before="0"/>
              <w:jc w:val="right"/>
            </w:pPr>
            <w:r/>
            <w:r>
              <w:rPr>
                <w:b w:val="0"/>
                <w:i w:val="0"/>
                <w:sz w:val="18"/>
              </w:rPr>
              <w:t>77%</w:t>
            </w:r>
          </w:p>
        </w:tc>
      </w:tr>
      <w:tr>
        <w:tc>
          <w:tcPr>
            <w:tcW w:type="dxa" w:w="3312"/>
          </w:tcPr>
          <w:p>
            <w:pPr>
              <w:spacing w:after="0" w:before="0"/>
            </w:pPr>
            <w:r/>
            <w:r>
              <w:rPr>
                <w:b w:val="0"/>
                <w:i w:val="0"/>
                <w:sz w:val="18"/>
              </w:rPr>
              <w:t>Layer method, BNEF turnkey for the battery</w:t>
            </w:r>
          </w:p>
        </w:tc>
        <w:tc>
          <w:tcPr>
            <w:tcW w:type="dxa" w:w="1440"/>
          </w:tcPr>
          <w:p>
            <w:pPr>
              <w:spacing w:after="0" w:before="0"/>
              <w:jc w:val="right"/>
            </w:pPr>
            <w:r/>
            <w:r>
              <w:rPr>
                <w:b w:val="0"/>
                <w:i w:val="0"/>
                <w:sz w:val="18"/>
              </w:rPr>
              <w:t>$778</w:t>
            </w:r>
          </w:p>
        </w:tc>
        <w:tc>
          <w:tcPr>
            <w:tcW w:type="dxa" w:w="1440"/>
          </w:tcPr>
          <w:p>
            <w:pPr>
              <w:spacing w:after="0" w:before="0"/>
              <w:jc w:val="right"/>
            </w:pPr>
            <w:r/>
            <w:r>
              <w:rPr>
                <w:b w:val="0"/>
                <w:i w:val="0"/>
                <w:sz w:val="18"/>
              </w:rPr>
              <w:t>60%</w:t>
            </w:r>
          </w:p>
        </w:tc>
        <w:tc>
          <w:tcPr>
            <w:tcW w:type="dxa" w:w="1584"/>
          </w:tcPr>
          <w:p>
            <w:pPr>
              <w:spacing w:after="0" w:before="0"/>
              <w:jc w:val="right"/>
            </w:pPr>
            <w:r/>
            <w:r>
              <w:rPr>
                <w:b w:val="0"/>
                <w:i w:val="0"/>
                <w:sz w:val="18"/>
              </w:rPr>
              <w:t>89%</w:t>
            </w:r>
          </w:p>
        </w:tc>
        <w:tc>
          <w:tcPr>
            <w:tcW w:type="dxa" w:w="1440"/>
          </w:tcPr>
          <w:p>
            <w:pPr>
              <w:spacing w:after="0" w:before="0"/>
              <w:jc w:val="right"/>
            </w:pPr>
            <w:r/>
            <w:r>
              <w:rPr>
                <w:b w:val="0"/>
                <w:i w:val="0"/>
                <w:sz w:val="18"/>
              </w:rPr>
              <w:t>$986</w:t>
            </w:r>
          </w:p>
        </w:tc>
        <w:tc>
          <w:tcPr>
            <w:tcW w:type="dxa" w:w="1440"/>
          </w:tcPr>
          <w:p>
            <w:pPr>
              <w:spacing w:after="0" w:before="0"/>
              <w:jc w:val="right"/>
            </w:pPr>
            <w:r/>
            <w:r>
              <w:rPr>
                <w:b w:val="0"/>
                <w:i w:val="0"/>
                <w:sz w:val="18"/>
              </w:rPr>
              <w:t>81%</w:t>
            </w:r>
          </w:p>
        </w:tc>
      </w:tr>
    </w:tbl>
    <w:p>
      <w:pPr>
        <w:spacing w:after="40"/>
      </w:pPr>
    </w:p>
    <w:p>
      <w:pPr>
        <w:spacing w:after="120"/>
      </w:pPr>
      <w:r>
        <w:rPr>
          <w:b w:val="0"/>
          <w:i w:val="0"/>
        </w:rPr>
        <w:t>Applied to the 55-project class with a merchant-project composition (battery 45 percent, power conversion and balance of system 15, labor 10, soft costs 12, interconnection 8, transformers 5, civil 5) the layer method gives a median of $832, the two-component model $832, and Hyde Park's station-direct cost sits at the 85% percentile under both. Substituting the BNEF pack or turnkey series for the battery moves the median to $829 and $778. The three defensible methods therefore agree within a few dollars; the one that disagrees is the one that cannot be defended. What governs the answer is the battery share of each comparable, which no disclosure states, and the memo carries 30 and 50 percent as sensitivities.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How to scale any published BESS cost to 2026. </w:t>
            </w:r>
            <w:r>
              <w:rPr>
                <w:sz w:val="20"/>
              </w:rPr>
              <w:t>Fix the dollar year and the scope boundary (contract, installed, station, all-in; real or nominal). Split the cost into a battery share and a non-battery share from the scope, not from a default: about 40 percent for an all-in utility project, 55 percent or more for a turnkey quote. Deflate the battery share on a battery index and escalate the rest on a construction or layer index. Never apply one index to the whole cost. The companion workbook's '2026$ Adjustment' and 'Layer Escalators' tabs do this with an index selector.</w:t>
            </w:r>
          </w:p>
        </w:tc>
      </w:tr>
    </w:tbl>
    <w:p>
      <w:pPr>
        <w:spacing w:after="40"/>
      </w:pPr>
    </w:p>
    <w:p>
      <w:pPr>
        <w:spacing w:after="120"/>
      </w:pPr>
      <w:r>
        <w:rPr>
          <w:b w:val="0"/>
          <w:i w:val="0"/>
          <w:color w:val="595959"/>
          <w:sz w:val="18"/>
        </w:rPr>
        <w:t>Series: BLS producer price indices (WPU117409 transformers, WPU1175 switchgear, WPU4532 engineering services) and the Employment Cost Index for construction pulled from the FRED and BLS APIs on 3 October 2026, annual averages, the latest year a partial-year average; IBEW Local 103 journeyman base rates from the Massachusetts prevailing-wage schedules and the Boston JATC rate sheets; ENR Construction Cost Index 20-city annual averages from published reproductions of the ENR table (2019 to 2022 interpolated); Handy-Whitman North Atlantic lines from the PJM posting and the Cost Estimating CoE's own extraction of Bulletin 198; battery indices as in the statistical memo. Confidence tags per series are in the build folder.</w:t>
      </w: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spacing w:after="120"/>
      </w:pPr>
      <w:r>
        <w:rPr>
          <w:b w:val="0"/>
          <w:i w:val="0"/>
        </w:rPr>
        <w:t>Two challenges raised on the deck belong here. The first asks whether there is an installed-cost curve for batteries and where Hyde Park sits on it. There is: EIA's reported all-in cost for utility-scale batteries fell from $2,152 per kWh in 2015 to $625 in 2018; BNEF's turnkey four-hour survey fell from $324 in 2022 to $117 globally and $219 in the United States in 2025; NREL's bottom-up base is $334 in 2024 and $247 by 2035 in its mid case. Every one of those series describes a four-hour system of 60 to 150 MW in real dollars. Hyde Park is a two-hour, 10 MW system priced in nominal 2026 to 2028 dollars. NREL's cost structure puts a two-hour system at 1.3 to 1.5 times the four-hour $/kWh, and the size elasticity estimated in the statistical memo (-0.14 to -0.17 depending on the sample) adds a factor of about 1.4 to 1.5 at 20 MWh against a 240 MWh reference. The adjusted United States turnkey figure is $440 to $505 per kWh; Nomad's equipment price is $532. The installed battery, $833, carries $183 per kWh of owner-scope installation, integration and balance of plant that a turnkey index buys inside a developer's EPC contract. The curve, with sources, is slide 10 of the deck and the Cost Curve tab of the workbook.</w:t>
      </w:r>
    </w:p>
    <w:p>
      <w:pPr>
        <w:spacing w:after="120"/>
      </w:pPr>
      <w:r>
        <w:rPr>
          <w:b w:val="0"/>
          <w:i w:val="0"/>
        </w:rPr>
        <w:t>The second challenge asks that escalation be included. It is: the Rev 3 approval level carries $2,948,100 of escalation inside the directs ($2,622,100 at Station 360 and $326,100 at Station 496), applied at the ESF template rates of about 3 percent a year to a spend curve of $13.5 million in 2026, $12.5 million in 2027 and $26.1 million in 2028. That is 5.1 percent of the approval level and $147 per kWh. The contestable part is the $1,130,255 applied to the Nomad balance that the contract fixes until Final Acceptance; the rest sits on station, site, protection, testing and owner scope, where a 3 percent rate is, if anything, light against the 2026 lithium carbonate and tariff moves. For comparison purposes the two sides must share a dollar year. Stripping the station escalation from the direct boundaries gives $593 for the battery as carried, roughly $756 installed and $1,352 for the station complete; bringing the benchmarks forward instead at 3 percent a year gives $376 for NREL's 2024 base in 2028 dollars, which becomes $750 to $870 after the two-hour and 10 MW adjustments, against Hyde Park's $833 installed. The battery, once the dollar year, the duration and the size agree, is on the index. The project is not, for the reasons in sections 3 and 6.</w:t>
      </w:r>
    </w:p>
    <w:p>
      <w:pPr>
        <w:pStyle w:val="Heading1"/>
      </w:pPr>
      <w:r>
        <w:t>8. Where the number could give: the savings register</w:t>
      </w:r>
    </w:p>
    <w:p>
      <w:pPr>
        <w:spacing w:after="120"/>
      </w:pPr>
      <w:r>
        <w:rPr>
          <w:b w:val="0"/>
          <w:i w:val="0"/>
        </w:rPr>
        <w:t>The layer extraction also answers the question leadership asks after the benchmark question: what can be done about it. Fourteen levers were sized from the Rev 3 rows on 3 October 2026 and grouped by what it takes to realize them. Tier A changes the estimate without changing scope and needs only decisions. Tier B is value engineering that needs a study or a design decision first. Tier C is financial and structural: it reduces what customers pay for the project, not the $57.2 million. Direct dollars are the rows; loaded dollars apply the marginal loader of 1.44 (contingency, basis-driven indirects and AFUDC scale with directs; the risk register and the indirect rows already booked as actuals do not), not the 1.685 average loader used elsewhere in this paper.</w:t>
      </w:r>
    </w:p>
    <w:tbl>
      <w:tblPr>
        <w:tblStyle w:val="TableGrid"/>
        <w:tblW w:type="auto" w:w="0"/>
        <w:jc w:val="center"/>
        <w:tblLayout w:type="fixed"/>
        <w:tblLook w:firstColumn="1" w:firstRow="1" w:lastColumn="0" w:lastRow="0" w:noHBand="0" w:noVBand="1" w:val="04A0"/>
      </w:tblPr>
      <w:tblGrid>
        <w:gridCol w:w="504"/>
        <w:gridCol w:w="3744"/>
        <w:gridCol w:w="720"/>
        <w:gridCol w:w="1224"/>
        <w:gridCol w:w="1224"/>
        <w:gridCol w:w="1008"/>
        <w:gridCol w:w="3168"/>
      </w:tblGrid>
      <w:tr>
        <w:tc>
          <w:tcPr>
            <w:tcW w:type="dxa" w:w="504"/>
            <w:shd w:val="clear" w:color="auto" w:fill="001E60"/>
          </w:tcPr>
          <w:p>
            <w:pPr>
              <w:spacing w:after="0" w:before="0"/>
            </w:pPr>
            <w:r/>
            <w:r>
              <w:rPr>
                <w:b/>
                <w:i w:val="0"/>
                <w:color w:val="FFFFFF"/>
                <w:sz w:val="16"/>
              </w:rPr>
              <w:t>#</w:t>
            </w:r>
          </w:p>
        </w:tc>
        <w:tc>
          <w:tcPr>
            <w:tcW w:type="dxa" w:w="3744"/>
            <w:shd w:val="clear" w:color="auto" w:fill="001E60"/>
          </w:tcPr>
          <w:p>
            <w:pPr>
              <w:spacing w:after="0" w:before="0"/>
            </w:pPr>
            <w:r/>
            <w:r>
              <w:rPr>
                <w:b/>
                <w:i w:val="0"/>
                <w:color w:val="FFFFFF"/>
                <w:sz w:val="16"/>
              </w:rPr>
              <w:t>Lever</w:t>
            </w:r>
          </w:p>
        </w:tc>
        <w:tc>
          <w:tcPr>
            <w:tcW w:type="dxa" w:w="720"/>
            <w:shd w:val="clear" w:color="auto" w:fill="001E60"/>
          </w:tcPr>
          <w:p>
            <w:pPr>
              <w:spacing w:after="0" w:before="0"/>
            </w:pPr>
            <w:r/>
            <w:r>
              <w:rPr>
                <w:b/>
                <w:i w:val="0"/>
                <w:color w:val="FFFFFF"/>
                <w:sz w:val="16"/>
              </w:rPr>
              <w:t>Layer</w:t>
            </w:r>
          </w:p>
        </w:tc>
        <w:tc>
          <w:tcPr>
            <w:tcW w:type="dxa" w:w="1224"/>
            <w:shd w:val="clear" w:color="auto" w:fill="001E60"/>
          </w:tcPr>
          <w:p>
            <w:pPr>
              <w:spacing w:after="0" w:before="0"/>
            </w:pPr>
            <w:r/>
            <w:r>
              <w:rPr>
                <w:b/>
                <w:i w:val="0"/>
                <w:color w:val="FFFFFF"/>
                <w:sz w:val="16"/>
              </w:rPr>
              <w:t>Direct</w:t>
            </w:r>
          </w:p>
        </w:tc>
        <w:tc>
          <w:tcPr>
            <w:tcW w:type="dxa" w:w="1224"/>
            <w:shd w:val="clear" w:color="auto" w:fill="001E60"/>
          </w:tcPr>
          <w:p>
            <w:pPr>
              <w:spacing w:after="0" w:before="0"/>
            </w:pPr>
            <w:r/>
            <w:r>
              <w:rPr>
                <w:b/>
                <w:i w:val="0"/>
                <w:color w:val="FFFFFF"/>
                <w:sz w:val="16"/>
              </w:rPr>
              <w:t>Loaded</w:t>
            </w:r>
          </w:p>
        </w:tc>
        <w:tc>
          <w:tcPr>
            <w:tcW w:type="dxa" w:w="1008"/>
            <w:shd w:val="clear" w:color="auto" w:fill="001E60"/>
          </w:tcPr>
          <w:p>
            <w:pPr>
              <w:spacing w:after="0" w:before="0"/>
            </w:pPr>
            <w:r/>
            <w:r>
              <w:rPr>
                <w:b/>
                <w:i w:val="0"/>
                <w:color w:val="FFFFFF"/>
                <w:sz w:val="16"/>
              </w:rPr>
              <w:t>Confidence</w:t>
            </w:r>
          </w:p>
        </w:tc>
        <w:tc>
          <w:tcPr>
            <w:tcW w:type="dxa" w:w="3168"/>
            <w:shd w:val="clear" w:color="auto" w:fill="001E60"/>
          </w:tcPr>
          <w:p>
            <w:pPr>
              <w:spacing w:after="0" w:before="0"/>
            </w:pPr>
            <w:r/>
            <w:r>
              <w:rPr>
                <w:b/>
                <w:i w:val="0"/>
                <w:color w:val="FFFFFF"/>
                <w:sz w:val="16"/>
              </w:rPr>
              <w:t>What must close</w:t>
            </w:r>
          </w:p>
        </w:tc>
      </w:tr>
      <w:tr>
        <w:tc>
          <w:tcPr>
            <w:tcW w:type="dxa" w:w="504"/>
          </w:tcPr>
          <w:p>
            <w:pPr>
              <w:spacing w:after="0" w:before="0"/>
            </w:pPr>
            <w:r/>
            <w:r>
              <w:rPr>
                <w:b w:val="0"/>
                <w:i w:val="0"/>
                <w:sz w:val="16"/>
              </w:rPr>
              <w:t>A1</w:t>
            </w:r>
          </w:p>
        </w:tc>
        <w:tc>
          <w:tcPr>
            <w:tcW w:type="dxa" w:w="3744"/>
          </w:tcPr>
          <w:p>
            <w:pPr>
              <w:spacing w:after="0" w:before="0"/>
            </w:pPr>
            <w:r/>
            <w:r>
              <w:rPr>
                <w:b w:val="0"/>
                <w:i w:val="0"/>
                <w:sz w:val="16"/>
              </w:rPr>
              <w:t>Remove escalation carried on the fixed-price Nomad balance</w:t>
            </w:r>
          </w:p>
        </w:tc>
        <w:tc>
          <w:tcPr>
            <w:tcW w:type="dxa" w:w="720"/>
          </w:tcPr>
          <w:p>
            <w:pPr>
              <w:spacing w:after="0" w:before="0"/>
            </w:pPr>
            <w:r/>
            <w:r>
              <w:rPr>
                <w:b w:val="0"/>
                <w:i w:val="0"/>
                <w:sz w:val="16"/>
              </w:rPr>
              <w:t>A</w:t>
            </w:r>
          </w:p>
        </w:tc>
        <w:tc>
          <w:tcPr>
            <w:tcW w:type="dxa" w:w="1224"/>
          </w:tcPr>
          <w:p>
            <w:pPr>
              <w:spacing w:after="0" w:before="0"/>
              <w:jc w:val="right"/>
            </w:pPr>
            <w:r/>
            <w:r>
              <w:rPr>
                <w:b w:val="0"/>
                <w:i w:val="0"/>
                <w:sz w:val="16"/>
              </w:rPr>
              <w:t>$1.1M</w:t>
            </w:r>
          </w:p>
        </w:tc>
        <w:tc>
          <w:tcPr>
            <w:tcW w:type="dxa" w:w="1224"/>
          </w:tcPr>
          <w:p>
            <w:pPr>
              <w:spacing w:after="0" w:before="0"/>
              <w:jc w:val="right"/>
            </w:pPr>
            <w:r/>
            <w:r>
              <w:rPr>
                <w:b w:val="0"/>
                <w:i w:val="0"/>
                <w:sz w:val="16"/>
              </w:rPr>
              <w:t>$1.6M</w:t>
            </w:r>
          </w:p>
        </w:tc>
        <w:tc>
          <w:tcPr>
            <w:tcW w:type="dxa" w:w="1008"/>
          </w:tcPr>
          <w:p>
            <w:pPr>
              <w:spacing w:after="0" w:before="0"/>
            </w:pPr>
            <w:r/>
            <w:r>
              <w:rPr>
                <w:b w:val="0"/>
                <w:i w:val="0"/>
                <w:sz w:val="16"/>
              </w:rPr>
              <w:t>High</w:t>
            </w:r>
          </w:p>
        </w:tc>
        <w:tc>
          <w:tcPr>
            <w:tcW w:type="dxa" w:w="3168"/>
          </w:tcPr>
          <w:p>
            <w:pPr>
              <w:spacing w:after="0" w:before="0"/>
            </w:pPr>
            <w:r/>
            <w:r>
              <w:rPr>
                <w:b w:val="0"/>
                <w:i w:val="0"/>
                <w:sz w:val="16"/>
              </w:rPr>
              <w:t>Exhibit C read for tariff and change-in-law pass-through; decision minuted</w:t>
            </w:r>
          </w:p>
        </w:tc>
      </w:tr>
      <w:tr>
        <w:tc>
          <w:tcPr>
            <w:tcW w:type="dxa" w:w="504"/>
            <w:shd w:val="clear" w:color="auto" w:fill="F2F4F8"/>
          </w:tcPr>
          <w:p>
            <w:pPr>
              <w:spacing w:after="0" w:before="0"/>
            </w:pPr>
            <w:r/>
            <w:r>
              <w:rPr>
                <w:b w:val="0"/>
                <w:i w:val="0"/>
                <w:sz w:val="16"/>
              </w:rPr>
              <w:t>A2</w:t>
            </w:r>
          </w:p>
        </w:tc>
        <w:tc>
          <w:tcPr>
            <w:tcW w:type="dxa" w:w="3744"/>
            <w:shd w:val="clear" w:color="auto" w:fill="F2F4F8"/>
          </w:tcPr>
          <w:p>
            <w:pPr>
              <w:spacing w:after="0" w:before="0"/>
            </w:pPr>
            <w:r/>
            <w:r>
              <w:rPr>
                <w:b w:val="0"/>
                <w:i w:val="0"/>
                <w:sz w:val="16"/>
              </w:rPr>
              <w:t>Risk register: labor-cost and material-cost lines overlap the escalation already in the directs</w:t>
            </w:r>
          </w:p>
        </w:tc>
        <w:tc>
          <w:tcPr>
            <w:tcW w:type="dxa" w:w="720"/>
            <w:shd w:val="clear" w:color="auto" w:fill="F2F4F8"/>
          </w:tcPr>
          <w:p>
            <w:pPr>
              <w:spacing w:after="0" w:before="0"/>
            </w:pPr>
            <w:r/>
            <w:r>
              <w:rPr>
                <w:b w:val="0"/>
                <w:i w:val="0"/>
                <w:sz w:val="16"/>
              </w:rPr>
              <w:t>J</w:t>
            </w:r>
          </w:p>
        </w:tc>
        <w:tc>
          <w:tcPr>
            <w:tcW w:type="dxa" w:w="1224"/>
            <w:shd w:val="clear" w:color="auto" w:fill="F2F4F8"/>
          </w:tcPr>
          <w:p>
            <w:pPr>
              <w:spacing w:after="0" w:before="0"/>
              <w:jc w:val="right"/>
            </w:pPr>
            <w:r/>
            <w:r>
              <w:rPr>
                <w:b w:val="0"/>
                <w:i w:val="0"/>
                <w:sz w:val="16"/>
              </w:rPr>
              <w:t>$1.3 to 1.8M</w:t>
            </w:r>
          </w:p>
        </w:tc>
        <w:tc>
          <w:tcPr>
            <w:tcW w:type="dxa" w:w="1224"/>
            <w:shd w:val="clear" w:color="auto" w:fill="F2F4F8"/>
          </w:tcPr>
          <w:p>
            <w:pPr>
              <w:spacing w:after="0" w:before="0"/>
              <w:jc w:val="right"/>
            </w:pPr>
            <w:r/>
            <w:r>
              <w:rPr>
                <w:b w:val="0"/>
                <w:i w:val="0"/>
                <w:sz w:val="16"/>
              </w:rPr>
              <w:t>$1.3 to 1.8M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Re-word the two lines as labor-shortage and tariff risks and size them on exposure, not on the whole material and labor base</w:t>
            </w:r>
          </w:p>
        </w:tc>
      </w:tr>
      <w:tr>
        <w:tc>
          <w:tcPr>
            <w:tcW w:type="dxa" w:w="504"/>
          </w:tcPr>
          <w:p>
            <w:pPr>
              <w:spacing w:after="0" w:before="0"/>
            </w:pPr>
            <w:r/>
            <w:r>
              <w:rPr>
                <w:b w:val="0"/>
                <w:i w:val="0"/>
                <w:sz w:val="16"/>
              </w:rPr>
              <w:t>A3</w:t>
            </w:r>
          </w:p>
        </w:tc>
        <w:tc>
          <w:tcPr>
            <w:tcW w:type="dxa" w:w="3744"/>
          </w:tcPr>
          <w:p>
            <w:pPr>
              <w:spacing w:after="0" w:before="0"/>
            </w:pPr>
            <w:r/>
            <w:r>
              <w:rPr>
                <w:b w:val="0"/>
                <w:i w:val="0"/>
                <w:sz w:val="16"/>
              </w:rPr>
              <w:t>Confirm the four written design-basis items Haugland priced as deducts</w:t>
            </w:r>
          </w:p>
        </w:tc>
        <w:tc>
          <w:tcPr>
            <w:tcW w:type="dxa" w:w="720"/>
          </w:tcPr>
          <w:p>
            <w:pPr>
              <w:spacing w:after="0" w:before="0"/>
            </w:pPr>
            <w:r/>
            <w:r>
              <w:rPr>
                <w:b w:val="0"/>
                <w:i w:val="0"/>
                <w:sz w:val="16"/>
              </w:rPr>
              <w:t>D/E</w:t>
            </w:r>
          </w:p>
        </w:tc>
        <w:tc>
          <w:tcPr>
            <w:tcW w:type="dxa" w:w="1224"/>
          </w:tcPr>
          <w:p>
            <w:pPr>
              <w:spacing w:after="0" w:before="0"/>
              <w:jc w:val="right"/>
            </w:pPr>
            <w:r/>
            <w:r>
              <w:rPr>
                <w:b w:val="0"/>
                <w:i w:val="0"/>
                <w:sz w:val="16"/>
              </w:rPr>
              <w:t>$0.6 to 0.8M</w:t>
            </w:r>
          </w:p>
        </w:tc>
        <w:tc>
          <w:tcPr>
            <w:tcW w:type="dxa" w:w="1224"/>
          </w:tcPr>
          <w:p>
            <w:pPr>
              <w:spacing w:after="0" w:before="0"/>
              <w:jc w:val="right"/>
            </w:pPr>
            <w:r/>
            <w:r>
              <w:rPr>
                <w:b w:val="0"/>
                <w:i w:val="0"/>
                <w:sz w:val="16"/>
              </w:rPr>
              <w:t>$0.9 to 1.2M</w:t>
            </w:r>
          </w:p>
        </w:tc>
        <w:tc>
          <w:tcPr>
            <w:tcW w:type="dxa" w:w="1008"/>
          </w:tcPr>
          <w:p>
            <w:pPr>
              <w:spacing w:after="0" w:before="0"/>
            </w:pPr>
            <w:r/>
            <w:r>
              <w:rPr>
                <w:b w:val="0"/>
                <w:i w:val="0"/>
                <w:sz w:val="16"/>
              </w:rPr>
              <w:t>Medium</w:t>
            </w:r>
          </w:p>
        </w:tc>
        <w:tc>
          <w:tcPr>
            <w:tcW w:type="dxa" w:w="3168"/>
          </w:tcPr>
          <w:p>
            <w:pPr>
              <w:spacing w:after="0" w:before="0"/>
            </w:pPr>
            <w:r/>
            <w:r>
              <w:rPr>
                <w:b w:val="0"/>
                <w:i w:val="0"/>
                <w:sz w:val="16"/>
              </w:rPr>
              <w:t>Retaining wall, basin, duct bank and GSU count confirmed in writing; HEG map signed first</w:t>
            </w:r>
          </w:p>
        </w:tc>
      </w:tr>
      <w:tr>
        <w:tc>
          <w:tcPr>
            <w:tcW w:type="dxa" w:w="504"/>
            <w:shd w:val="clear" w:color="auto" w:fill="F2F4F8"/>
          </w:tcPr>
          <w:p>
            <w:pPr>
              <w:spacing w:after="0" w:before="0"/>
            </w:pPr>
            <w:r/>
            <w:r>
              <w:rPr>
                <w:b w:val="0"/>
                <w:i w:val="0"/>
                <w:sz w:val="16"/>
              </w:rPr>
              <w:t>A4</w:t>
            </w:r>
          </w:p>
        </w:tc>
        <w:tc>
          <w:tcPr>
            <w:tcW w:type="dxa" w:w="3744"/>
            <w:shd w:val="clear" w:color="auto" w:fill="F2F4F8"/>
          </w:tcPr>
          <w:p>
            <w:pPr>
              <w:spacing w:after="0" w:before="0"/>
            </w:pPr>
            <w:r/>
            <w:r>
              <w:rPr>
                <w:b w:val="0"/>
                <w:i w:val="0"/>
                <w:sz w:val="16"/>
              </w:rPr>
              <w:t>Engineering &amp; supervision overhead basis applied to the vendor turnkey contract</w:t>
            </w:r>
          </w:p>
        </w:tc>
        <w:tc>
          <w:tcPr>
            <w:tcW w:type="dxa" w:w="720"/>
            <w:shd w:val="clear" w:color="auto" w:fill="F2F4F8"/>
          </w:tcPr>
          <w:p>
            <w:pPr>
              <w:spacing w:after="0" w:before="0"/>
            </w:pPr>
            <w:r/>
            <w:r>
              <w:rPr>
                <w:b w:val="0"/>
                <w:i w:val="0"/>
                <w:sz w:val="16"/>
              </w:rPr>
              <w:t>L</w:t>
            </w:r>
          </w:p>
        </w:tc>
        <w:tc>
          <w:tcPr>
            <w:tcW w:type="dxa" w:w="1224"/>
            <w:shd w:val="clear" w:color="auto" w:fill="F2F4F8"/>
          </w:tcPr>
          <w:p>
            <w:pPr>
              <w:spacing w:after="0" w:before="0"/>
              <w:jc w:val="right"/>
            </w:pPr>
            <w:r/>
            <w:r>
              <w:rPr>
                <w:b w:val="0"/>
                <w:i w:val="0"/>
                <w:sz w:val="16"/>
              </w:rPr>
              <w:t>$1.0 to 2.1M</w:t>
            </w:r>
          </w:p>
        </w:tc>
        <w:tc>
          <w:tcPr>
            <w:tcW w:type="dxa" w:w="1224"/>
            <w:shd w:val="clear" w:color="auto" w:fill="F2F4F8"/>
          </w:tcPr>
          <w:p>
            <w:pPr>
              <w:spacing w:after="0" w:before="0"/>
              <w:jc w:val="right"/>
            </w:pPr>
            <w:r/>
            <w:r>
              <w:rPr>
                <w:b w:val="0"/>
                <w:i w:val="0"/>
                <w:sz w:val="16"/>
              </w:rPr>
              <w:t>$1.0 to 2.1M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Ruling on whether the E&amp;S station basis applies to vendor-furnished, vendor-commissioned equipment</w:t>
            </w:r>
          </w:p>
        </w:tc>
      </w:tr>
      <w:tr>
        <w:tc>
          <w:tcPr>
            <w:tcW w:type="dxa" w:w="504"/>
          </w:tcPr>
          <w:p>
            <w:pPr>
              <w:spacing w:after="0" w:before="0"/>
            </w:pPr>
            <w:r/>
            <w:r>
              <w:rPr>
                <w:b w:val="0"/>
                <w:i w:val="0"/>
                <w:sz w:val="16"/>
              </w:rPr>
              <w:t>A5</w:t>
            </w:r>
          </w:p>
        </w:tc>
        <w:tc>
          <w:tcPr>
            <w:tcW w:type="dxa" w:w="3744"/>
          </w:tcPr>
          <w:p>
            <w:pPr>
              <w:spacing w:after="0" w:before="0"/>
            </w:pPr>
            <w:r/>
            <w:r>
              <w:rPr>
                <w:b w:val="0"/>
                <w:i w:val="0"/>
                <w:sz w:val="16"/>
              </w:rPr>
              <w:t>Commissioning hours carried from E-23-373 overlap Nomad's commissioning support</w:t>
            </w:r>
          </w:p>
        </w:tc>
        <w:tc>
          <w:tcPr>
            <w:tcW w:type="dxa" w:w="720"/>
          </w:tcPr>
          <w:p>
            <w:pPr>
              <w:spacing w:after="0" w:before="0"/>
            </w:pPr>
            <w:r/>
            <w:r>
              <w:rPr>
                <w:b w:val="0"/>
                <w:i w:val="0"/>
                <w:sz w:val="16"/>
              </w:rPr>
              <w:t>G</w:t>
            </w:r>
          </w:p>
        </w:tc>
        <w:tc>
          <w:tcPr>
            <w:tcW w:type="dxa" w:w="1224"/>
          </w:tcPr>
          <w:p>
            <w:pPr>
              <w:spacing w:after="0" w:before="0"/>
              <w:jc w:val="right"/>
            </w:pPr>
            <w:r/>
            <w:r>
              <w:rPr>
                <w:b w:val="0"/>
                <w:i w:val="0"/>
                <w:sz w:val="16"/>
              </w:rPr>
              <w:t>$0.1 to 0.3M</w:t>
            </w:r>
          </w:p>
        </w:tc>
        <w:tc>
          <w:tcPr>
            <w:tcW w:type="dxa" w:w="1224"/>
          </w:tcPr>
          <w:p>
            <w:pPr>
              <w:spacing w:after="0" w:before="0"/>
              <w:jc w:val="right"/>
            </w:pPr>
            <w:r/>
            <w:r>
              <w:rPr>
                <w:b w:val="0"/>
                <w:i w:val="0"/>
                <w:sz w:val="16"/>
              </w:rPr>
              <w:t>$0.2 to 0.5M</w:t>
            </w:r>
          </w:p>
        </w:tc>
        <w:tc>
          <w:tcPr>
            <w:tcW w:type="dxa" w:w="1008"/>
          </w:tcPr>
          <w:p>
            <w:pPr>
              <w:spacing w:after="0" w:before="0"/>
            </w:pPr>
            <w:r/>
            <w:r>
              <w:rPr>
                <w:b w:val="0"/>
                <w:i w:val="0"/>
                <w:sz w:val="16"/>
              </w:rPr>
              <w:t>Low</w:t>
            </w:r>
          </w:p>
        </w:tc>
        <w:tc>
          <w:tcPr>
            <w:tcW w:type="dxa" w:w="3168"/>
          </w:tcPr>
          <w:p>
            <w:pPr>
              <w:spacing w:after="0" w:before="0"/>
            </w:pPr>
            <w:r/>
            <w:r>
              <w:rPr>
                <w:b w:val="0"/>
                <w:i w:val="0"/>
                <w:sz w:val="16"/>
              </w:rPr>
              <w:t>Commissioning split (Nomad vs owner) written into the test plan</w:t>
            </w:r>
          </w:p>
        </w:tc>
      </w:tr>
      <w:tr>
        <w:tc>
          <w:tcPr>
            <w:tcW w:type="dxa" w:w="504"/>
            <w:shd w:val="clear" w:color="auto" w:fill="F2F4F8"/>
          </w:tcPr>
          <w:p>
            <w:pPr>
              <w:spacing w:after="0" w:before="0"/>
            </w:pPr>
            <w:r/>
            <w:r>
              <w:rPr>
                <w:b w:val="0"/>
                <w:i w:val="0"/>
                <w:sz w:val="16"/>
              </w:rPr>
              <w:t>B1</w:t>
            </w:r>
          </w:p>
        </w:tc>
        <w:tc>
          <w:tcPr>
            <w:tcW w:type="dxa" w:w="3744"/>
            <w:shd w:val="clear" w:color="auto" w:fill="F2F4F8"/>
          </w:tcPr>
          <w:p>
            <w:pPr>
              <w:spacing w:after="0" w:before="0"/>
            </w:pPr>
            <w:r/>
            <w:r>
              <w:rPr>
                <w:b w:val="0"/>
                <w:i w:val="0"/>
                <w:sz w:val="16"/>
              </w:rPr>
              <w:t>Station 496 relay program: 710 man-hours per relay</w:t>
            </w:r>
          </w:p>
        </w:tc>
        <w:tc>
          <w:tcPr>
            <w:tcW w:type="dxa" w:w="720"/>
            <w:shd w:val="clear" w:color="auto" w:fill="F2F4F8"/>
          </w:tcPr>
          <w:p>
            <w:pPr>
              <w:spacing w:after="0" w:before="0"/>
            </w:pPr>
            <w:r/>
            <w:r>
              <w:rPr>
                <w:b w:val="0"/>
                <w:i w:val="0"/>
                <w:sz w:val="16"/>
              </w:rPr>
              <w:t>F</w:t>
            </w:r>
          </w:p>
        </w:tc>
        <w:tc>
          <w:tcPr>
            <w:tcW w:type="dxa" w:w="1224"/>
            <w:shd w:val="clear" w:color="auto" w:fill="F2F4F8"/>
          </w:tcPr>
          <w:p>
            <w:pPr>
              <w:spacing w:after="0" w:before="0"/>
              <w:jc w:val="right"/>
            </w:pPr>
            <w:r/>
            <w:r>
              <w:rPr>
                <w:b w:val="0"/>
                <w:i w:val="0"/>
                <w:sz w:val="16"/>
              </w:rPr>
              <w:t>$1.1 to 1.5M</w:t>
            </w:r>
          </w:p>
        </w:tc>
        <w:tc>
          <w:tcPr>
            <w:tcW w:type="dxa" w:w="1224"/>
            <w:shd w:val="clear" w:color="auto" w:fill="F2F4F8"/>
          </w:tcPr>
          <w:p>
            <w:pPr>
              <w:spacing w:after="0" w:before="0"/>
              <w:jc w:val="right"/>
            </w:pPr>
            <w:r/>
            <w:r>
              <w:rPr>
                <w:b w:val="0"/>
                <w:i w:val="0"/>
                <w:sz w:val="16"/>
              </w:rPr>
              <w:t>$1.1 to 1.5M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Two recent relay-replacement actuals; confirm the four SEL-735 are protection, not metering; outage windows priced</w:t>
            </w:r>
          </w:p>
        </w:tc>
      </w:tr>
      <w:tr>
        <w:tc>
          <w:tcPr>
            <w:tcW w:type="dxa" w:w="504"/>
          </w:tcPr>
          <w:p>
            <w:pPr>
              <w:spacing w:after="0" w:before="0"/>
            </w:pPr>
            <w:r/>
            <w:r>
              <w:rPr>
                <w:b w:val="0"/>
                <w:i w:val="0"/>
                <w:sz w:val="16"/>
              </w:rPr>
              <w:t>B2</w:t>
            </w:r>
          </w:p>
        </w:tc>
        <w:tc>
          <w:tcPr>
            <w:tcW w:type="dxa" w:w="3744"/>
          </w:tcPr>
          <w:p>
            <w:pPr>
              <w:spacing w:after="0" w:before="0"/>
            </w:pPr>
            <w:r/>
            <w:r>
              <w:rPr>
                <w:b w:val="0"/>
                <w:i w:val="0"/>
                <w:sz w:val="16"/>
              </w:rPr>
              <w:t>Interconnection topology: five feeder cabinets, four GSUs, four breakers, four metering sets for 10 MW</w:t>
            </w:r>
          </w:p>
        </w:tc>
        <w:tc>
          <w:tcPr>
            <w:tcW w:type="dxa" w:w="720"/>
          </w:tcPr>
          <w:p>
            <w:pPr>
              <w:spacing w:after="0" w:before="0"/>
            </w:pPr>
            <w:r/>
            <w:r>
              <w:rPr>
                <w:b w:val="0"/>
                <w:i w:val="0"/>
                <w:sz w:val="16"/>
              </w:rPr>
              <w:t>C/D</w:t>
            </w:r>
          </w:p>
        </w:tc>
        <w:tc>
          <w:tcPr>
            <w:tcW w:type="dxa" w:w="1224"/>
          </w:tcPr>
          <w:p>
            <w:pPr>
              <w:spacing w:after="0" w:before="0"/>
              <w:jc w:val="right"/>
            </w:pPr>
            <w:r/>
            <w:r>
              <w:rPr>
                <w:b w:val="0"/>
                <w:i w:val="0"/>
                <w:sz w:val="16"/>
              </w:rPr>
              <w:t>$0.9 to 1.4M</w:t>
            </w:r>
          </w:p>
        </w:tc>
        <w:tc>
          <w:tcPr>
            <w:tcW w:type="dxa" w:w="1224"/>
          </w:tcPr>
          <w:p>
            <w:pPr>
              <w:spacing w:after="0" w:before="0"/>
              <w:jc w:val="right"/>
            </w:pPr>
            <w:r/>
            <w:r>
              <w:rPr>
                <w:b w:val="0"/>
                <w:i w:val="0"/>
                <w:sz w:val="16"/>
              </w:rPr>
              <w:t>$1.4 to 1.9M</w:t>
            </w:r>
          </w:p>
        </w:tc>
        <w:tc>
          <w:tcPr>
            <w:tcW w:type="dxa" w:w="1008"/>
          </w:tcPr>
          <w:p>
            <w:pPr>
              <w:spacing w:after="0" w:before="0"/>
            </w:pPr>
            <w:r/>
            <w:r>
              <w:rPr>
                <w:b w:val="0"/>
                <w:i w:val="0"/>
                <w:sz w:val="16"/>
              </w:rPr>
              <w:t>Low</w:t>
            </w:r>
          </w:p>
        </w:tc>
        <w:tc>
          <w:tcPr>
            <w:tcW w:type="dxa" w:w="3168"/>
          </w:tcPr>
          <w:p>
            <w:pPr>
              <w:spacing w:after="0" w:before="0"/>
            </w:pPr>
            <w:r/>
            <w:r>
              <w:rPr>
                <w:b w:val="0"/>
                <w:i w:val="0"/>
                <w:sz w:val="16"/>
              </w:rPr>
              <w:t>Hosting-capacity study: can two feeders take 5 MW each? If not, the item is zero</w:t>
            </w:r>
          </w:p>
        </w:tc>
      </w:tr>
      <w:tr>
        <w:tc>
          <w:tcPr>
            <w:tcW w:type="dxa" w:w="504"/>
            <w:shd w:val="clear" w:color="auto" w:fill="F2F4F8"/>
          </w:tcPr>
          <w:p>
            <w:pPr>
              <w:spacing w:after="0" w:before="0"/>
            </w:pPr>
            <w:r/>
            <w:r>
              <w:rPr>
                <w:b w:val="0"/>
                <w:i w:val="0"/>
                <w:sz w:val="16"/>
              </w:rPr>
              <w:t>B3</w:t>
            </w:r>
          </w:p>
        </w:tc>
        <w:tc>
          <w:tcPr>
            <w:tcW w:type="dxa" w:w="3744"/>
            <w:shd w:val="clear" w:color="auto" w:fill="F2F4F8"/>
          </w:tcPr>
          <w:p>
            <w:pPr>
              <w:spacing w:after="0" w:before="0"/>
            </w:pPr>
            <w:r/>
            <w:r>
              <w:rPr>
                <w:b w:val="0"/>
                <w:i w:val="0"/>
                <w:sz w:val="16"/>
              </w:rPr>
              <w:t>Platform and retaining wall sized after geotech, not before</w:t>
            </w:r>
          </w:p>
        </w:tc>
        <w:tc>
          <w:tcPr>
            <w:tcW w:type="dxa" w:w="720"/>
            <w:shd w:val="clear" w:color="auto" w:fill="F2F4F8"/>
          </w:tcPr>
          <w:p>
            <w:pPr>
              <w:spacing w:after="0" w:before="0"/>
            </w:pPr>
            <w:r/>
            <w:r>
              <w:rPr>
                <w:b w:val="0"/>
                <w:i w:val="0"/>
                <w:sz w:val="16"/>
              </w:rPr>
              <w:t>E</w:t>
            </w:r>
          </w:p>
        </w:tc>
        <w:tc>
          <w:tcPr>
            <w:tcW w:type="dxa" w:w="1224"/>
            <w:shd w:val="clear" w:color="auto" w:fill="F2F4F8"/>
          </w:tcPr>
          <w:p>
            <w:pPr>
              <w:spacing w:after="0" w:before="0"/>
              <w:jc w:val="right"/>
            </w:pPr>
            <w:r/>
            <w:r>
              <w:rPr>
                <w:b w:val="0"/>
                <w:i w:val="0"/>
                <w:sz w:val="16"/>
              </w:rPr>
              <w:t>$0.3 to 0.8M</w:t>
            </w:r>
          </w:p>
        </w:tc>
        <w:tc>
          <w:tcPr>
            <w:tcW w:type="dxa" w:w="1224"/>
            <w:shd w:val="clear" w:color="auto" w:fill="F2F4F8"/>
          </w:tcPr>
          <w:p>
            <w:pPr>
              <w:spacing w:after="0" w:before="0"/>
              <w:jc w:val="right"/>
            </w:pPr>
            <w:r/>
            <w:r>
              <w:rPr>
                <w:b w:val="0"/>
                <w:i w:val="0"/>
                <w:sz w:val="16"/>
              </w:rPr>
              <w:t>$0.4 to 1.2M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Geotech report; MassDEP SW45 post-closure permit conditions; NFPA 855 spacing</w:t>
            </w:r>
          </w:p>
        </w:tc>
      </w:tr>
      <w:tr>
        <w:tc>
          <w:tcPr>
            <w:tcW w:type="dxa" w:w="504"/>
          </w:tcPr>
          <w:p>
            <w:pPr>
              <w:spacing w:after="0" w:before="0"/>
            </w:pPr>
            <w:r/>
            <w:r>
              <w:rPr>
                <w:b w:val="0"/>
                <w:i w:val="0"/>
                <w:sz w:val="16"/>
              </w:rPr>
              <w:t>B4</w:t>
            </w:r>
          </w:p>
        </w:tc>
        <w:tc>
          <w:tcPr>
            <w:tcW w:type="dxa" w:w="3744"/>
          </w:tcPr>
          <w:p>
            <w:pPr>
              <w:spacing w:after="0" w:before="0"/>
            </w:pPr>
            <w:r/>
            <w:r>
              <w:rPr>
                <w:b w:val="0"/>
                <w:i w:val="0"/>
                <w:sz w:val="16"/>
              </w:rPr>
              <w:t>Battery installation labor from a crew build-up instead of 25% of a 2023 total</w:t>
            </w:r>
          </w:p>
        </w:tc>
        <w:tc>
          <w:tcPr>
            <w:tcW w:type="dxa" w:w="720"/>
          </w:tcPr>
          <w:p>
            <w:pPr>
              <w:spacing w:after="0" w:before="0"/>
            </w:pPr>
            <w:r/>
            <w:r>
              <w:rPr>
                <w:b w:val="0"/>
                <w:i w:val="0"/>
                <w:sz w:val="16"/>
              </w:rPr>
              <w:t>B</w:t>
            </w:r>
          </w:p>
        </w:tc>
        <w:tc>
          <w:tcPr>
            <w:tcW w:type="dxa" w:w="1224"/>
          </w:tcPr>
          <w:p>
            <w:pPr>
              <w:spacing w:after="0" w:before="0"/>
              <w:jc w:val="right"/>
            </w:pPr>
            <w:r/>
            <w:r>
              <w:rPr>
                <w:b w:val="0"/>
                <w:i w:val="0"/>
                <w:sz w:val="16"/>
              </w:rPr>
              <w:t>$0.5 to 0.6M</w:t>
            </w:r>
          </w:p>
        </w:tc>
        <w:tc>
          <w:tcPr>
            <w:tcW w:type="dxa" w:w="1224"/>
          </w:tcPr>
          <w:p>
            <w:pPr>
              <w:spacing w:after="0" w:before="0"/>
              <w:jc w:val="right"/>
            </w:pPr>
            <w:r/>
            <w:r>
              <w:rPr>
                <w:b w:val="0"/>
                <w:i w:val="0"/>
                <w:sz w:val="16"/>
              </w:rPr>
              <w:t>$0.7 to 0.9M</w:t>
            </w:r>
          </w:p>
        </w:tc>
        <w:tc>
          <w:tcPr>
            <w:tcW w:type="dxa" w:w="1008"/>
          </w:tcPr>
          <w:p>
            <w:pPr>
              <w:spacing w:after="0" w:before="0"/>
            </w:pPr>
            <w:r/>
            <w:r>
              <w:rPr>
                <w:b w:val="0"/>
                <w:i w:val="0"/>
                <w:sz w:val="16"/>
              </w:rPr>
              <w:t>Medium</w:t>
            </w:r>
          </w:p>
        </w:tc>
        <w:tc>
          <w:tcPr>
            <w:tcW w:type="dxa" w:w="3168"/>
          </w:tcPr>
          <w:p>
            <w:pPr>
              <w:spacing w:after="0" w:before="0"/>
            </w:pPr>
            <w:r/>
            <w:r>
              <w:rPr>
                <w:b w:val="0"/>
                <w:i w:val="0"/>
                <w:sz w:val="16"/>
              </w:rPr>
              <w:t>Crew build-up: crane set, anchoring, DC and AC terminations per Voyager unit</w:t>
            </w:r>
          </w:p>
        </w:tc>
      </w:tr>
      <w:tr>
        <w:tc>
          <w:tcPr>
            <w:tcW w:type="dxa" w:w="504"/>
            <w:shd w:val="clear" w:color="auto" w:fill="F2F4F8"/>
          </w:tcPr>
          <w:p>
            <w:pPr>
              <w:spacing w:after="0" w:before="0"/>
            </w:pPr>
            <w:r/>
            <w:r>
              <w:rPr>
                <w:b w:val="0"/>
                <w:i w:val="0"/>
                <w:sz w:val="16"/>
              </w:rPr>
              <w:t>B5</w:t>
            </w:r>
          </w:p>
        </w:tc>
        <w:tc>
          <w:tcPr>
            <w:tcW w:type="dxa" w:w="3744"/>
            <w:shd w:val="clear" w:color="auto" w:fill="F2F4F8"/>
          </w:tcPr>
          <w:p>
            <w:pPr>
              <w:spacing w:after="0" w:before="0"/>
            </w:pPr>
            <w:r/>
            <w:r>
              <w:rPr>
                <w:b w:val="0"/>
                <w:i w:val="0"/>
                <w:sz w:val="16"/>
              </w:rPr>
              <w:t>Breaker package price: $332K each including relays and cabinets</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$0.3 to 0.5M</w:t>
            </w:r>
          </w:p>
        </w:tc>
        <w:tc>
          <w:tcPr>
            <w:tcW w:type="dxa" w:w="1224"/>
            <w:shd w:val="clear" w:color="auto" w:fill="F2F4F8"/>
          </w:tcPr>
          <w:p>
            <w:pPr>
              <w:spacing w:after="0" w:before="0"/>
              <w:jc w:val="right"/>
            </w:pPr>
            <w:r/>
            <w:r>
              <w:rPr>
                <w:b w:val="0"/>
                <w:i w:val="0"/>
                <w:sz w:val="16"/>
              </w:rPr>
              <w:t>$0.4 to 0.8M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Budgetary quote for the SDV7-class breaker with relay cabinet; confirm what the project team's number includes</w:t>
            </w:r>
          </w:p>
        </w:tc>
      </w:tr>
      <w:tr>
        <w:tc>
          <w:tcPr>
            <w:tcW w:type="dxa" w:w="504"/>
          </w:tcPr>
          <w:p>
            <w:pPr>
              <w:spacing w:after="0" w:before="0"/>
            </w:pPr>
            <w:r/>
            <w:r>
              <w:rPr>
                <w:b w:val="0"/>
                <w:i w:val="0"/>
                <w:sz w:val="16"/>
              </w:rPr>
              <w:t>B6</w:t>
            </w:r>
          </w:p>
        </w:tc>
        <w:tc>
          <w:tcPr>
            <w:tcW w:type="dxa" w:w="3744"/>
          </w:tcPr>
          <w:p>
            <w:pPr>
              <w:spacing w:after="0" w:before="0"/>
            </w:pPr>
            <w:r/>
            <w:r>
              <w:rPr>
                <w:b w:val="0"/>
                <w:i w:val="0"/>
                <w:sz w:val="16"/>
              </w:rPr>
              <w:t>GSU package price: 3 MVA pad-mounts carried at $267K each from a 2023 bidder list plus 3%/yr</w:t>
            </w:r>
          </w:p>
        </w:tc>
        <w:tc>
          <w:tcPr>
            <w:tcW w:type="dxa" w:w="720"/>
          </w:tcPr>
          <w:p>
            <w:pPr>
              <w:spacing w:after="0" w:before="0"/>
            </w:pPr>
            <w:r/>
            <w:r>
              <w:rPr>
                <w:b w:val="0"/>
                <w:i w:val="0"/>
                <w:sz w:val="16"/>
              </w:rPr>
              <w:t>C</w:t>
            </w:r>
          </w:p>
        </w:tc>
        <w:tc>
          <w:tcPr>
            <w:tcW w:type="dxa" w:w="1224"/>
          </w:tcPr>
          <w:p>
            <w:pPr>
              <w:spacing w:after="0" w:before="0"/>
              <w:jc w:val="right"/>
            </w:pPr>
            <w:r/>
            <w:r>
              <w:rPr>
                <w:b w:val="0"/>
                <w:i w:val="0"/>
                <w:sz w:val="16"/>
              </w:rPr>
              <w:t>$0.2 to 0.4M</w:t>
            </w:r>
          </w:p>
        </w:tc>
        <w:tc>
          <w:tcPr>
            <w:tcW w:type="dxa" w:w="1224"/>
          </w:tcPr>
          <w:p>
            <w:pPr>
              <w:spacing w:after="0" w:before="0"/>
              <w:jc w:val="right"/>
            </w:pPr>
            <w:r/>
            <w:r>
              <w:rPr>
                <w:b w:val="0"/>
                <w:i w:val="0"/>
                <w:sz w:val="16"/>
              </w:rPr>
              <w:t>$0.3 to 0.6M</w:t>
            </w:r>
          </w:p>
        </w:tc>
        <w:tc>
          <w:tcPr>
            <w:tcW w:type="dxa" w:w="1008"/>
          </w:tcPr>
          <w:p>
            <w:pPr>
              <w:spacing w:after="0" w:before="0"/>
            </w:pPr>
            <w:r/>
            <w:r>
              <w:rPr>
                <w:b w:val="0"/>
                <w:i w:val="0"/>
                <w:sz w:val="16"/>
              </w:rPr>
              <w:t>Low</w:t>
            </w:r>
          </w:p>
        </w:tc>
        <w:tc>
          <w:tcPr>
            <w:tcW w:type="dxa" w:w="3168"/>
          </w:tcPr>
          <w:p>
            <w:pPr>
              <w:spacing w:after="0" w:before="0"/>
            </w:pPr>
            <w:r/>
            <w:r>
              <w:rPr>
                <w:b w:val="0"/>
                <w:i w:val="0"/>
                <w:sz w:val="16"/>
              </w:rPr>
              <w:t>Budgetary quote with the 2026 transformer PPI (1.9x since 2018) and a 29 to 70 week lead time in the schedule</w:t>
            </w:r>
          </w:p>
        </w:tc>
      </w:tr>
      <w:tr>
        <w:tc>
          <w:tcPr>
            <w:tcW w:type="dxa" w:w="504"/>
            <w:shd w:val="clear" w:color="auto" w:fill="F2F4F8"/>
          </w:tcPr>
          <w:p>
            <w:pPr>
              <w:spacing w:after="0" w:before="0"/>
            </w:pPr>
            <w:r/>
            <w:r>
              <w:rPr>
                <w:b w:val="0"/>
                <w:i w:val="0"/>
                <w:sz w:val="16"/>
              </w:rPr>
              <w:t>C1</w:t>
            </w:r>
          </w:p>
        </w:tc>
        <w:tc>
          <w:tcPr>
            <w:tcW w:type="dxa" w:w="3744"/>
            <w:shd w:val="clear" w:color="auto" w:fill="F2F4F8"/>
          </w:tcPr>
          <w:p>
            <w:pPr>
              <w:spacing w:after="0" w:before="0"/>
            </w:pPr>
            <w:r/>
            <w:r>
              <w:rPr>
                <w:b w:val="0"/>
                <w:i w:val="0"/>
                <w:sz w:val="16"/>
              </w:rPr>
              <w:t>Section 48E investment tax credit on the storage property</w:t>
            </w:r>
          </w:p>
        </w:tc>
        <w:tc>
          <w:tcPr>
            <w:tcW w:type="dxa" w:w="720"/>
            <w:shd w:val="clear" w:color="auto" w:fill="F2F4F8"/>
          </w:tcPr>
          <w:p>
            <w:pPr>
              <w:spacing w:after="0" w:before="0"/>
            </w:pPr>
            <w:r/>
            <w:r>
              <w:rPr>
                <w:b w:val="0"/>
                <w:i w:val="0"/>
                <w:sz w:val="16"/>
              </w:rPr>
              <w:t>rev. req.</w:t>
            </w:r>
          </w:p>
        </w:tc>
        <w:tc>
          <w:tcPr>
            <w:tcW w:type="dxa" w:w="1224"/>
            <w:shd w:val="clear" w:color="auto" w:fill="F2F4F8"/>
          </w:tcPr>
          <w:p>
            <w:pPr>
              <w:spacing w:after="0" w:before="0"/>
              <w:jc w:val="right"/>
            </w:pPr>
            <w:r/>
            <w:r>
              <w:rPr>
                <w:b w:val="0"/>
                <w:i w:val="0"/>
                <w:sz w:val="16"/>
              </w:rPr>
              <w:t>$8.4 to 12.4M</w:t>
            </w:r>
          </w:p>
        </w:tc>
        <w:tc>
          <w:tcPr>
            <w:tcW w:type="dxa" w:w="1224"/>
            <w:shd w:val="clear" w:color="auto" w:fill="F2F4F8"/>
          </w:tcPr>
          <w:p>
            <w:pPr>
              <w:spacing w:after="0" w:before="0"/>
              <w:jc w:val="right"/>
            </w:pPr>
            <w:r/>
            <w:r>
              <w:rPr>
                <w:b w:val="0"/>
                <w:i w:val="0"/>
                <w:sz w:val="16"/>
              </w:rPr>
              <w:t>$8.4 to 12.4M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Eligible-basis opinion; FEOC cost-ratio test (65% non-PFE for a 2028 construction start); normalization election; DPU treatment</w:t>
            </w:r>
          </w:p>
        </w:tc>
      </w:tr>
      <w:tr>
        <w:tc>
          <w:tcPr>
            <w:tcW w:type="dxa" w:w="504"/>
          </w:tcPr>
          <w:p>
            <w:pPr>
              <w:spacing w:after="0" w:before="0"/>
            </w:pPr>
            <w:r/>
            <w:r>
              <w:rPr>
                <w:b w:val="0"/>
                <w:i w:val="0"/>
                <w:sz w:val="16"/>
              </w:rPr>
              <w:t>C2</w:t>
            </w:r>
          </w:p>
        </w:tc>
        <w:tc>
          <w:tcPr>
            <w:tcW w:type="dxa" w:w="3744"/>
          </w:tcPr>
          <w:p>
            <w:pPr>
              <w:spacing w:after="0" w:before="0"/>
            </w:pPr>
            <w:r/>
            <w:r>
              <w:rPr>
                <w:b w:val="0"/>
                <w:i w:val="0"/>
                <w:sz w:val="16"/>
              </w:rPr>
              <w:t>Energy-community adder if the closed landfill qualifies as a brownfield</w:t>
            </w:r>
          </w:p>
        </w:tc>
        <w:tc>
          <w:tcPr>
            <w:tcW w:type="dxa" w:w="720"/>
          </w:tcPr>
          <w:p>
            <w:pPr>
              <w:spacing w:after="0" w:before="0"/>
            </w:pPr>
            <w:r/>
            <w:r>
              <w:rPr>
                <w:b w:val="0"/>
                <w:i w:val="0"/>
                <w:sz w:val="16"/>
              </w:rPr>
              <w:t>rev. req.</w:t>
            </w:r>
          </w:p>
        </w:tc>
        <w:tc>
          <w:tcPr>
            <w:tcW w:type="dxa" w:w="1224"/>
          </w:tcPr>
          <w:p>
            <w:pPr>
              <w:spacing w:after="0" w:before="0"/>
              <w:jc w:val="right"/>
            </w:pPr>
            <w:r/>
            <w:r>
              <w:rPr>
                <w:b w:val="0"/>
                <w:i w:val="0"/>
                <w:sz w:val="16"/>
              </w:rPr>
              <w:t>$2.8 to 4.1M</w:t>
            </w:r>
          </w:p>
        </w:tc>
        <w:tc>
          <w:tcPr>
            <w:tcW w:type="dxa" w:w="1224"/>
          </w:tcPr>
          <w:p>
            <w:pPr>
              <w:spacing w:after="0" w:before="0"/>
              <w:jc w:val="right"/>
            </w:pPr>
            <w:r/>
            <w:r>
              <w:rPr>
                <w:b w:val="0"/>
                <w:i w:val="0"/>
                <w:sz w:val="16"/>
              </w:rPr>
              <w:t>$2.8 to 4.1M</w:t>
            </w:r>
          </w:p>
        </w:tc>
        <w:tc>
          <w:tcPr>
            <w:tcW w:type="dxa" w:w="1008"/>
          </w:tcPr>
          <w:p>
            <w:pPr>
              <w:spacing w:after="0" w:before="0"/>
            </w:pPr>
            <w:r/>
            <w:r>
              <w:rPr>
                <w:b w:val="0"/>
                <w:i w:val="0"/>
                <w:sz w:val="16"/>
              </w:rPr>
              <w:t>Low</w:t>
            </w:r>
          </w:p>
        </w:tc>
        <w:tc>
          <w:tcPr>
            <w:tcW w:type="dxa" w:w="3168"/>
          </w:tcPr>
          <w:p>
            <w:pPr>
              <w:spacing w:after="0" w:before="0"/>
            </w:pPr>
            <w:r/>
            <w:r>
              <w:rPr>
                <w:b w:val="0"/>
                <w:i w:val="0"/>
                <w:sz w:val="16"/>
              </w:rPr>
              <w:t>Phase II ESA or a prior brownfield-program assessment (the Phase I safe harbor stops at 5 MW)</w:t>
            </w:r>
          </w:p>
        </w:tc>
      </w:tr>
      <w:tr>
        <w:tc>
          <w:tcPr>
            <w:tcW w:type="dxa" w:w="504"/>
            <w:shd w:val="clear" w:color="auto" w:fill="F2F4F8"/>
          </w:tcPr>
          <w:p>
            <w:pPr>
              <w:spacing w:after="0" w:before="0"/>
            </w:pPr>
            <w:r/>
            <w:r>
              <w:rPr>
                <w:b w:val="0"/>
                <w:i w:val="0"/>
                <w:sz w:val="16"/>
              </w:rPr>
              <w:t>C3</w:t>
            </w:r>
          </w:p>
        </w:tc>
        <w:tc>
          <w:tcPr>
            <w:tcW w:type="dxa" w:w="3744"/>
            <w:shd w:val="clear" w:color="auto" w:fill="F2F4F8"/>
          </w:tcPr>
          <w:p>
            <w:pPr>
              <w:spacing w:after="0" w:before="0"/>
            </w:pPr>
            <w:r/>
            <w:r>
              <w:rPr>
                <w:b w:val="0"/>
                <w:i w:val="0"/>
                <w:sz w:val="16"/>
              </w:rPr>
              <w:t>AFUDC: pay the battery at delivery, not a year ahead; protect the siting float</w:t>
            </w:r>
          </w:p>
        </w:tc>
        <w:tc>
          <w:tcPr>
            <w:tcW w:type="dxa" w:w="720"/>
            <w:shd w:val="clear" w:color="auto" w:fill="F2F4F8"/>
          </w:tcPr>
          <w:p>
            <w:pPr>
              <w:spacing w:after="0" w:before="0"/>
            </w:pPr>
            <w:r/>
            <w:r>
              <w:rPr>
                <w:b w:val="0"/>
                <w:i w:val="0"/>
                <w:sz w:val="16"/>
              </w:rPr>
              <w:t>M</w:t>
            </w:r>
          </w:p>
        </w:tc>
        <w:tc>
          <w:tcPr>
            <w:tcW w:type="dxa" w:w="1224"/>
            <w:shd w:val="clear" w:color="auto" w:fill="F2F4F8"/>
          </w:tcPr>
          <w:p>
            <w:pPr>
              <w:spacing w:after="0" w:before="0"/>
              <w:jc w:val="right"/>
            </w:pPr>
            <w:r/>
            <w:r>
              <w:rPr>
                <w:b w:val="0"/>
                <w:i w:val="0"/>
                <w:sz w:val="16"/>
              </w:rPr>
              <w:t>$0.3 to 0.7M</w:t>
            </w:r>
          </w:p>
        </w:tc>
        <w:tc>
          <w:tcPr>
            <w:tcW w:type="dxa" w:w="1224"/>
            <w:shd w:val="clear" w:color="auto" w:fill="F2F4F8"/>
          </w:tcPr>
          <w:p>
            <w:pPr>
              <w:spacing w:after="0" w:before="0"/>
              <w:jc w:val="right"/>
            </w:pPr>
            <w:r/>
            <w:r>
              <w:rPr>
                <w:b w:val="0"/>
                <w:i w:val="0"/>
                <w:sz w:val="16"/>
              </w:rPr>
              <w:t>$0.3 to 0.7M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Milestone payment schedule in the Nomad SOV aligned to 2028 delivery; float target on the ZBA chain</w:t>
            </w:r>
          </w:p>
        </w:tc>
      </w:tr>
    </w:tbl>
    <w:p>
      <w:pPr>
        <w:spacing w:after="40"/>
      </w:pPr>
    </w:p>
    <w:tbl>
      <w:tblPr>
        <w:tblStyle w:val="TableGrid"/>
        <w:tblW w:type="auto" w:w="0"/>
        <w:jc w:val="center"/>
        <w:tblLayout w:type="fixed"/>
        <w:tblLook w:firstColumn="1" w:firstRow="1" w:lastColumn="0" w:lastRow="0" w:noHBand="0" w:noVBand="1" w:val="04A0"/>
      </w:tblPr>
      <w:tblGrid>
        <w:gridCol w:w="3456"/>
        <w:gridCol w:w="2160"/>
        <w:gridCol w:w="3456"/>
      </w:tblGrid>
      <w:tr>
        <w:tc>
          <w:tcPr>
            <w:tcW w:type="dxa" w:w="3456"/>
            <w:shd w:val="clear" w:color="auto" w:fill="001E60"/>
          </w:tcPr>
          <w:p>
            <w:pPr>
              <w:spacing w:after="0" w:before="0"/>
            </w:pPr>
            <w:r/>
            <w:r>
              <w:rPr>
                <w:b/>
                <w:i w:val="0"/>
                <w:color w:val="FFFFFF"/>
                <w:sz w:val="18"/>
              </w:rPr>
              <w:t>Tier</w:t>
            </w:r>
          </w:p>
        </w:tc>
        <w:tc>
          <w:tcPr>
            <w:tcW w:type="dxa" w:w="2160"/>
            <w:shd w:val="clear" w:color="auto" w:fill="001E60"/>
          </w:tcPr>
          <w:p>
            <w:pPr>
              <w:spacing w:after="0" w:before="0"/>
            </w:pPr>
            <w:r/>
            <w:r>
              <w:rPr>
                <w:b/>
                <w:i w:val="0"/>
                <w:color w:val="FFFFFF"/>
                <w:sz w:val="18"/>
              </w:rPr>
              <w:t>Loaded range</w:t>
            </w:r>
          </w:p>
        </w:tc>
        <w:tc>
          <w:tcPr>
            <w:tcW w:type="dxa" w:w="3456"/>
            <w:shd w:val="clear" w:color="auto" w:fill="001E60"/>
          </w:tcPr>
          <w:p>
            <w:pPr>
              <w:spacing w:after="0" w:before="0"/>
            </w:pPr>
            <w:r/>
            <w:r>
              <w:rPr>
                <w:b/>
                <w:i w:val="0"/>
                <w:color w:val="FFFFFF"/>
                <w:sz w:val="18"/>
              </w:rPr>
              <w:t>Against</w:t>
            </w:r>
          </w:p>
        </w:tc>
      </w:tr>
      <w:tr>
        <w:tc>
          <w:tcPr>
            <w:tcW w:type="dxa" w:w="3456"/>
          </w:tcPr>
          <w:p>
            <w:pPr>
              <w:spacing w:after="0" w:before="0"/>
            </w:pPr>
            <w:r/>
            <w:r>
              <w:rPr>
                <w:b w:val="0"/>
                <w:i w:val="0"/>
                <w:sz w:val="18"/>
              </w:rPr>
              <w:t>A. Estimate hygiene</w:t>
            </w:r>
          </w:p>
        </w:tc>
        <w:tc>
          <w:tcPr>
            <w:tcW w:type="dxa" w:w="2160"/>
          </w:tcPr>
          <w:p>
            <w:pPr>
              <w:spacing w:after="0" w:before="0"/>
              <w:jc w:val="right"/>
            </w:pPr>
            <w:r/>
            <w:r>
              <w:rPr>
                <w:b w:val="0"/>
                <w:i w:val="0"/>
                <w:sz w:val="18"/>
              </w:rPr>
              <w:t>$5.0 to 7.1M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B. Value engineering</w:t>
            </w:r>
          </w:p>
        </w:tc>
        <w:tc>
          <w:tcPr>
            <w:tcW w:type="dxa" w:w="2160"/>
            <w:shd w:val="clear" w:color="auto" w:fill="F2F4F8"/>
          </w:tcPr>
          <w:p>
            <w:pPr>
              <w:spacing w:after="0" w:before="0"/>
              <w:jc w:val="right"/>
            </w:pPr>
            <w:r/>
            <w:r>
              <w:rPr>
                <w:b w:val="0"/>
                <w:i w:val="0"/>
                <w:sz w:val="18"/>
              </w:rPr>
              <w:t>$4.3 to 6.9M</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A + B</w:t>
            </w:r>
          </w:p>
        </w:tc>
        <w:tc>
          <w:tcPr>
            <w:tcW w:type="dxa" w:w="2160"/>
          </w:tcPr>
          <w:p>
            <w:pPr>
              <w:spacing w:after="0" w:before="0"/>
              <w:jc w:val="right"/>
            </w:pPr>
            <w:r/>
            <w:r>
              <w:rPr>
                <w:b w:val="0"/>
                <w:i w:val="0"/>
                <w:sz w:val="18"/>
              </w:rPr>
              <w:t>$9.3 to 14.0M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Haugland reconciliation (red team KS1)</w:t>
            </w:r>
          </w:p>
        </w:tc>
        <w:tc>
          <w:tcPr>
            <w:tcW w:type="dxa" w:w="2160"/>
            <w:shd w:val="clear" w:color="auto" w:fill="F2F4F8"/>
          </w:tcPr>
          <w:p>
            <w:pPr>
              <w:spacing w:after="0" w:before="0"/>
              <w:jc w:val="right"/>
            </w:pPr>
            <w:r/>
            <w:r>
              <w:rPr>
                <w:b w:val="0"/>
                <w:i w:val="0"/>
                <w:sz w:val="18"/>
              </w:rPr>
              <w:t>+$4 to 8M direct</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C. Financial and structural</w:t>
            </w:r>
          </w:p>
        </w:tc>
        <w:tc>
          <w:tcPr>
            <w:tcW w:type="dxa" w:w="2160"/>
          </w:tcPr>
          <w:p>
            <w:pPr>
              <w:spacing w:after="0" w:before="0"/>
              <w:jc w:val="right"/>
            </w:pPr>
            <w:r/>
            <w:r>
              <w:rPr>
                <w:b w:val="0"/>
                <w:i w:val="0"/>
                <w:sz w:val="18"/>
              </w:rPr>
              <w:t>$11.6 to 17.2M</w:t>
            </w:r>
          </w:p>
        </w:tc>
        <w:tc>
          <w:tcPr>
            <w:tcW w:type="dxa" w:w="3456"/>
          </w:tcPr>
          <w:p>
            <w:pPr>
              <w:spacing w:after="0" w:before="0"/>
            </w:pPr>
            <w:r/>
            <w:r>
              <w:rPr>
                <w:b w:val="0"/>
                <w:i w:val="0"/>
                <w:sz w:val="18"/>
              </w:rPr>
              <w:t>the revenue requirement</w:t>
            </w:r>
          </w:p>
        </w:tc>
      </w:tr>
    </w:tbl>
    <w:p>
      <w:pPr>
        <w:spacing w:after="40"/>
      </w:pPr>
    </w:p>
    <w:p>
      <w:pPr>
        <w:spacing w:after="120"/>
      </w:pPr>
      <w:r>
        <w:rPr>
          <w:b w:val="0"/>
          <w:i w:val="0"/>
        </w:rPr>
        <w:t>Three readings. First, Tiers A and B together ($9.3 to 14.0M) are the same order of magnitude as the red team's Haugland gap (+$4 million to +$8 million direct), and they are gross of it. The honest planning case is a $57 million number that holds, not one that falls, and a value-engineering deduct booked into the PAF ahead of its study is how estimates reach $74 million. Second, the three levers to pursue now cost almost nothing: A1 and A2 are a decision and a re-wording worth about $3 million loaded; B1 is two calls to EMA for recent relay-replacement actuals, against a Station 496 program that carries 710 man-hours and $362,655 per relay for hardware worth $91,438 in total; C1 is a memo to Tax. Third, the largest lever is not in the estimate at all.</w:t>
      </w:r>
    </w:p>
    <w:p>
      <w:pPr>
        <w:spacing w:after="120"/>
      </w:pPr>
      <w:r>
        <w:rPr>
          <w:b w:val="0"/>
          <w:i w:val="0"/>
        </w:rPr>
        <w:t>The Section 48E clean electricity investment credit applies to energy storage technology placed in service by a regulated utility. At the 30 percent rate (prevailing wage and apprenticeship) on an eligible basis bracketed by the loaded battery layers ($28.1M: contract, installation, balance of plant) and those plus station, site and testing ($41.2M), the credit is $8.4 to 12.4M, with a further $2.8 to 4.1M if the closed landfill qualifies as a brownfield energy community. Five things must close before it can be counted, and the research behind them is search-excerpt sourced and to be confirmed by Tax: an eligible-basis opinion (interconnection property at Station 496 sits outside the 48E storage definition); the prohibited-foreign-entity test under IRS Notice 2026-15, which requires at least 65 percent of direct cost from outside prohibited entities for a 2028 construction start while the IRS safe-harbor table puts cells at 52 percent of equipment cost, so the origin of the Voyager cells decides the credit; the normalization election for storage that the Inflation Reduction Act added to section 50(d)(2) and the DPU's treatment of the credit, on which there is no Massachusetts precedent because the Outer Cape and Nantucket batteries pre-date storage eligibility; prevailing-wage and apprenticeship language in the construction contracts; and, for the adder, a Phase II environmental assessment or a prior brownfield-program assessment, because the Phase I safe harbor stops at 5 MW. Storage is exempt from the July 2025 law's wind and solar cliff, with the full credit available for construction beginning through 2033.</w:t>
      </w:r>
    </w:p>
    <w:p>
      <w:pPr>
        <w:pStyle w:val="Heading1"/>
      </w:pPr>
      <w:r>
        <w:t>9.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Open the Section 48E question with Tax before the November PAF. </w:t>
      </w:r>
      <w:r>
        <w:t>Eligible basis, the prohibited-foreign-entity cost ratio on the Voyager cells and modules, the normalization election and the DPU treatment. The credit is larger than every estimate-side lever combined, and the cell-origin question has a deadline: Nomad's final-drawings milestone.</w:t>
      </w:r>
    </w:p>
    <w:p>
      <w:pPr>
        <w:pStyle w:val="ListBullet"/>
        <w:spacing w:after="60"/>
      </w:pPr>
      <w:r>
        <w:rPr>
          <w:b/>
        </w:rPr>
        <w:t xml:space="preserve">Work the savings register in tier order. </w:t>
      </w:r>
      <w:r>
        <w:t>Decide A1 and re-word A2 now; benchmark the Station 496 relay program against two recent actuals; hold every Tier B item out of the PAF until its study closes.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p>
      <w:pPr>
        <w:pStyle w:val="ListBullet"/>
        <w:spacing w:after="60"/>
      </w:pPr>
      <w:r>
        <w:t>Escalator series (section 5.3): FRED and BLS APIs, 3 Oct 2026 (WPU117409, WPU1175, WPU4532, PCU541330541330, CIU2012300000000I, WPUIP2300001, WPU117); Massachusetts DLS prevailing-wage schedules and Boston JATC rate sheets (IBEW Local 103, 2018-2026); ENR Construction Cost Index reproductions (MWD 2018, City of San Francisco AICCIE 2024, ENR 2025 monthly); PJM Handy-Whitman posting and the Cost Estimating CoE extraction of Bulletin 198.</w:t>
      </w:r>
    </w:p>
    <w:p>
      <w:pPr>
        <w:pStyle w:val="ListBullet"/>
        <w:spacing w:after="60"/>
      </w:pPr>
      <w:r>
        <w:t>Savings register (section 8): Rev 3 rows; Haugland Attachment 4-E; IRS Notice 2026-15 and law-firm summaries of the July 2025 reconciliation act (section 48E, 50(d)(2), 6418); Siemens SDV7 and pad-mount transformer dealer listings; NREL ATB 2021 installation-labor line; National Grid Massachusetts feeder interconnection limits (Sandia GESDB summary).</w:t>
      </w:r>
    </w:p>
    <w:p>
      <w:pPr>
        <w:pStyle w:val="Heading1"/>
      </w:pPr>
      <w:r>
        <w:t>Appendix B. Reference class members (public disclosures, nominal $/kWh, with 2026-dollar re-basing)</w:t>
      </w:r>
    </w:p>
    <w:tbl>
      <w:tblPr>
        <w:tblStyle w:val="TableGrid"/>
        <w:tblW w:type="auto" w:w="0"/>
        <w:jc w:val="center"/>
        <w:tblLayout w:type="fixed"/>
        <w:tblLook w:firstColumn="1" w:firstRow="1" w:lastColumn="0" w:lastRow="0" w:noHBand="0" w:noVBand="1" w:val="04A0"/>
      </w:tblPr>
      <w:tblGrid>
        <w:gridCol w:w="2952"/>
        <w:gridCol w:w="1152"/>
        <w:gridCol w:w="1080"/>
        <w:gridCol w:w="1152"/>
        <w:gridCol w:w="648"/>
        <w:gridCol w:w="1080"/>
        <w:gridCol w:w="1296"/>
        <w:gridCol w:w="1008"/>
      </w:tblGrid>
      <w:tr>
        <w:tc>
          <w:tcPr>
            <w:tcW w:type="dxa" w:w="2952"/>
            <w:shd w:val="clear" w:color="auto" w:fill="001E60"/>
          </w:tcPr>
          <w:p>
            <w:pPr>
              <w:spacing w:after="0" w:before="0"/>
            </w:pPr>
            <w:r/>
            <w:r>
              <w:rPr>
                <w:b/>
                <w:i w:val="0"/>
                <w:color w:val="FFFFFF"/>
                <w:sz w:val="15"/>
              </w:rPr>
              <w:t>Project</w:t>
            </w:r>
          </w:p>
        </w:tc>
        <w:tc>
          <w:tcPr>
            <w:tcW w:type="dxa" w:w="1152"/>
            <w:shd w:val="clear" w:color="auto" w:fill="001E60"/>
          </w:tcPr>
          <w:p>
            <w:pPr>
              <w:spacing w:after="0" w:before="0"/>
            </w:pPr>
            <w:r/>
            <w:r>
              <w:rPr>
                <w:b/>
                <w:i w:val="0"/>
                <w:color w:val="FFFFFF"/>
                <w:sz w:val="15"/>
              </w:rPr>
              <w:t>Owner</w:t>
            </w:r>
          </w:p>
        </w:tc>
        <w:tc>
          <w:tcPr>
            <w:tcW w:type="dxa" w:w="1080"/>
            <w:shd w:val="clear" w:color="auto" w:fill="001E60"/>
          </w:tcPr>
          <w:p>
            <w:pPr>
              <w:spacing w:after="0" w:before="0"/>
            </w:pPr>
            <w:r/>
            <w:r>
              <w:rPr>
                <w:b/>
                <w:i w:val="0"/>
                <w:color w:val="FFFFFF"/>
                <w:sz w:val="15"/>
              </w:rPr>
              <w:t>State</w:t>
            </w:r>
          </w:p>
        </w:tc>
        <w:tc>
          <w:tcPr>
            <w:tcW w:type="dxa" w:w="1152"/>
            <w:shd w:val="clear" w:color="auto" w:fill="001E60"/>
          </w:tcPr>
          <w:p>
            <w:pPr>
              <w:spacing w:after="0" w:before="0"/>
            </w:pPr>
            <w:r/>
            <w:r>
              <w:rPr>
                <w:b/>
                <w:i w:val="0"/>
                <w:color w:val="FFFFFF"/>
                <w:sz w:val="15"/>
              </w:rPr>
              <w:t>MW / MWh</w:t>
            </w:r>
          </w:p>
        </w:tc>
        <w:tc>
          <w:tcPr>
            <w:tcW w:type="dxa" w:w="648"/>
            <w:shd w:val="clear" w:color="auto" w:fill="001E60"/>
          </w:tcPr>
          <w:p>
            <w:pPr>
              <w:spacing w:after="0" w:before="0"/>
            </w:pPr>
            <w:r/>
            <w:r>
              <w:rPr>
                <w:b/>
                <w:i w:val="0"/>
                <w:color w:val="FFFFFF"/>
                <w:sz w:val="15"/>
              </w:rPr>
              <w:t>COD</w:t>
            </w:r>
          </w:p>
        </w:tc>
        <w:tc>
          <w:tcPr>
            <w:tcW w:type="dxa" w:w="1080"/>
            <w:shd w:val="clear" w:color="auto" w:fill="001E60"/>
          </w:tcPr>
          <w:p>
            <w:pPr>
              <w:spacing w:after="0" w:before="0"/>
            </w:pPr>
            <w:r/>
            <w:r>
              <w:rPr>
                <w:b/>
                <w:i w:val="0"/>
                <w:color w:val="FFFFFF"/>
                <w:sz w:val="15"/>
              </w:rPr>
              <w:t>$/kWh nominal</w:t>
            </w:r>
          </w:p>
        </w:tc>
        <w:tc>
          <w:tcPr>
            <w:tcW w:type="dxa" w:w="1296"/>
            <w:shd w:val="clear" w:color="auto" w:fill="001E60"/>
          </w:tcPr>
          <w:p>
            <w:pPr>
              <w:spacing w:after="0" w:before="0"/>
            </w:pPr>
            <w:r/>
            <w:r>
              <w:rPr>
                <w:b/>
                <w:i w:val="0"/>
                <w:color w:val="FFFFFF"/>
                <w:sz w:val="15"/>
              </w:rPr>
              <w:t>$/kWh 2026 (installed index)</w:t>
            </w:r>
          </w:p>
        </w:tc>
        <w:tc>
          <w:tcPr>
            <w:tcW w:type="dxa" w:w="1008"/>
            <w:shd w:val="clear" w:color="auto" w:fill="001E60"/>
          </w:tcPr>
          <w:p>
            <w:pPr>
              <w:spacing w:after="0" w:before="0"/>
            </w:pPr>
            <w:r/>
            <w:r>
              <w:rPr>
                <w:b/>
                <w:i w:val="0"/>
                <w:color w:val="FFFFFF"/>
                <w:sz w:val="15"/>
              </w:rPr>
              <w:t>Conf.</w:t>
            </w:r>
          </w:p>
        </w:tc>
      </w:tr>
      <w:tr>
        <w:tc>
          <w:tcPr>
            <w:tcW w:type="dxa" w:w="2952"/>
          </w:tcPr>
          <w:p>
            <w:pPr>
              <w:spacing w:after="0" w:before="0"/>
            </w:pPr>
            <w:r/>
            <w:r>
              <w:rPr>
                <w:b w:val="0"/>
                <w:i w:val="0"/>
                <w:sz w:val="15"/>
              </w:rPr>
              <w:t>Babcock Ranch storage add-on (FPL)</w:t>
            </w:r>
          </w:p>
        </w:tc>
        <w:tc>
          <w:tcPr>
            <w:tcW w:type="dxa" w:w="1152"/>
          </w:tcPr>
          <w:p>
            <w:pPr>
              <w:spacing w:after="0" w:before="0"/>
            </w:pPr>
            <w:r/>
            <w:r>
              <w:rPr>
                <w:b w:val="0"/>
                <w:i w:val="0"/>
                <w:sz w:val="15"/>
              </w:rPr>
              <w:t>Utility</w:t>
            </w:r>
          </w:p>
        </w:tc>
        <w:tc>
          <w:tcPr>
            <w:tcW w:type="dxa" w:w="1080"/>
          </w:tcPr>
          <w:p>
            <w:pPr>
              <w:spacing w:after="0" w:before="0"/>
            </w:pPr>
            <w:r/>
            <w:r>
              <w:rPr>
                <w:b w:val="0"/>
                <w:i w:val="0"/>
                <w:sz w:val="15"/>
              </w:rPr>
              <w:t>FL</w:t>
            </w:r>
          </w:p>
        </w:tc>
        <w:tc>
          <w:tcPr>
            <w:tcW w:type="dxa" w:w="1152"/>
          </w:tcPr>
          <w:p>
            <w:pPr>
              <w:spacing w:after="0" w:before="0"/>
            </w:pPr>
            <w:r/>
            <w:r>
              <w:rPr>
                <w:b w:val="0"/>
                <w:i w:val="0"/>
                <w:sz w:val="15"/>
              </w:rPr>
              <w:t>10 / 40</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$375</w:t>
            </w:r>
          </w:p>
        </w:tc>
        <w:tc>
          <w:tcPr>
            <w:tcW w:type="dxa" w:w="1296"/>
          </w:tcPr>
          <w:p>
            <w:pPr>
              <w:spacing w:after="0" w:before="0"/>
              <w:jc w:val="right"/>
            </w:pPr>
            <w:r/>
            <w:r>
              <w:rPr>
                <w:b w:val="0"/>
                <w:i w:val="0"/>
                <w:sz w:val="15"/>
              </w:rPr>
              <w:t>$446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Bouldercombe Battery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QLD (Austral</w:t>
            </w:r>
          </w:p>
        </w:tc>
        <w:tc>
          <w:tcPr>
            <w:tcW w:type="dxa" w:w="1152"/>
            <w:shd w:val="clear" w:color="auto" w:fill="F2F4F8"/>
          </w:tcPr>
          <w:p>
            <w:pPr>
              <w:spacing w:after="0" w:before="0"/>
            </w:pPr>
            <w:r/>
            <w:r>
              <w:rPr>
                <w:b w:val="0"/>
                <w:i w:val="0"/>
                <w:sz w:val="15"/>
              </w:rPr>
              <w:t>50 / 100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$402</w:t>
            </w:r>
          </w:p>
        </w:tc>
        <w:tc>
          <w:tcPr>
            <w:tcW w:type="dxa" w:w="1296"/>
            <w:shd w:val="clear" w:color="auto" w:fill="F2F4F8"/>
          </w:tcPr>
          <w:p>
            <w:pPr>
              <w:spacing w:after="0" w:before="0"/>
              <w:jc w:val="right"/>
            </w:pPr>
            <w:r/>
            <w:r>
              <w:rPr>
                <w:b w:val="0"/>
                <w:i w:val="0"/>
                <w:sz w:val="15"/>
              </w:rPr>
              <w:t>$416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Convergent SSC Richmond Rd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$410</w:t>
            </w:r>
          </w:p>
        </w:tc>
        <w:tc>
          <w:tcPr>
            <w:tcW w:type="dxa" w:w="1296"/>
          </w:tcPr>
          <w:p>
            <w:pPr>
              <w:spacing w:after="0" w:before="0"/>
              <w:jc w:val="right"/>
            </w:pPr>
            <w:r/>
            <w:r>
              <w:rPr>
                <w:b w:val="0"/>
                <w:i w:val="0"/>
                <w:sz w:val="15"/>
              </w:rPr>
              <w:t>$421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Soldotna BESS (37 Megapacks)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46.5 / 93</w:t>
            </w:r>
          </w:p>
        </w:tc>
        <w:tc>
          <w:tcPr>
            <w:tcW w:type="dxa" w:w="648"/>
            <w:shd w:val="clear" w:color="auto" w:fill="F2F4F8"/>
          </w:tcPr>
          <w:p>
            <w:pPr>
              <w:spacing w:after="0" w:before="0"/>
            </w:pPr>
            <w:r/>
            <w:r>
              <w:rPr>
                <w:b w:val="0"/>
                <w:i w:val="0"/>
                <w:sz w:val="15"/>
              </w:rPr>
              <w:t>2022</w:t>
            </w:r>
          </w:p>
        </w:tc>
        <w:tc>
          <w:tcPr>
            <w:tcW w:type="dxa" w:w="1080"/>
            <w:shd w:val="clear" w:color="auto" w:fill="F2F4F8"/>
          </w:tcPr>
          <w:p>
            <w:pPr>
              <w:spacing w:after="0" w:before="0"/>
              <w:jc w:val="right"/>
            </w:pPr>
            <w:r/>
            <w:r>
              <w:rPr>
                <w:b w:val="0"/>
                <w:i w:val="0"/>
                <w:sz w:val="15"/>
              </w:rPr>
              <w:t>$430</w:t>
            </w:r>
          </w:p>
        </w:tc>
        <w:tc>
          <w:tcPr>
            <w:tcW w:type="dxa" w:w="1296"/>
            <w:shd w:val="clear" w:color="auto" w:fill="F2F4F8"/>
          </w:tcPr>
          <w:p>
            <w:pPr>
              <w:spacing w:after="0" w:before="0"/>
              <w:jc w:val="right"/>
            </w:pPr>
            <w:r/>
            <w:r>
              <w:rPr>
                <w:b w:val="0"/>
                <w:i w:val="0"/>
                <w:sz w:val="15"/>
              </w:rPr>
              <w:t>$455</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Martha's Vineyard BESS Phase 2 (cancelled)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9.8 / 64</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$438</w:t>
            </w:r>
          </w:p>
        </w:tc>
        <w:tc>
          <w:tcPr>
            <w:tcW w:type="dxa" w:w="1296"/>
          </w:tcPr>
          <w:p>
            <w:pPr>
              <w:spacing w:after="0" w:before="0"/>
              <w:jc w:val="right"/>
            </w:pPr>
            <w:r/>
            <w:r>
              <w:rPr>
                <w:b w:val="0"/>
                <w:i w:val="0"/>
                <w:sz w:val="15"/>
              </w:rPr>
              <w:t>$518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 Troy BESS (VEC + GMP)</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$500</w:t>
            </w:r>
          </w:p>
        </w:tc>
        <w:tc>
          <w:tcPr>
            <w:tcW w:type="dxa" w:w="1296"/>
            <w:shd w:val="clear" w:color="auto" w:fill="F2F4F8"/>
          </w:tcPr>
          <w:p>
            <w:pPr>
              <w:spacing w:after="0" w:before="0"/>
              <w:jc w:val="right"/>
            </w:pPr>
            <w:r/>
            <w:r>
              <w:rPr>
                <w:b w:val="0"/>
                <w:i w:val="0"/>
                <w:sz w:val="15"/>
              </w:rPr>
              <w:t>$516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Lake Bonney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25 / 52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$512</w:t>
            </w:r>
          </w:p>
        </w:tc>
        <w:tc>
          <w:tcPr>
            <w:tcW w:type="dxa" w:w="1296"/>
          </w:tcPr>
          <w:p>
            <w:pPr>
              <w:spacing w:after="0" w:before="0"/>
              <w:jc w:val="right"/>
            </w:pPr>
            <w:r/>
            <w:r>
              <w:rPr>
                <w:b w:val="0"/>
                <w:i w:val="0"/>
                <w:sz w:val="15"/>
              </w:rPr>
              <w:t>$606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Greenbacker Staten Island Energy Storage 3 (Androvette St)</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$522</w:t>
            </w:r>
          </w:p>
        </w:tc>
        <w:tc>
          <w:tcPr>
            <w:tcW w:type="dxa" w:w="1296"/>
            <w:shd w:val="clear" w:color="auto" w:fill="F2F4F8"/>
          </w:tcPr>
          <w:p>
            <w:pPr>
              <w:spacing w:after="0" w:before="0"/>
              <w:jc w:val="right"/>
            </w:pPr>
            <w:r/>
            <w:r>
              <w:rPr>
                <w:b w:val="0"/>
                <w:i w:val="0"/>
                <w:sz w:val="15"/>
              </w:rPr>
              <w:t>$540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Elevate Renewables Victory Blvd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15.1 / 60.4</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$524</w:t>
            </w:r>
          </w:p>
        </w:tc>
        <w:tc>
          <w:tcPr>
            <w:tcW w:type="dxa" w:w="1296"/>
          </w:tcPr>
          <w:p>
            <w:pPr>
              <w:spacing w:after="0" w:before="0"/>
              <w:jc w:val="right"/>
            </w:pPr>
            <w:r/>
            <w:r>
              <w:rPr>
                <w:b w:val="0"/>
                <w:i w:val="0"/>
                <w:sz w:val="15"/>
              </w:rPr>
              <w:t>$538</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WindCharger [CANADA]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AB (Canada)</w:t>
            </w:r>
          </w:p>
        </w:tc>
        <w:tc>
          <w:tcPr>
            <w:tcW w:type="dxa" w:w="1152"/>
            <w:shd w:val="clear" w:color="auto" w:fill="F2F4F8"/>
          </w:tcPr>
          <w:p>
            <w:pPr>
              <w:spacing w:after="0" w:before="0"/>
            </w:pPr>
            <w:r/>
            <w:r>
              <w:rPr>
                <w:b w:val="0"/>
                <w:i w:val="0"/>
                <w:sz w:val="15"/>
              </w:rPr>
              <w:t>10 / 20</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$648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Broken Hill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50</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$550</w:t>
            </w:r>
          </w:p>
        </w:tc>
        <w:tc>
          <w:tcPr>
            <w:tcW w:type="dxa" w:w="1296"/>
          </w:tcPr>
          <w:p>
            <w:pPr>
              <w:spacing w:after="0" w:before="0"/>
              <w:jc w:val="right"/>
            </w:pPr>
            <w:r/>
            <w:r>
              <w:rPr>
                <w:b w:val="0"/>
                <w:i w:val="0"/>
                <w:sz w:val="15"/>
              </w:rPr>
              <w:t>$569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Wellesley MLP BESS (Citizens Energy)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$568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Thurcroft BESS [UK]</w:t>
            </w:r>
          </w:p>
        </w:tc>
        <w:tc>
          <w:tcPr>
            <w:tcW w:type="dxa" w:w="1152"/>
          </w:tcPr>
          <w:p>
            <w:pPr>
              <w:spacing w:after="0" w:before="0"/>
            </w:pPr>
            <w:r/>
            <w:r>
              <w:rPr>
                <w:b w:val="0"/>
                <w:i w:val="0"/>
                <w:sz w:val="15"/>
              </w:rPr>
              <w:t>Devel.</w:t>
            </w:r>
          </w:p>
        </w:tc>
        <w:tc>
          <w:tcPr>
            <w:tcW w:type="dxa" w:w="1080"/>
          </w:tcPr>
          <w:p>
            <w:pPr>
              <w:spacing w:after="0" w:before="0"/>
            </w:pPr>
            <w:r/>
            <w:r>
              <w:rPr>
                <w:b w:val="0"/>
                <w:i w:val="0"/>
                <w:sz w:val="15"/>
              </w:rPr>
              <w:t>England (UK)</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$551</w:t>
            </w:r>
          </w:p>
        </w:tc>
        <w:tc>
          <w:tcPr>
            <w:tcW w:type="dxa" w:w="1296"/>
          </w:tcPr>
          <w:p>
            <w:pPr>
              <w:spacing w:after="0" w:before="0"/>
              <w:jc w:val="right"/>
            </w:pPr>
            <w:r/>
            <w:r>
              <w:rPr>
                <w:b w:val="0"/>
                <w:i w:val="0"/>
                <w:sz w:val="15"/>
              </w:rPr>
              <w:t>$649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Wickham Market BESS [UK]</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England (UK)</w:t>
            </w:r>
          </w:p>
        </w:tc>
        <w:tc>
          <w:tcPr>
            <w:tcW w:type="dxa" w:w="1152"/>
            <w:shd w:val="clear" w:color="auto" w:fill="F2F4F8"/>
          </w:tcPr>
          <w:p>
            <w:pPr>
              <w:spacing w:after="0" w:before="0"/>
            </w:pPr>
            <w:r/>
            <w:r>
              <w:rPr>
                <w:b w:val="0"/>
                <w:i w:val="0"/>
                <w:sz w:val="15"/>
              </w:rPr>
              <w:t>50 / 74</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$562</w:t>
            </w:r>
          </w:p>
        </w:tc>
        <w:tc>
          <w:tcPr>
            <w:tcW w:type="dxa" w:w="1296"/>
            <w:shd w:val="clear" w:color="auto" w:fill="F2F4F8"/>
          </w:tcPr>
          <w:p>
            <w:pPr>
              <w:spacing w:after="0" w:before="0"/>
              <w:jc w:val="right"/>
            </w:pPr>
            <w:r/>
            <w:r>
              <w:rPr>
                <w:b w:val="0"/>
                <w:i w:val="0"/>
                <w:sz w:val="15"/>
              </w:rPr>
              <w:t>$662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Virginia battery pilot portfolio (Scott Solar 10+2 MW, New</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VA</w:t>
            </w:r>
          </w:p>
        </w:tc>
        <w:tc>
          <w:tcPr>
            <w:tcW w:type="dxa" w:w="1152"/>
          </w:tcPr>
          <w:p>
            <w:pPr>
              <w:spacing w:after="0" w:before="0"/>
            </w:pPr>
            <w:r/>
            <w:r>
              <w:rPr>
                <w:b w:val="0"/>
                <w:i w:val="0"/>
                <w:sz w:val="15"/>
              </w:rPr>
              <w:t>16 / 56</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$589</w:t>
            </w:r>
          </w:p>
        </w:tc>
        <w:tc>
          <w:tcPr>
            <w:tcW w:type="dxa" w:w="1296"/>
          </w:tcPr>
          <w:p>
            <w:pPr>
              <w:spacing w:after="0" w:before="0"/>
              <w:jc w:val="right"/>
            </w:pPr>
            <w:r/>
            <w:r>
              <w:rPr>
                <w:b w:val="0"/>
                <w:i w:val="0"/>
                <w:sz w:val="15"/>
              </w:rPr>
              <w:t>$656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Pomona (Ladentown)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$617</w:t>
            </w:r>
          </w:p>
        </w:tc>
        <w:tc>
          <w:tcPr>
            <w:tcW w:type="dxa" w:w="1296"/>
            <w:shd w:val="clear" w:color="auto" w:fill="F2F4F8"/>
          </w:tcPr>
          <w:p>
            <w:pPr>
              <w:spacing w:after="0" w:before="0"/>
              <w:jc w:val="right"/>
            </w:pPr>
            <w:r/>
            <w:r>
              <w:rPr>
                <w:b w:val="0"/>
                <w:i w:val="0"/>
                <w:sz w:val="15"/>
              </w:rPr>
              <w:t>$686</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Wallgrove Grid Battery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$619</w:t>
            </w:r>
          </w:p>
        </w:tc>
        <w:tc>
          <w:tcPr>
            <w:tcW w:type="dxa" w:w="1296"/>
          </w:tcPr>
          <w:p>
            <w:pPr>
              <w:spacing w:after="0" w:before="0"/>
              <w:jc w:val="right"/>
            </w:pPr>
            <w:r/>
            <w:r>
              <w:rPr>
                <w:b w:val="0"/>
                <w:i w:val="0"/>
                <w:sz w:val="15"/>
              </w:rPr>
              <w:t>$689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Braintree BELD solar-sited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4.2</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$619</w:t>
            </w:r>
          </w:p>
        </w:tc>
        <w:tc>
          <w:tcPr>
            <w:tcW w:type="dxa" w:w="1296"/>
            <w:shd w:val="clear" w:color="auto" w:fill="F2F4F8"/>
          </w:tcPr>
          <w:p>
            <w:pPr>
              <w:spacing w:after="0" w:before="0"/>
              <w:jc w:val="right"/>
            </w:pPr>
            <w:r/>
            <w:r>
              <w:rPr>
                <w:b w:val="0"/>
                <w:i w:val="0"/>
                <w:sz w:val="15"/>
              </w:rPr>
              <w:t>$733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Whitehorse Grid-Scale BESS [CANADA]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YT (Canada)</w:t>
            </w:r>
          </w:p>
        </w:tc>
        <w:tc>
          <w:tcPr>
            <w:tcW w:type="dxa" w:w="1152"/>
          </w:tcPr>
          <w:p>
            <w:pPr>
              <w:spacing w:after="0" w:before="0"/>
            </w:pPr>
            <w:r/>
            <w:r>
              <w:rPr>
                <w:b w:val="0"/>
                <w:i w:val="0"/>
                <w:sz w:val="15"/>
              </w:rPr>
              <w:t>7 / 40</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$648</w:t>
            </w:r>
          </w:p>
        </w:tc>
        <w:tc>
          <w:tcPr>
            <w:tcW w:type="dxa" w:w="1296"/>
          </w:tcPr>
          <w:p>
            <w:pPr>
              <w:spacing w:after="0" w:before="0"/>
              <w:jc w:val="right"/>
            </w:pPr>
            <w:r/>
            <w:r>
              <w:rPr>
                <w:b w:val="0"/>
                <w:i w:val="0"/>
                <w:sz w:val="15"/>
              </w:rPr>
              <w:t>$670</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Sterling MLD Chocksett Road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3.9</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$692</w:t>
            </w:r>
          </w:p>
        </w:tc>
        <w:tc>
          <w:tcPr>
            <w:tcW w:type="dxa" w:w="1296"/>
            <w:shd w:val="clear" w:color="auto" w:fill="F2F4F8"/>
          </w:tcPr>
          <w:p>
            <w:pPr>
              <w:spacing w:after="0" w:before="0"/>
              <w:jc w:val="right"/>
            </w:pPr>
            <w:r/>
            <w:r>
              <w:rPr>
                <w:b w:val="0"/>
                <w:i w:val="0"/>
                <w:sz w:val="15"/>
              </w:rPr>
              <w:t>$732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Gildersleeve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$694</w:t>
            </w:r>
          </w:p>
        </w:tc>
        <w:tc>
          <w:tcPr>
            <w:tcW w:type="dxa" w:w="1296"/>
          </w:tcPr>
          <w:p>
            <w:pPr>
              <w:spacing w:after="0" w:before="0"/>
              <w:jc w:val="right"/>
            </w:pPr>
            <w:r/>
            <w:r>
              <w:rPr>
                <w:b w:val="0"/>
                <w:i w:val="0"/>
                <w:sz w:val="15"/>
              </w:rPr>
              <w:t>$712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Concord MLP grid-scale battery (planned)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14.97</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$695</w:t>
            </w:r>
          </w:p>
        </w:tc>
        <w:tc>
          <w:tcPr>
            <w:tcW w:type="dxa" w:w="1296"/>
            <w:shd w:val="clear" w:color="auto" w:fill="F2F4F8"/>
          </w:tcPr>
          <w:p>
            <w:pPr>
              <w:spacing w:after="0" w:before="0"/>
              <w:jc w:val="right"/>
            </w:pPr>
            <w:r/>
            <w:r>
              <w:rPr>
                <w:b w:val="0"/>
                <w:i w:val="0"/>
                <w:sz w:val="15"/>
              </w:rPr>
              <w:t>$695</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Ashburnham MLP substation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3 / 5</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$700</w:t>
            </w:r>
          </w:p>
        </w:tc>
        <w:tc>
          <w:tcPr>
            <w:tcW w:type="dxa" w:w="1296"/>
          </w:tcPr>
          <w:p>
            <w:pPr>
              <w:spacing w:after="0" w:before="0"/>
              <w:jc w:val="right"/>
            </w:pPr>
            <w:r/>
            <w:r>
              <w:rPr>
                <w:b w:val="0"/>
                <w:i w:val="0"/>
                <w:sz w:val="15"/>
              </w:rPr>
              <w:t>$829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Agilitas AE-ESS NWS 1 (Long Island City)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20.6</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$728</w:t>
            </w:r>
          </w:p>
        </w:tc>
        <w:tc>
          <w:tcPr>
            <w:tcW w:type="dxa" w:w="1296"/>
            <w:shd w:val="clear" w:color="auto" w:fill="F2F4F8"/>
          </w:tcPr>
          <w:p>
            <w:pPr>
              <w:spacing w:after="0" w:before="0"/>
              <w:jc w:val="right"/>
            </w:pPr>
            <w:r/>
            <w:r>
              <w:rPr>
                <w:b w:val="0"/>
                <w:i w:val="0"/>
                <w:sz w:val="15"/>
              </w:rPr>
              <w:t>$811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Panton battery (Green Mountain Power)</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1 / 4</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$750</w:t>
            </w:r>
          </w:p>
        </w:tc>
        <w:tc>
          <w:tcPr>
            <w:tcW w:type="dxa" w:w="1296"/>
          </w:tcPr>
          <w:p>
            <w:pPr>
              <w:spacing w:after="0" w:before="0"/>
              <w:jc w:val="right"/>
            </w:pPr>
            <w:r/>
            <w:r>
              <w:rPr>
                <w:b w:val="0"/>
                <w:i w:val="0"/>
                <w:sz w:val="15"/>
              </w:rPr>
              <w:t>$892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Martha's Vineyard BESS Phase 1 (cancelled)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 / 20</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$750</w:t>
            </w:r>
          </w:p>
        </w:tc>
        <w:tc>
          <w:tcPr>
            <w:tcW w:type="dxa" w:w="1296"/>
            <w:shd w:val="clear" w:color="auto" w:fill="F2F4F8"/>
          </w:tcPr>
          <w:p>
            <w:pPr>
              <w:spacing w:after="0" w:before="0"/>
              <w:jc w:val="right"/>
            </w:pPr>
            <w:r/>
            <w:r>
              <w:rPr>
                <w:b w:val="0"/>
                <w:i w:val="0"/>
                <w:sz w:val="15"/>
              </w:rPr>
              <w:t>$889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Gun Hill Rd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$763</w:t>
            </w:r>
          </w:p>
        </w:tc>
        <w:tc>
          <w:tcPr>
            <w:tcW w:type="dxa" w:w="1296"/>
          </w:tcPr>
          <w:p>
            <w:pPr>
              <w:spacing w:after="0" w:before="0"/>
              <w:jc w:val="right"/>
            </w:pPr>
            <w:r/>
            <w:r>
              <w:rPr>
                <w:b w:val="0"/>
                <w:i w:val="0"/>
                <w:sz w:val="15"/>
              </w:rPr>
              <w:t>$783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Hornsdale Power Reserve expansion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SA (Australi</w:t>
            </w:r>
          </w:p>
        </w:tc>
        <w:tc>
          <w:tcPr>
            <w:tcW w:type="dxa" w:w="1152"/>
            <w:shd w:val="clear" w:color="auto" w:fill="F2F4F8"/>
          </w:tcPr>
          <w:p>
            <w:pPr>
              <w:spacing w:after="0" w:before="0"/>
            </w:pPr>
            <w:r/>
            <w:r>
              <w:rPr>
                <w:b w:val="0"/>
                <w:i w:val="0"/>
                <w:sz w:val="15"/>
              </w:rPr>
              <w:t>50 / 64.5</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$771</w:t>
            </w:r>
          </w:p>
        </w:tc>
        <w:tc>
          <w:tcPr>
            <w:tcW w:type="dxa" w:w="1296"/>
            <w:shd w:val="clear" w:color="auto" w:fill="F2F4F8"/>
          </w:tcPr>
          <w:p>
            <w:pPr>
              <w:spacing w:after="0" w:before="0"/>
              <w:jc w:val="right"/>
            </w:pPr>
            <w:r/>
            <w:r>
              <w:rPr>
                <w:b w:val="0"/>
                <w:i w:val="0"/>
                <w:sz w:val="15"/>
              </w:rPr>
              <w:t>$908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Soltage Brigis 1A BESS (Maspeth, Queens)</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$805</w:t>
            </w:r>
          </w:p>
        </w:tc>
        <w:tc>
          <w:tcPr>
            <w:tcW w:type="dxa" w:w="1296"/>
          </w:tcPr>
          <w:p>
            <w:pPr>
              <w:spacing w:after="0" w:before="0"/>
              <w:jc w:val="right"/>
            </w:pPr>
            <w:r/>
            <w:r>
              <w:rPr>
                <w:b w:val="0"/>
                <w:i w:val="0"/>
                <w:sz w:val="15"/>
              </w:rPr>
              <w:t>$826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Chugach BESS (Southcentral Power Project site)</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40 / 80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$812</w:t>
            </w:r>
          </w:p>
        </w:tc>
        <w:tc>
          <w:tcPr>
            <w:tcW w:type="dxa" w:w="1296"/>
            <w:shd w:val="clear" w:color="auto" w:fill="F2F4F8"/>
          </w:tcPr>
          <w:p>
            <w:pPr>
              <w:spacing w:after="0" w:before="0"/>
              <w:jc w:val="right"/>
            </w:pPr>
            <w:r/>
            <w:r>
              <w:rPr>
                <w:b w:val="0"/>
                <w:i w:val="0"/>
                <w:sz w:val="15"/>
              </w:rPr>
              <w:t>$838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NineDot Blue Aster BESS (Hinsdale St Brooklyn)</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14.7 / 58.8</w:t>
            </w:r>
          </w:p>
        </w:tc>
        <w:tc>
          <w:tcPr>
            <w:tcW w:type="dxa" w:w="648"/>
          </w:tcPr>
          <w:p>
            <w:pPr>
              <w:spacing w:after="0" w:before="0"/>
            </w:pPr>
            <w:r/>
            <w:r>
              <w:rPr>
                <w:b w:val="0"/>
                <w:i w:val="0"/>
                <w:sz w:val="15"/>
              </w:rPr>
              <w:t>2026</w:t>
            </w:r>
          </w:p>
        </w:tc>
        <w:tc>
          <w:tcPr>
            <w:tcW w:type="dxa" w:w="1080"/>
          </w:tcPr>
          <w:p>
            <w:pPr>
              <w:spacing w:after="0" w:before="0"/>
              <w:jc w:val="right"/>
            </w:pPr>
            <w:r/>
            <w:r>
              <w:rPr>
                <w:b w:val="0"/>
                <w:i w:val="0"/>
                <w:sz w:val="15"/>
              </w:rPr>
              <w:t>$830</w:t>
            </w:r>
          </w:p>
        </w:tc>
        <w:tc>
          <w:tcPr>
            <w:tcW w:type="dxa" w:w="1296"/>
          </w:tcPr>
          <w:p>
            <w:pPr>
              <w:spacing w:after="0" w:before="0"/>
              <w:jc w:val="right"/>
            </w:pPr>
            <w:r/>
            <w:r>
              <w:rPr>
                <w:b w:val="0"/>
                <w:i w:val="0"/>
                <w:sz w:val="15"/>
              </w:rPr>
              <w:t>$830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NineDot Eastern Towhee A/B (Centre St Brooklyn)</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9.8 / 39.2</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$832</w:t>
            </w:r>
          </w:p>
        </w:tc>
        <w:tc>
          <w:tcPr>
            <w:tcW w:type="dxa" w:w="1296"/>
            <w:shd w:val="clear" w:color="auto" w:fill="F2F4F8"/>
          </w:tcPr>
          <w:p>
            <w:pPr>
              <w:spacing w:after="0" w:before="0"/>
              <w:jc w:val="right"/>
            </w:pPr>
            <w:r/>
            <w:r>
              <w:rPr>
                <w:b w:val="0"/>
                <w:i w:val="0"/>
                <w:sz w:val="15"/>
              </w:rPr>
              <w:t>$832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Blondell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10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$857</w:t>
            </w:r>
          </w:p>
        </w:tc>
        <w:tc>
          <w:tcPr>
            <w:tcW w:type="dxa" w:w="1296"/>
          </w:tcPr>
          <w:p>
            <w:pPr>
              <w:spacing w:after="0" w:before="0"/>
              <w:jc w:val="right"/>
            </w:pPr>
            <w:r/>
            <w:r>
              <w:rPr>
                <w:b w:val="0"/>
                <w:i w:val="0"/>
                <w:sz w:val="15"/>
              </w:rPr>
              <w:t>$884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Convergent 720 E 144th St Energy Storage 1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$890</w:t>
            </w:r>
          </w:p>
        </w:tc>
        <w:tc>
          <w:tcPr>
            <w:tcW w:type="dxa" w:w="1296"/>
            <w:shd w:val="clear" w:color="auto" w:fill="F2F4F8"/>
          </w:tcPr>
          <w:p>
            <w:pPr>
              <w:spacing w:after="0" w:before="0"/>
              <w:jc w:val="right"/>
            </w:pPr>
            <w:r/>
            <w:r>
              <w:rPr>
                <w:b w:val="0"/>
                <w:i w:val="0"/>
                <w:sz w:val="15"/>
              </w:rPr>
              <w:t>$890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NineDot Devoe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9.8 / 39.2</w:t>
            </w:r>
          </w:p>
        </w:tc>
        <w:tc>
          <w:tcPr>
            <w:tcW w:type="dxa" w:w="648"/>
          </w:tcPr>
          <w:p>
            <w:pPr>
              <w:spacing w:after="0" w:before="0"/>
            </w:pPr>
            <w:r/>
            <w:r>
              <w:rPr>
                <w:b w:val="0"/>
                <w:i w:val="0"/>
                <w:sz w:val="15"/>
              </w:rPr>
              <w:t>2026</w:t>
            </w:r>
          </w:p>
        </w:tc>
        <w:tc>
          <w:tcPr>
            <w:tcW w:type="dxa" w:w="1080"/>
          </w:tcPr>
          <w:p>
            <w:pPr>
              <w:spacing w:after="0" w:before="0"/>
              <w:jc w:val="right"/>
            </w:pPr>
            <w:r/>
            <w:r>
              <w:rPr>
                <w:b w:val="0"/>
                <w:i w:val="0"/>
                <w:sz w:val="15"/>
              </w:rPr>
              <w:t>$892</w:t>
            </w:r>
          </w:p>
        </w:tc>
        <w:tc>
          <w:tcPr>
            <w:tcW w:type="dxa" w:w="1296"/>
          </w:tcPr>
          <w:p>
            <w:pPr>
              <w:spacing w:after="0" w:before="0"/>
              <w:jc w:val="right"/>
            </w:pPr>
            <w:r/>
            <w:r>
              <w:rPr>
                <w:b w:val="0"/>
                <w:i w:val="0"/>
                <w:sz w:val="15"/>
              </w:rPr>
              <w:t>$892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Convergent East Bay Ave Energy Storage 1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$976</w:t>
            </w:r>
          </w:p>
        </w:tc>
        <w:tc>
          <w:tcPr>
            <w:tcW w:type="dxa" w:w="1296"/>
            <w:shd w:val="clear" w:color="auto" w:fill="F2F4F8"/>
          </w:tcPr>
          <w:p>
            <w:pPr>
              <w:spacing w:after="0" w:before="0"/>
              <w:jc w:val="right"/>
            </w:pPr>
            <w:r/>
            <w:r>
              <w:rPr>
                <w:b w:val="0"/>
                <w:i w:val="0"/>
                <w:sz w:val="15"/>
              </w:rPr>
              <w:t>$976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Westmoreland Clean Innovation Project BESS (withdrawn)</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NH</w:t>
            </w:r>
          </w:p>
        </w:tc>
        <w:tc>
          <w:tcPr>
            <w:tcW w:type="dxa" w:w="1152"/>
          </w:tcPr>
          <w:p>
            <w:pPr>
              <w:spacing w:after="0" w:before="0"/>
            </w:pPr>
            <w:r/>
            <w:r>
              <w:rPr>
                <w:b w:val="0"/>
                <w:i w:val="0"/>
                <w:sz w:val="15"/>
              </w:rPr>
              <w:t>1.7 / 7.1</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$986</w:t>
            </w:r>
          </w:p>
        </w:tc>
        <w:tc>
          <w:tcPr>
            <w:tcW w:type="dxa" w:w="1296"/>
          </w:tcPr>
          <w:p>
            <w:pPr>
              <w:spacing w:after="0" w:before="0"/>
              <w:jc w:val="right"/>
            </w:pPr>
            <w:r/>
            <w:r>
              <w:rPr>
                <w:b w:val="0"/>
                <w:i w:val="0"/>
                <w:sz w:val="15"/>
              </w:rPr>
              <w:t>$1,162</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NineDot Wintergreen / Hunts Point BESS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19.6 / 78.3</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$999</w:t>
            </w:r>
          </w:p>
        </w:tc>
        <w:tc>
          <w:tcPr>
            <w:tcW w:type="dxa" w:w="1296"/>
            <w:shd w:val="clear" w:color="auto" w:fill="F2F4F8"/>
          </w:tcPr>
          <w:p>
            <w:pPr>
              <w:spacing w:after="0" w:before="0"/>
              <w:jc w:val="right"/>
            </w:pPr>
            <w:r/>
            <w:r>
              <w:rPr>
                <w:b w:val="0"/>
                <w:i w:val="0"/>
                <w:sz w:val="15"/>
              </w:rPr>
              <w:t>$999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Kingsbery Community Solar + Storage</w:t>
            </w:r>
          </w:p>
        </w:tc>
        <w:tc>
          <w:tcPr>
            <w:tcW w:type="dxa" w:w="1152"/>
          </w:tcPr>
          <w:p>
            <w:pPr>
              <w:spacing w:after="0" w:before="0"/>
            </w:pPr>
            <w:r/>
            <w:r>
              <w:rPr>
                <w:b w:val="0"/>
                <w:i w:val="0"/>
                <w:sz w:val="15"/>
              </w:rPr>
              <w:t>Utility</w:t>
            </w:r>
          </w:p>
        </w:tc>
        <w:tc>
          <w:tcPr>
            <w:tcW w:type="dxa" w:w="1080"/>
          </w:tcPr>
          <w:p>
            <w:pPr>
              <w:spacing w:after="0" w:before="0"/>
            </w:pPr>
            <w:r/>
            <w:r>
              <w:rPr>
                <w:b w:val="0"/>
                <w:i w:val="0"/>
                <w:sz w:val="15"/>
              </w:rPr>
              <w:t>TX</w:t>
            </w:r>
          </w:p>
        </w:tc>
        <w:tc>
          <w:tcPr>
            <w:tcW w:type="dxa" w:w="1152"/>
          </w:tcPr>
          <w:p>
            <w:pPr>
              <w:spacing w:after="0" w:before="0"/>
            </w:pPr>
            <w:r/>
            <w:r>
              <w:rPr>
                <w:b w:val="0"/>
                <w:i w:val="0"/>
                <w:sz w:val="15"/>
              </w:rPr>
              <w:t>1.5 / 3</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$1,000</w:t>
            </w:r>
          </w:p>
        </w:tc>
        <w:tc>
          <w:tcPr>
            <w:tcW w:type="dxa" w:w="1296"/>
          </w:tcPr>
          <w:p>
            <w:pPr>
              <w:spacing w:after="0" w:before="0"/>
              <w:jc w:val="right"/>
            </w:pPr>
            <w:r/>
            <w:r>
              <w:rPr>
                <w:b w:val="0"/>
                <w:i w:val="0"/>
                <w:sz w:val="15"/>
              </w:rPr>
              <w:t>$1,057</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Soltage Brigis 2 / Maspeth ESS (Queens)</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80</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$1,009</w:t>
            </w:r>
          </w:p>
        </w:tc>
        <w:tc>
          <w:tcPr>
            <w:tcW w:type="dxa" w:w="1296"/>
            <w:shd w:val="clear" w:color="auto" w:fill="F2F4F8"/>
          </w:tcPr>
          <w:p>
            <w:pPr>
              <w:spacing w:after="0" w:before="0"/>
              <w:jc w:val="right"/>
            </w:pPr>
            <w:r/>
            <w:r>
              <w:rPr>
                <w:b w:val="0"/>
                <w:i w:val="0"/>
                <w:sz w:val="15"/>
              </w:rPr>
              <w:t>$1,009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NineDot Arthur Kill Road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9.8 / 39.1</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$1,110</w:t>
            </w:r>
          </w:p>
        </w:tc>
        <w:tc>
          <w:tcPr>
            <w:tcW w:type="dxa" w:w="1296"/>
          </w:tcPr>
          <w:p>
            <w:pPr>
              <w:spacing w:after="0" w:before="0"/>
              <w:jc w:val="right"/>
            </w:pPr>
            <w:r/>
            <w:r>
              <w:rPr>
                <w:b w:val="0"/>
                <w:i w:val="0"/>
                <w:sz w:val="15"/>
              </w:rPr>
              <w:t>$1,138</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Stafford Hill Solar + Storage (Rutland)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4 / 3.4</w:t>
            </w:r>
          </w:p>
        </w:tc>
        <w:tc>
          <w:tcPr>
            <w:tcW w:type="dxa" w:w="648"/>
            <w:shd w:val="clear" w:color="auto" w:fill="F2F4F8"/>
          </w:tcPr>
          <w:p>
            <w:pPr>
              <w:spacing w:after="0" w:before="0"/>
            </w:pPr>
            <w:r/>
            <w:r>
              <w:rPr>
                <w:b w:val="0"/>
                <w:i w:val="0"/>
                <w:sz w:val="15"/>
              </w:rPr>
              <w:t>2015</w:t>
            </w:r>
          </w:p>
        </w:tc>
        <w:tc>
          <w:tcPr>
            <w:tcW w:type="dxa" w:w="1080"/>
            <w:shd w:val="clear" w:color="auto" w:fill="F2F4F8"/>
          </w:tcPr>
          <w:p>
            <w:pPr>
              <w:spacing w:after="0" w:before="0"/>
              <w:jc w:val="right"/>
            </w:pPr>
            <w:r/>
            <w:r>
              <w:rPr>
                <w:b w:val="0"/>
                <w:i w:val="0"/>
                <w:sz w:val="15"/>
              </w:rPr>
              <w:t>$1,235</w:t>
            </w:r>
          </w:p>
        </w:tc>
        <w:tc>
          <w:tcPr>
            <w:tcW w:type="dxa" w:w="1296"/>
            <w:shd w:val="clear" w:color="auto" w:fill="F2F4F8"/>
          </w:tcPr>
          <w:p>
            <w:pPr>
              <w:spacing w:after="0" w:before="0"/>
              <w:jc w:val="right"/>
            </w:pPr>
            <w:r/>
            <w:r>
              <w:rPr>
                <w:b w:val="0"/>
                <w:i w:val="0"/>
                <w:sz w:val="15"/>
              </w:rPr>
              <w:t>$1,283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Ozone Park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NY</w:t>
            </w:r>
          </w:p>
        </w:tc>
        <w:tc>
          <w:tcPr>
            <w:tcW w:type="dxa" w:w="1152"/>
          </w:tcPr>
          <w:p>
            <w:pPr>
              <w:spacing w:after="0" w:before="0"/>
            </w:pPr>
            <w:r/>
            <w:r>
              <w:rPr>
                <w:b w:val="0"/>
                <w:i w:val="0"/>
                <w:sz w:val="15"/>
              </w:rPr>
              <w:t>1.5 / 12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$1,250</w:t>
            </w:r>
          </w:p>
        </w:tc>
        <w:tc>
          <w:tcPr>
            <w:tcW w:type="dxa" w:w="1296"/>
          </w:tcPr>
          <w:p>
            <w:pPr>
              <w:spacing w:after="0" w:before="0"/>
              <w:jc w:val="right"/>
            </w:pPr>
            <w:r/>
            <w:r>
              <w:rPr>
                <w:b w:val="0"/>
                <w:i w:val="0"/>
                <w:sz w:val="15"/>
              </w:rPr>
              <w:t>$1,481</w:t>
            </w:r>
          </w:p>
        </w:tc>
        <w:tc>
          <w:tcPr>
            <w:tcW w:type="dxa" w:w="1008"/>
          </w:tcPr>
          <w:p>
            <w:pPr>
              <w:spacing w:after="0" w:before="0"/>
            </w:pPr>
            <w:r/>
            <w:r>
              <w:rPr>
                <w:b w:val="0"/>
                <w:i w:val="0"/>
                <w:sz w:val="15"/>
              </w:rPr>
              <w:t>Low</w:t>
            </w:r>
          </w:p>
        </w:tc>
      </w:tr>
      <w:tr>
        <w:tc>
          <w:tcPr>
            <w:tcW w:type="dxa" w:w="2952"/>
            <w:shd w:val="clear" w:color="auto" w:fill="F2F4F8"/>
          </w:tcPr>
          <w:p>
            <w:pPr>
              <w:spacing w:after="0" w:before="0"/>
            </w:pPr>
            <w:r/>
            <w:r>
              <w:rPr>
                <w:b w:val="0"/>
                <w:i w:val="0"/>
                <w:sz w:val="15"/>
              </w:rPr>
              <w:t>Harding Street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IN</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$1,250</w:t>
            </w:r>
          </w:p>
        </w:tc>
        <w:tc>
          <w:tcPr>
            <w:tcW w:type="dxa" w:w="1296"/>
            <w:shd w:val="clear" w:color="auto" w:fill="F2F4F8"/>
          </w:tcPr>
          <w:p>
            <w:pPr>
              <w:spacing w:after="0" w:before="0"/>
              <w:jc w:val="right"/>
            </w:pPr>
            <w:r/>
            <w:r>
              <w:rPr>
                <w:b w:val="0"/>
                <w:i w:val="0"/>
                <w:sz w:val="15"/>
              </w:rPr>
              <w:t>$1,321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Regina BESS [CANADA]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SK (Canada)</w:t>
            </w:r>
          </w:p>
        </w:tc>
        <w:tc>
          <w:tcPr>
            <w:tcW w:type="dxa" w:w="1152"/>
          </w:tcPr>
          <w:p>
            <w:pPr>
              <w:spacing w:after="0" w:before="0"/>
            </w:pPr>
            <w:r/>
            <w:r>
              <w:rPr>
                <w:b w:val="0"/>
                <w:i w:val="0"/>
                <w:sz w:val="15"/>
              </w:rPr>
              <w:t>20 / 20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$1,260</w:t>
            </w:r>
          </w:p>
        </w:tc>
        <w:tc>
          <w:tcPr>
            <w:tcW w:type="dxa" w:w="1296"/>
          </w:tcPr>
          <w:p>
            <w:pPr>
              <w:spacing w:after="0" w:before="0"/>
              <w:jc w:val="right"/>
            </w:pPr>
            <w:r/>
            <w:r>
              <w:rPr>
                <w:b w:val="0"/>
                <w:i w:val="0"/>
                <w:sz w:val="15"/>
              </w:rPr>
              <w:t>$1,300</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Outer Cape (Provincetown)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25 / 38</w:t>
            </w:r>
          </w:p>
        </w:tc>
        <w:tc>
          <w:tcPr>
            <w:tcW w:type="dxa" w:w="648"/>
            <w:shd w:val="clear" w:color="auto" w:fill="F2F4F8"/>
          </w:tcPr>
          <w:p>
            <w:pPr>
              <w:spacing w:after="0" w:before="0"/>
            </w:pPr>
            <w:r/>
            <w:r>
              <w:rPr>
                <w:b w:val="0"/>
                <w:i w:val="0"/>
                <w:sz w:val="15"/>
              </w:rPr>
              <w:t>2022</w:t>
            </w:r>
          </w:p>
        </w:tc>
        <w:tc>
          <w:tcPr>
            <w:tcW w:type="dxa" w:w="1080"/>
            <w:shd w:val="clear" w:color="auto" w:fill="F2F4F8"/>
          </w:tcPr>
          <w:p>
            <w:pPr>
              <w:spacing w:after="0" w:before="0"/>
              <w:jc w:val="right"/>
            </w:pPr>
            <w:r/>
            <w:r>
              <w:rPr>
                <w:b w:val="0"/>
                <w:i w:val="0"/>
                <w:sz w:val="15"/>
              </w:rPr>
              <w:t>$1,289</w:t>
            </w:r>
          </w:p>
        </w:tc>
        <w:tc>
          <w:tcPr>
            <w:tcW w:type="dxa" w:w="1296"/>
            <w:shd w:val="clear" w:color="auto" w:fill="F2F4F8"/>
          </w:tcPr>
          <w:p>
            <w:pPr>
              <w:spacing w:after="0" w:before="0"/>
              <w:jc w:val="right"/>
            </w:pPr>
            <w:r/>
            <w:r>
              <w:rPr>
                <w:b w:val="0"/>
                <w:i w:val="0"/>
                <w:sz w:val="15"/>
              </w:rPr>
              <w:t>$1,363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VEC Hinesburg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1 / 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$1,400</w:t>
            </w:r>
          </w:p>
        </w:tc>
        <w:tc>
          <w:tcPr>
            <w:tcW w:type="dxa" w:w="1296"/>
          </w:tcPr>
          <w:p>
            <w:pPr>
              <w:spacing w:after="0" w:before="0"/>
              <w:jc w:val="right"/>
            </w:pPr>
            <w:r/>
            <w:r>
              <w:rPr>
                <w:b w:val="0"/>
                <w:i w:val="0"/>
                <w:sz w:val="15"/>
              </w:rPr>
              <w:t>$1,448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Northern New York (Chateaugay)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$1,490</w:t>
            </w:r>
          </w:p>
        </w:tc>
        <w:tc>
          <w:tcPr>
            <w:tcW w:type="dxa" w:w="1296"/>
            <w:shd w:val="clear" w:color="auto" w:fill="F2F4F8"/>
          </w:tcPr>
          <w:p>
            <w:pPr>
              <w:spacing w:after="0" w:before="0"/>
              <w:jc w:val="right"/>
            </w:pPr>
            <w:r/>
            <w:r>
              <w:rPr>
                <w:b w:val="0"/>
                <w:i w:val="0"/>
                <w:sz w:val="15"/>
              </w:rPr>
              <w:t>$1,541</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Fairhaven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MD</w:t>
            </w:r>
          </w:p>
        </w:tc>
        <w:tc>
          <w:tcPr>
            <w:tcW w:type="dxa" w:w="1152"/>
          </w:tcPr>
          <w:p>
            <w:pPr>
              <w:spacing w:after="0" w:before="0"/>
            </w:pPr>
            <w:r/>
            <w:r>
              <w:rPr>
                <w:b w:val="0"/>
                <w:i w:val="0"/>
                <w:sz w:val="15"/>
              </w:rPr>
              <w:t>2.5 / 9.74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$1,659</w:t>
            </w:r>
          </w:p>
        </w:tc>
        <w:tc>
          <w:tcPr>
            <w:tcW w:type="dxa" w:w="1296"/>
          </w:tcPr>
          <w:p>
            <w:pPr>
              <w:spacing w:after="0" w:before="0"/>
              <w:jc w:val="right"/>
            </w:pPr>
            <w:r/>
            <w:r>
              <w:rPr>
                <w:b w:val="0"/>
                <w:i w:val="0"/>
                <w:sz w:val="15"/>
              </w:rPr>
              <w:t>$1,716</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Asheville Rock Hill substation BESS (Duke Energy Progress)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NC</w:t>
            </w:r>
          </w:p>
        </w:tc>
        <w:tc>
          <w:tcPr>
            <w:tcW w:type="dxa" w:w="1152"/>
            <w:shd w:val="clear" w:color="auto" w:fill="F2F4F8"/>
          </w:tcPr>
          <w:p>
            <w:pPr>
              <w:spacing w:after="0" w:before="0"/>
            </w:pPr>
            <w:r/>
            <w:r>
              <w:rPr>
                <w:b w:val="0"/>
                <w:i w:val="0"/>
                <w:sz w:val="15"/>
              </w:rPr>
              <w:t>9 / 9</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$1,667</w:t>
            </w:r>
          </w:p>
        </w:tc>
        <w:tc>
          <w:tcPr>
            <w:tcW w:type="dxa" w:w="1296"/>
            <w:shd w:val="clear" w:color="auto" w:fill="F2F4F8"/>
          </w:tcPr>
          <w:p>
            <w:pPr>
              <w:spacing w:after="0" w:before="0"/>
              <w:jc w:val="right"/>
            </w:pPr>
            <w:r/>
            <w:r>
              <w:rPr>
                <w:b w:val="0"/>
                <w:i w:val="0"/>
                <w:sz w:val="15"/>
              </w:rPr>
              <w:t>$1,964</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 Centro BESS (IID)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CA</w:t>
            </w:r>
          </w:p>
        </w:tc>
        <w:tc>
          <w:tcPr>
            <w:tcW w:type="dxa" w:w="1152"/>
          </w:tcPr>
          <w:p>
            <w:pPr>
              <w:spacing w:after="0" w:before="0"/>
            </w:pPr>
            <w:r/>
            <w:r>
              <w:rPr>
                <w:b w:val="0"/>
                <w:i w:val="0"/>
                <w:sz w:val="15"/>
              </w:rPr>
              <w:t>30 / 20</w:t>
            </w:r>
          </w:p>
        </w:tc>
        <w:tc>
          <w:tcPr>
            <w:tcW w:type="dxa" w:w="648"/>
          </w:tcPr>
          <w:p>
            <w:pPr>
              <w:spacing w:after="0" w:before="0"/>
            </w:pPr>
            <w:r/>
            <w:r>
              <w:rPr>
                <w:b w:val="0"/>
                <w:i w:val="0"/>
                <w:sz w:val="15"/>
              </w:rPr>
              <w:t>2017</w:t>
            </w:r>
          </w:p>
        </w:tc>
        <w:tc>
          <w:tcPr>
            <w:tcW w:type="dxa" w:w="1080"/>
          </w:tcPr>
          <w:p>
            <w:pPr>
              <w:spacing w:after="0" w:before="0"/>
              <w:jc w:val="right"/>
            </w:pPr>
            <w:r/>
            <w:r>
              <w:rPr>
                <w:b w:val="0"/>
                <w:i w:val="0"/>
                <w:sz w:val="15"/>
              </w:rPr>
              <w:t>$1,900</w:t>
            </w:r>
          </w:p>
        </w:tc>
        <w:tc>
          <w:tcPr>
            <w:tcW w:type="dxa" w:w="1296"/>
          </w:tcPr>
          <w:p>
            <w:pPr>
              <w:spacing w:after="0" w:before="0"/>
              <w:jc w:val="right"/>
            </w:pPr>
            <w:r/>
            <w:r>
              <w:rPr>
                <w:b w:val="0"/>
                <w:i w:val="0"/>
                <w:sz w:val="15"/>
              </w:rPr>
              <w:t>$2,200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LADWP Beacon Energy Storage System</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CA</w:t>
            </w:r>
          </w:p>
        </w:tc>
        <w:tc>
          <w:tcPr>
            <w:tcW w:type="dxa" w:w="1152"/>
            <w:shd w:val="clear" w:color="auto" w:fill="F2F4F8"/>
          </w:tcPr>
          <w:p>
            <w:pPr>
              <w:spacing w:after="0" w:before="0"/>
            </w:pPr>
            <w:r/>
            <w:r>
              <w:rPr>
                <w:b w:val="0"/>
                <w:i w:val="0"/>
                <w:sz w:val="15"/>
              </w:rPr>
              <w:t>20 / 10</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$1,920</w:t>
            </w:r>
          </w:p>
        </w:tc>
        <w:tc>
          <w:tcPr>
            <w:tcW w:type="dxa" w:w="1296"/>
            <w:shd w:val="clear" w:color="auto" w:fill="F2F4F8"/>
          </w:tcPr>
          <w:p>
            <w:pPr>
              <w:spacing w:after="0" w:before="0"/>
              <w:jc w:val="right"/>
            </w:pPr>
            <w:r/>
            <w:r>
              <w:rPr>
                <w:b w:val="0"/>
                <w:i w:val="0"/>
                <w:sz w:val="15"/>
              </w:rPr>
              <w:t>$2,282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Power Creek BESS (Cordova)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1 / 0.92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$2,174</w:t>
            </w:r>
          </w:p>
        </w:tc>
        <w:tc>
          <w:tcPr>
            <w:tcW w:type="dxa" w:w="1296"/>
          </w:tcPr>
          <w:p>
            <w:pPr>
              <w:spacing w:after="0" w:before="0"/>
              <w:jc w:val="right"/>
            </w:pPr>
            <w:r/>
            <w:r>
              <w:rPr>
                <w:b w:val="0"/>
                <w:i w:val="0"/>
                <w:sz w:val="15"/>
              </w:rPr>
              <w:t>$2,575</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Glacier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WA</w:t>
            </w:r>
          </w:p>
        </w:tc>
        <w:tc>
          <w:tcPr>
            <w:tcW w:type="dxa" w:w="1152"/>
            <w:shd w:val="clear" w:color="auto" w:fill="F2F4F8"/>
          </w:tcPr>
          <w:p>
            <w:pPr>
              <w:spacing w:after="0" w:before="0"/>
            </w:pPr>
            <w:r/>
            <w:r>
              <w:rPr>
                <w:b w:val="0"/>
                <w:i w:val="0"/>
                <w:sz w:val="15"/>
              </w:rPr>
              <w:t>2 / 4.4</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$2,545</w:t>
            </w:r>
          </w:p>
        </w:tc>
        <w:tc>
          <w:tcPr>
            <w:tcW w:type="dxa" w:w="1296"/>
            <w:shd w:val="clear" w:color="auto" w:fill="F2F4F8"/>
          </w:tcPr>
          <w:p>
            <w:pPr>
              <w:spacing w:after="0" w:before="0"/>
              <w:jc w:val="right"/>
            </w:pPr>
            <w:r/>
            <w:r>
              <w:rPr>
                <w:b w:val="0"/>
                <w:i w:val="0"/>
                <w:sz w:val="15"/>
              </w:rPr>
              <w:t>$2,691</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Dalrymple ESCRI BESS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30 / 8</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$2,775</w:t>
            </w:r>
          </w:p>
        </w:tc>
        <w:tc>
          <w:tcPr>
            <w:tcW w:type="dxa" w:w="1296"/>
          </w:tcPr>
          <w:p>
            <w:pPr>
              <w:spacing w:after="0" w:before="0"/>
              <w:jc w:val="right"/>
            </w:pPr>
            <w:r/>
            <w:r>
              <w:rPr>
                <w:b w:val="0"/>
                <w:i w:val="0"/>
                <w:sz w:val="15"/>
              </w:rPr>
              <w:t>$3,299</w:t>
            </w:r>
          </w:p>
        </w:tc>
        <w:tc>
          <w:tcPr>
            <w:tcW w:type="dxa" w:w="1008"/>
          </w:tcPr>
          <w:p>
            <w:pPr>
              <w:spacing w:after="0" w:before="0"/>
            </w:pPr>
            <w:r/>
            <w:r>
              <w:rPr>
                <w:b w:val="0"/>
                <w:i w:val="0"/>
                <w:sz w:val="15"/>
              </w:rPr>
              <w:t>High</w:t>
            </w:r>
          </w:p>
        </w:tc>
      </w:tr>
    </w:tbl>
    <w:p>
      <w:pPr>
        <w:spacing w:after="40"/>
      </w:pPr>
    </w:p>
    <w:p>
      <w:pPr>
        <w:spacing w:after="120"/>
      </w:pPr>
      <w:r>
        <w:rPr>
          <w:b w:val="0"/>
          <w:i w:val="0"/>
          <w:sz w:val="18"/>
        </w:rPr>
        <w:t>Sources, cost bases and exclusions are in the Public Projects tab of the companion workbook and in the research log. Hyde Park for comparison: installed (A+B+C) $833/kWh; station complete, direct $1,483/kWh; approval level $2,862/kWh. Developer-owned figures are gross of incentives and carry developer overhead and profit but no utility indirects or AFUDC.</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3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