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1E60"/>
          <w:sz w:val="40"/>
        </w:rPr>
        <w:t>Red Team Report: Hyde Park BESS cost package (Rev 3, $57.2M)</w:t>
      </w:r>
    </w:p>
    <w:p>
      <w:pPr>
        <w:spacing w:after="40"/>
      </w:pPr>
      <w:r>
        <w:rPr>
          <w:b w:val="0"/>
          <w:i w:val="0"/>
          <w:color w:val="6E1F2E"/>
          <w:sz w:val="24"/>
        </w:rPr>
        <w:t>Independent challenge of the estimate, schedule, risk register and the CoE analysis package</w:t>
      </w:r>
    </w:p>
    <w:p>
      <w:pPr>
        <w:spacing w:after="120"/>
      </w:pPr>
      <w:r>
        <w:rPr>
          <w:b w:val="0"/>
          <w:i w:val="0"/>
          <w:color w:val="595959"/>
          <w:sz w:val="19"/>
        </w:rPr>
        <w:t>Estimate red-team method | 29 Sep 2026 | Cost Estimating Center of Excellence, Eversource Energy | Internal; contains vendor-confidential pricing</w:t>
      </w:r>
    </w:p>
    <w:p>
      <w:pPr>
        <w:spacing w:after="160"/>
      </w:pPr>
      <w:r>
        <w:rPr>
          <w:b w:val="0"/>
          <w:i w:val="0"/>
          <w:sz w:val="19"/>
        </w:rPr>
        <w:t>Materials reviewed: ESF Total Rev 3 and Rev 0-2, E-23-373, SSF, PAF Rev 1-3, Nomad cover agreement (pricing, milestones, D-4), July 2023 indicative pricing, Haugland Attachment 4-E, constructability review Aug 2026, Aug-Sep 2026 email record, actuals to 23 Sep 2026, the CoE deck, BOE, whitepaper and statistical memo, the 26-project public dataset and the ISO/FERC reference log. Materials not provided: Haugland's Class 3 estimate itself, Exhibit C commercial terms beyond pricing, P6 logic and float, the 2023 GZA geotechnical report, Article 80 filing status, the internal indirect rate schedule, line-level Provincetown actuals, any quantified basis for the risk register.</w:t>
      </w:r>
    </w:p>
    <w:p>
      <w:pPr>
        <w:pStyle w:val="Heading1"/>
      </w:pPr>
      <w:r>
        <w:t>Does the cost align with expectations?</w:t>
      </w:r>
    </w:p>
    <w:p>
      <w:pPr>
        <w:spacing w:after="120"/>
      </w:pPr>
      <w:r>
        <w:rPr>
          <w:b w:val="0"/>
          <w:i w:val="0"/>
        </w:rPr>
        <w:t>For a 10 MW / 20 MWh, two-hour, utility-owned station on a closed landfill in Boston, with a separate 13.8 kV switching station and a feeder-protection program at the source substation, $50 million to $60 million at approval level is explainable and sits at the high end of plausible. It is not defensible as a battery price. It is defensible as a station price. Confidence: Medium, because the public comparables were retrieved from search excerpts rather than primary filings.</w:t>
      </w:r>
    </w:p>
    <w:p>
      <w:pPr>
        <w:pStyle w:val="Heading1"/>
      </w:pPr>
      <w:r>
        <w:t>Steelman (the defense line)</w:t>
      </w:r>
    </w:p>
    <w:p>
      <w:pPr>
        <w:pStyle w:val="ListBullet"/>
        <w:spacing w:after="60"/>
      </w:pPr>
      <w:r>
        <w:t>The battery is priced by contract, not by estimate: $12.1M fixed until Final Acceptance with liquidated damages. At $532/kWh equipment-only it sits between BNEF's US turnkey index and every disclosed utility-owned project.</w:t>
      </w:r>
    </w:p>
    <w:p>
      <w:pPr>
        <w:pStyle w:val="ListBullet"/>
        <w:spacing w:after="60"/>
      </w:pPr>
      <w:r>
        <w:t>Every dollar between $12.1M and $57.2M has a name: 292 lines in thirteen layers, reconciled to the unrounded total. The station ($3.8M), the landfill platform ($2.7M) and Station 496 protection ($7.3M) are physical scope.</w:t>
      </w:r>
    </w:p>
    <w:p>
      <w:pPr>
        <w:pStyle w:val="ListBullet"/>
        <w:spacing w:after="60"/>
      </w:pPr>
      <w:r>
        <w:t>The direct cost is inside the reference class: $1,483/kWh at the 77% percentile of 35 public projects under 100 MWh (68% of the 25 utility-owned members), beside Fairhaven ($1,659 actual), Chateaugay ($1,490), Hinesburg ($1,400) and Provincetown ($1,289).</w:t>
      </w:r>
    </w:p>
    <w:p>
      <w:pPr>
        <w:pStyle w:val="ListBullet"/>
        <w:spacing w:after="60"/>
      </w:pPr>
      <w:r>
        <w:t>The loaders make it an outlier, and they are policy, not estimating: indirects at 17.4% and AFUDC at 8.8% are EMA template outputs on a seven-year development window that no public disclosure carries.</w:t>
      </w:r>
    </w:p>
    <w:p>
      <w:pPr>
        <w:pStyle w:val="ListBullet"/>
        <w:spacing w:after="60"/>
      </w:pPr>
      <w:r>
        <w:t>Risk plus contingency at 17.9% is inside lead-review guidance.</w:t>
      </w:r>
    </w:p>
    <w:p>
      <w:pPr>
        <w:pStyle w:val="Heading1"/>
      </w:pPr>
      <w:r>
        <w:t>Kill shots</w:t>
      </w:r>
    </w:p>
    <w:p>
      <w:pPr>
        <w:spacing w:after="40"/>
      </w:pPr>
      <w:r>
        <w:rPr>
          <w:b/>
          <w:i w:val="0"/>
          <w:color w:val="6E1F2E"/>
          <w:sz w:val="22"/>
        </w:rPr>
        <w:t>KS1. The estimate may be low on construction, not high.</w:t>
      </w:r>
    </w:p>
    <w:p>
      <w:pPr>
        <w:pStyle w:val="ListBullet"/>
        <w:spacing w:after="60"/>
      </w:pPr>
      <w:r>
        <w:rPr>
          <w:b/>
        </w:rPr>
        <w:t xml:space="preserve">Claim and attack. </w:t>
      </w:r>
      <w:r>
        <w:t>Rev 3 construction layers B (install) + D (station) + E (site) are $8.3M direct. Haugland's Class 3 preliminary base for its scope is $19,216,899 with a $2.9M deduct ceiling, so its floor is $16.3M. Its scope includes the 24211 tie-in and platform work on the cap, so the two are not directly comparable, but even if half of Haugland's base belongs to 21334 that is $8M to $10M against Rev 3's $8.3M. Nobody has mapped it.</w:t>
      </w:r>
    </w:p>
    <w:p>
      <w:pPr>
        <w:pStyle w:val="ListBullet"/>
        <w:spacing w:after="60"/>
      </w:pPr>
      <w:r>
        <w:rPr>
          <w:b/>
        </w:rPr>
        <w:t xml:space="preserve">Consequence if right. </w:t>
      </w:r>
      <w:r>
        <w:t>+$4M to +$8M direct, +$7M to +$13M loaded, and the 'where can we be aggressive' conversation reverses.</w:t>
      </w:r>
    </w:p>
    <w:p>
      <w:pPr>
        <w:pStyle w:val="ListBullet"/>
        <w:spacing w:after="60"/>
      </w:pPr>
      <w:r>
        <w:rPr>
          <w:b/>
        </w:rPr>
        <w:t xml:space="preserve">Evidence that settles it. </w:t>
      </w:r>
      <w:r>
        <w:t>A line-by-line scope map of Haugland's estimate to layers B, D, E and 24211, signed by Cost Estimating and Haugland, before the PAF is drafted. Confidence: High that the gap exists; Medium on its size.</w:t>
      </w:r>
    </w:p>
    <w:p>
      <w:pPr>
        <w:spacing w:after="40"/>
      </w:pPr>
      <w:r>
        <w:rPr>
          <w:b/>
          <w:i w:val="0"/>
          <w:color w:val="6E1F2E"/>
          <w:sz w:val="22"/>
        </w:rPr>
        <w:t>KS2. Siting is on the critical path with no float and a binary downside.</w:t>
      </w:r>
    </w:p>
    <w:p>
      <w:pPr>
        <w:pStyle w:val="ListBullet"/>
        <w:spacing w:after="60"/>
      </w:pPr>
      <w:r>
        <w:rPr>
          <w:b/>
        </w:rPr>
        <w:t xml:space="preserve">Claim and attack. </w:t>
      </w:r>
      <w:r>
        <w:t>Siting determination Feb 2028, construction start Feb 2028, ISD 28 Dec 2028 (PAF Rev 3 §5; P6 of 3 Aug 2026). That is a ten-month construction window on a capped landfill starting in a Boston winter, with Nomad delivering twelve containers on 28 Jan 2028 (Attachment C-2), before the determination. If the ZBA denies, the fallback is an EFSB zoning exemption at 18 to 24 months (PAF Rev 3 §6). The estimate carries $250K for siting delay.</w:t>
      </w:r>
    </w:p>
    <w:p>
      <w:pPr>
        <w:pStyle w:val="ListBullet"/>
        <w:spacing w:after="60"/>
      </w:pPr>
      <w:r>
        <w:rPr>
          <w:b/>
        </w:rPr>
        <w:t xml:space="preserve">Consequence if right. </w:t>
      </w:r>
      <w:r>
        <w:t>Twelve months of slip is roughly $5M (AFUDC on a ~$45M CWIP balance, escalation on ~$17M of to-go work, a year of PM and construction management, indirects on all of it); 24 months is roughly $10M, plus containers in storage with the support fees running. Spot generation, which the SSF says is required if the BESS misses its need date, was removed from Rev 3 scope on 12 Aug 2026.</w:t>
      </w:r>
    </w:p>
    <w:p>
      <w:pPr>
        <w:pStyle w:val="ListBullet"/>
        <w:spacing w:after="60"/>
      </w:pPr>
      <w:r>
        <w:rPr>
          <w:b/>
        </w:rPr>
        <w:t xml:space="preserve">Evidence that settles it. </w:t>
      </w:r>
      <w:r>
        <w:t>The Article 80 / ZBA filing date and hearing calendar; the P6 float on the siting chain; a written Siting position on the EFSB fallback probability. Confidence: High on exposure; Medium on the dollars (AFUDC rate not in the package).</w:t>
      </w:r>
    </w:p>
    <w:p>
      <w:pPr>
        <w:spacing w:after="40"/>
      </w:pPr>
      <w:r>
        <w:rPr>
          <w:b/>
          <w:i w:val="0"/>
          <w:color w:val="6E1F2E"/>
          <w:sz w:val="22"/>
        </w:rPr>
        <w:t>KS3. The full-funding number will be presented at a maturity the estimate does not have.</w:t>
      </w:r>
    </w:p>
    <w:p>
      <w:pPr>
        <w:pStyle w:val="ListBullet"/>
        <w:spacing w:after="60"/>
      </w:pPr>
      <w:r>
        <w:rPr>
          <w:b/>
        </w:rPr>
        <w:t xml:space="preserve">Claim and attack. </w:t>
      </w:r>
      <w:r>
        <w:t>Rev 3 is labeled Conceptual, -25% / +50% ($43M to $86M) and is the basis of a November 2026 full-funding PAF. Engineering is at 30%; construction is unit-library priced with no bid; battery install labor is 25% of a 2023 site total (Rev 2 used 50%, doubling it); the platform depth is a 2.5 ft placeholder; four Haugland design-basis items are unconfirmed in writing. That is Class 4 maturity under 96R-18. EPAC will read $57.2M as a planning number.</w:t>
      </w:r>
    </w:p>
    <w:p>
      <w:pPr>
        <w:pStyle w:val="ListBullet"/>
        <w:spacing w:after="60"/>
      </w:pPr>
      <w:r>
        <w:rPr>
          <w:b/>
        </w:rPr>
        <w:t xml:space="preserve">Consequence if right. </w:t>
      </w:r>
      <w:r>
        <w:t>The number moves after approval, and Provincetown ($35-45M approved, $49M final) is the reference class leadership will remember.</w:t>
      </w:r>
    </w:p>
    <w:p>
      <w:pPr>
        <w:pStyle w:val="ListBullet"/>
        <w:spacing w:after="60"/>
      </w:pPr>
      <w:r>
        <w:rPr>
          <w:b/>
        </w:rPr>
        <w:t xml:space="preserve">Evidence that settles it. </w:t>
      </w:r>
      <w:r>
        <w:t>Geotechnical report, Haugland reconciliation and a crew build-up for battery installation; then reclassify. Confidence: High.</w:t>
      </w:r>
    </w:p>
    <w:p>
      <w:pPr>
        <w:pStyle w:val="Heading1"/>
      </w:pPr>
      <w:r>
        <w:t>Claims inventory</w:t>
      </w:r>
    </w:p>
    <w:p>
      <w:pPr>
        <w:spacing w:after="120"/>
      </w:pPr>
      <w:r>
        <w:rPr>
          <w:b w:val="0"/>
          <w:i w:val="0"/>
        </w:rPr>
        <w:t>Of the material claims in the package, roughly 45 percent are Fact (contract price, actuals, ESF totals, milestones), 30 percent Inference (layer boundaries, benchmark placement, regression), 20 percent Assertion (risk register values, install labor percentage, escalation on the battery, Siemens budgetary) and 5 percent Aspiration (Feb 2028 siting, Dec 2028 ISD). The assertion block is concentrated in exactly the layers the Monte Carlo identifies as carrying the uncertainty.</w:t>
      </w:r>
    </w:p>
    <w:p>
      <w:pPr>
        <w:pStyle w:val="Heading1"/>
      </w:pPr>
      <w:r>
        <w:t>Challenge register</w:t>
      </w:r>
    </w:p>
    <w:tbl>
      <w:tblPr>
        <w:tblStyle w:val="TableGrid"/>
        <w:tblW w:type="auto" w:w="0"/>
        <w:jc w:val="center"/>
        <w:tblLayout w:type="fixed"/>
        <w:tblLook w:firstColumn="1" w:firstRow="1" w:lastColumn="0" w:lastRow="0" w:noHBand="0" w:noVBand="1" w:val="04A0"/>
      </w:tblPr>
      <w:tblGrid>
        <w:gridCol w:w="504"/>
        <w:gridCol w:w="432"/>
        <w:gridCol w:w="2304"/>
        <w:gridCol w:w="3744"/>
        <w:gridCol w:w="1872"/>
        <w:gridCol w:w="792"/>
      </w:tblGrid>
      <w:tr>
        <w:tc>
          <w:tcPr>
            <w:tcW w:type="dxa" w:w="504"/>
            <w:shd w:val="clear" w:color="auto" w:fill="001E60"/>
          </w:tcPr>
          <w:p>
            <w:pPr>
              <w:spacing w:after="0" w:before="0"/>
            </w:pPr>
            <w:r/>
            <w:r>
              <w:rPr>
                <w:b/>
                <w:i w:val="0"/>
                <w:color w:val="FFFFFF"/>
                <w:sz w:val="16"/>
              </w:rPr>
              <w:t>Sev</w:t>
            </w:r>
          </w:p>
        </w:tc>
        <w:tc>
          <w:tcPr>
            <w:tcW w:type="dxa" w:w="432"/>
            <w:shd w:val="clear" w:color="auto" w:fill="001E60"/>
          </w:tcPr>
          <w:p>
            <w:pPr>
              <w:spacing w:after="0" w:before="0"/>
            </w:pPr>
            <w:r/>
            <w:r>
              <w:rPr>
                <w:b/>
                <w:i w:val="0"/>
                <w:color w:val="FFFFFF"/>
                <w:sz w:val="16"/>
              </w:rPr>
              <w:t>#</w:t>
            </w:r>
          </w:p>
        </w:tc>
        <w:tc>
          <w:tcPr>
            <w:tcW w:type="dxa" w:w="2304"/>
            <w:shd w:val="clear" w:color="auto" w:fill="001E60"/>
          </w:tcPr>
          <w:p>
            <w:pPr>
              <w:spacing w:after="0" w:before="0"/>
            </w:pPr>
            <w:r/>
            <w:r>
              <w:rPr>
                <w:b/>
                <w:i w:val="0"/>
                <w:color w:val="FFFFFF"/>
                <w:sz w:val="16"/>
              </w:rPr>
              <w:t>Claim attacked</w:t>
            </w:r>
          </w:p>
        </w:tc>
        <w:tc>
          <w:tcPr>
            <w:tcW w:type="dxa" w:w="3744"/>
            <w:shd w:val="clear" w:color="auto" w:fill="001E60"/>
          </w:tcPr>
          <w:p>
            <w:pPr>
              <w:spacing w:after="0" w:before="0"/>
            </w:pPr>
            <w:r/>
            <w:r>
              <w:rPr>
                <w:b/>
                <w:i w:val="0"/>
                <w:color w:val="FFFFFF"/>
                <w:sz w:val="16"/>
              </w:rPr>
              <w:t>Challenge</w:t>
            </w:r>
          </w:p>
        </w:tc>
        <w:tc>
          <w:tcPr>
            <w:tcW w:type="dxa" w:w="1872"/>
            <w:shd w:val="clear" w:color="auto" w:fill="001E60"/>
          </w:tcPr>
          <w:p>
            <w:pPr>
              <w:spacing w:after="0" w:before="0"/>
            </w:pPr>
            <w:r/>
            <w:r>
              <w:rPr>
                <w:b/>
                <w:i w:val="0"/>
                <w:color w:val="FFFFFF"/>
                <w:sz w:val="16"/>
              </w:rPr>
              <w:t>Evidence to resolve</w:t>
            </w:r>
          </w:p>
        </w:tc>
        <w:tc>
          <w:tcPr>
            <w:tcW w:type="dxa" w:w="792"/>
            <w:shd w:val="clear" w:color="auto" w:fill="001E60"/>
          </w:tcPr>
          <w:p>
            <w:pPr>
              <w:spacing w:after="0" w:before="0"/>
            </w:pPr>
            <w:r/>
            <w:r>
              <w:rPr>
                <w:b/>
                <w:i w:val="0"/>
                <w:color w:val="FFFFFF"/>
                <w:sz w:val="16"/>
              </w:rPr>
              <w:t>Conf.</w:t>
            </w:r>
          </w:p>
        </w:tc>
      </w:tr>
      <w:tr>
        <w:tc>
          <w:tcPr>
            <w:tcW w:type="dxa" w:w="504"/>
          </w:tcPr>
          <w:p>
            <w:pPr>
              <w:spacing w:after="0" w:before="0"/>
            </w:pPr>
            <w:r/>
            <w:r>
              <w:rPr>
                <w:b w:val="0"/>
                <w:i w:val="0"/>
                <w:sz w:val="16"/>
              </w:rPr>
              <w:t>🔴</w:t>
            </w:r>
          </w:p>
        </w:tc>
        <w:tc>
          <w:tcPr>
            <w:tcW w:type="dxa" w:w="432"/>
          </w:tcPr>
          <w:p>
            <w:pPr>
              <w:spacing w:after="0" w:before="0"/>
            </w:pPr>
            <w:r/>
            <w:r>
              <w:rPr>
                <w:b w:val="0"/>
                <w:i w:val="0"/>
                <w:sz w:val="16"/>
              </w:rPr>
              <w:t>1</w:t>
            </w:r>
          </w:p>
        </w:tc>
        <w:tc>
          <w:tcPr>
            <w:tcW w:type="dxa" w:w="2304"/>
          </w:tcPr>
          <w:p>
            <w:pPr>
              <w:spacing w:after="0" w:before="0"/>
            </w:pPr>
            <w:r/>
            <w:r>
              <w:rPr>
                <w:b w:val="0"/>
                <w:i w:val="0"/>
                <w:sz w:val="16"/>
              </w:rPr>
              <w:t>Construction layers B+D+E = $8.3M direct</w:t>
            </w:r>
          </w:p>
        </w:tc>
        <w:tc>
          <w:tcPr>
            <w:tcW w:type="dxa" w:w="3744"/>
          </w:tcPr>
          <w:p>
            <w:pPr>
              <w:spacing w:after="0" w:before="0"/>
            </w:pPr>
            <w:r/>
            <w:r>
              <w:rPr>
                <w:b w:val="0"/>
                <w:i w:val="0"/>
                <w:sz w:val="16"/>
              </w:rPr>
              <w:t>Haugland Class 3 base $19.2M for overlapping scope (KS1)</w:t>
            </w:r>
          </w:p>
        </w:tc>
        <w:tc>
          <w:tcPr>
            <w:tcW w:type="dxa" w:w="1872"/>
          </w:tcPr>
          <w:p>
            <w:pPr>
              <w:spacing w:after="0" w:before="0"/>
            </w:pPr>
            <w:r/>
            <w:r>
              <w:rPr>
                <w:b w:val="0"/>
                <w:i w:val="0"/>
                <w:sz w:val="16"/>
              </w:rPr>
              <w:t>Scope map HEG to Rev 3 to 24211</w:t>
            </w:r>
          </w:p>
        </w:tc>
        <w:tc>
          <w:tcPr>
            <w:tcW w:type="dxa" w:w="792"/>
          </w:tcPr>
          <w:p>
            <w:pPr>
              <w:spacing w:after="0" w:before="0"/>
            </w:pPr>
            <w:r/>
            <w:r>
              <w:rPr>
                <w:b w:val="0"/>
                <w:i w:val="0"/>
                <w:sz w:val="16"/>
              </w:rPr>
              <w:t>High</w:t>
            </w:r>
          </w:p>
        </w:tc>
      </w:tr>
      <w:tr>
        <w:tc>
          <w:tcPr>
            <w:tcW w:type="dxa" w:w="504"/>
            <w:shd w:val="clear" w:color="auto" w:fill="F2F4F8"/>
          </w:tcPr>
          <w:p>
            <w:pPr>
              <w:spacing w:after="0" w:before="0"/>
            </w:pPr>
            <w:r/>
            <w:r>
              <w:rPr>
                <w:b w:val="0"/>
                <w:i w:val="0"/>
                <w:sz w:val="16"/>
              </w:rPr>
              <w:t>🔴</w:t>
            </w:r>
          </w:p>
        </w:tc>
        <w:tc>
          <w:tcPr>
            <w:tcW w:type="dxa" w:w="432"/>
            <w:shd w:val="clear" w:color="auto" w:fill="F2F4F8"/>
          </w:tcPr>
          <w:p>
            <w:pPr>
              <w:spacing w:after="0" w:before="0"/>
            </w:pPr>
            <w:r/>
            <w:r>
              <w:rPr>
                <w:b w:val="0"/>
                <w:i w:val="0"/>
                <w:sz w:val="16"/>
              </w:rPr>
              <w:t>2</w:t>
            </w:r>
          </w:p>
        </w:tc>
        <w:tc>
          <w:tcPr>
            <w:tcW w:type="dxa" w:w="2304"/>
            <w:shd w:val="clear" w:color="auto" w:fill="F2F4F8"/>
          </w:tcPr>
          <w:p>
            <w:pPr>
              <w:spacing w:after="0" w:before="0"/>
            </w:pPr>
            <w:r/>
            <w:r>
              <w:rPr>
                <w:b w:val="0"/>
                <w:i w:val="0"/>
                <w:sz w:val="16"/>
              </w:rPr>
              <w:t>Siting Feb 2028 to ISD Dec 2028</w:t>
            </w:r>
          </w:p>
        </w:tc>
        <w:tc>
          <w:tcPr>
            <w:tcW w:type="dxa" w:w="3744"/>
            <w:shd w:val="clear" w:color="auto" w:fill="F2F4F8"/>
          </w:tcPr>
          <w:p>
            <w:pPr>
              <w:spacing w:after="0" w:before="0"/>
            </w:pPr>
            <w:r/>
            <w:r>
              <w:rPr>
                <w:b w:val="0"/>
                <w:i w:val="0"/>
                <w:sz w:val="16"/>
              </w:rPr>
              <w:t>Zero float; EFSB fallback 18-24 mo; $250K carried (KS2)</w:t>
            </w:r>
          </w:p>
        </w:tc>
        <w:tc>
          <w:tcPr>
            <w:tcW w:type="dxa" w:w="1872"/>
            <w:shd w:val="clear" w:color="auto" w:fill="F2F4F8"/>
          </w:tcPr>
          <w:p>
            <w:pPr>
              <w:spacing w:after="0" w:before="0"/>
            </w:pPr>
            <w:r/>
            <w:r>
              <w:rPr>
                <w:b w:val="0"/>
                <w:i w:val="0"/>
                <w:sz w:val="16"/>
              </w:rPr>
              <w:t>Filing date, hearing calendar, P6 float</w:t>
            </w:r>
          </w:p>
        </w:tc>
        <w:tc>
          <w:tcPr>
            <w:tcW w:type="dxa" w:w="792"/>
            <w:shd w:val="clear" w:color="auto" w:fill="F2F4F8"/>
          </w:tcPr>
          <w:p>
            <w:pPr>
              <w:spacing w:after="0" w:before="0"/>
            </w:pPr>
            <w:r/>
            <w:r>
              <w:rPr>
                <w:b w:val="0"/>
                <w:i w:val="0"/>
                <w:sz w:val="16"/>
              </w:rPr>
              <w:t>High</w:t>
            </w:r>
          </w:p>
        </w:tc>
      </w:tr>
      <w:tr>
        <w:tc>
          <w:tcPr>
            <w:tcW w:type="dxa" w:w="504"/>
          </w:tcPr>
          <w:p>
            <w:pPr>
              <w:spacing w:after="0" w:before="0"/>
            </w:pPr>
            <w:r/>
            <w:r>
              <w:rPr>
                <w:b w:val="0"/>
                <w:i w:val="0"/>
                <w:sz w:val="16"/>
              </w:rPr>
              <w:t>🔴</w:t>
            </w:r>
          </w:p>
        </w:tc>
        <w:tc>
          <w:tcPr>
            <w:tcW w:type="dxa" w:w="432"/>
          </w:tcPr>
          <w:p>
            <w:pPr>
              <w:spacing w:after="0" w:before="0"/>
            </w:pPr>
            <w:r/>
            <w:r>
              <w:rPr>
                <w:b w:val="0"/>
                <w:i w:val="0"/>
                <w:sz w:val="16"/>
              </w:rPr>
              <w:t>3</w:t>
            </w:r>
          </w:p>
        </w:tc>
        <w:tc>
          <w:tcPr>
            <w:tcW w:type="dxa" w:w="2304"/>
          </w:tcPr>
          <w:p>
            <w:pPr>
              <w:spacing w:after="0" w:before="0"/>
            </w:pPr>
            <w:r/>
            <w:r>
              <w:rPr>
                <w:b w:val="0"/>
                <w:i w:val="0"/>
                <w:sz w:val="16"/>
              </w:rPr>
              <w:t>Estimate class Conceptual, used for full funding</w:t>
            </w:r>
          </w:p>
        </w:tc>
        <w:tc>
          <w:tcPr>
            <w:tcW w:type="dxa" w:w="3744"/>
          </w:tcPr>
          <w:p>
            <w:pPr>
              <w:spacing w:after="0" w:before="0"/>
            </w:pPr>
            <w:r/>
            <w:r>
              <w:rPr>
                <w:b w:val="0"/>
                <w:i w:val="0"/>
                <w:sz w:val="16"/>
              </w:rPr>
              <w:t>Maturity is Class 4; range presented is +/-50% (KS3)</w:t>
            </w:r>
          </w:p>
        </w:tc>
        <w:tc>
          <w:tcPr>
            <w:tcW w:type="dxa" w:w="1872"/>
          </w:tcPr>
          <w:p>
            <w:pPr>
              <w:spacing w:after="0" w:before="0"/>
            </w:pPr>
            <w:r/>
            <w:r>
              <w:rPr>
                <w:b w:val="0"/>
                <w:i w:val="0"/>
                <w:sz w:val="16"/>
              </w:rPr>
              <w:t>Geotech, HEG map, crew build-up, reclassify</w:t>
            </w:r>
          </w:p>
        </w:tc>
        <w:tc>
          <w:tcPr>
            <w:tcW w:type="dxa" w:w="792"/>
          </w:tcPr>
          <w:p>
            <w:pPr>
              <w:spacing w:after="0" w:before="0"/>
            </w:pPr>
            <w:r/>
            <w:r>
              <w:rPr>
                <w:b w:val="0"/>
                <w:i w:val="0"/>
                <w:sz w:val="16"/>
              </w:rPr>
              <w:t>High</w:t>
            </w:r>
          </w:p>
        </w:tc>
      </w:tr>
      <w:tr>
        <w:tc>
          <w:tcPr>
            <w:tcW w:type="dxa" w:w="504"/>
            <w:shd w:val="clear" w:color="auto" w:fill="F2F4F8"/>
          </w:tcPr>
          <w:p>
            <w:pPr>
              <w:spacing w:after="0" w:before="0"/>
            </w:pPr>
            <w:r/>
            <w:r>
              <w:rPr>
                <w:b w:val="0"/>
                <w:i w:val="0"/>
                <w:sz w:val="16"/>
              </w:rPr>
              <w:t>🟠</w:t>
            </w:r>
          </w:p>
        </w:tc>
        <w:tc>
          <w:tcPr>
            <w:tcW w:type="dxa" w:w="432"/>
            <w:shd w:val="clear" w:color="auto" w:fill="F2F4F8"/>
          </w:tcPr>
          <w:p>
            <w:pPr>
              <w:spacing w:after="0" w:before="0"/>
            </w:pPr>
            <w:r/>
            <w:r>
              <w:rPr>
                <w:b w:val="0"/>
                <w:i w:val="0"/>
                <w:sz w:val="16"/>
              </w:rPr>
              <w:t>4</w:t>
            </w:r>
          </w:p>
        </w:tc>
        <w:tc>
          <w:tcPr>
            <w:tcW w:type="dxa" w:w="2304"/>
            <w:shd w:val="clear" w:color="auto" w:fill="F2F4F8"/>
          </w:tcPr>
          <w:p>
            <w:pPr>
              <w:spacing w:after="0" w:before="0"/>
            </w:pPr>
            <w:r/>
            <w:r>
              <w:rPr>
                <w:b w:val="0"/>
                <w:i w:val="0"/>
                <w:sz w:val="16"/>
              </w:rPr>
              <w:t>Battery install 5,557 mh = $1.07M (seq 485)</w:t>
            </w:r>
          </w:p>
        </w:tc>
        <w:tc>
          <w:tcPr>
            <w:tcW w:type="dxa" w:w="3744"/>
            <w:shd w:val="clear" w:color="auto" w:fill="F2F4F8"/>
          </w:tcPr>
          <w:p>
            <w:pPr>
              <w:spacing w:after="0" w:before="0"/>
            </w:pPr>
            <w:r/>
            <w:r>
              <w:rPr>
                <w:b w:val="0"/>
                <w:i w:val="0"/>
                <w:sz w:val="16"/>
              </w:rPr>
              <w:t>Basis is 25% of 16,801 mh from E-23-373; Rev 2 used 50%. The number halved by changing a percentage. Electrical integration of 12 units to 4 GSUs is not itemized.</w:t>
            </w:r>
          </w:p>
        </w:tc>
        <w:tc>
          <w:tcPr>
            <w:tcW w:type="dxa" w:w="1872"/>
            <w:shd w:val="clear" w:color="auto" w:fill="F2F4F8"/>
          </w:tcPr>
          <w:p>
            <w:pPr>
              <w:spacing w:after="0" w:before="0"/>
            </w:pPr>
            <w:r/>
            <w:r>
              <w:rPr>
                <w:b w:val="0"/>
                <w:i w:val="0"/>
                <w:sz w:val="16"/>
              </w:rPr>
              <w:t>Crew build-up with HEG; Nomad Attachment D-3 sequence</w:t>
            </w:r>
          </w:p>
        </w:tc>
        <w:tc>
          <w:tcPr>
            <w:tcW w:type="dxa" w:w="792"/>
            <w:shd w:val="clear" w:color="auto" w:fill="F2F4F8"/>
          </w:tcPr>
          <w:p>
            <w:pPr>
              <w:spacing w:after="0" w:before="0"/>
            </w:pPr>
            <w:r/>
            <w:r>
              <w:rPr>
                <w:b w:val="0"/>
                <w:i w:val="0"/>
                <w:sz w:val="16"/>
              </w:rPr>
              <w:t>High</w:t>
            </w:r>
          </w:p>
        </w:tc>
      </w:tr>
      <w:tr>
        <w:tc>
          <w:tcPr>
            <w:tcW w:type="dxa" w:w="504"/>
          </w:tcPr>
          <w:p>
            <w:pPr>
              <w:spacing w:after="0" w:before="0"/>
            </w:pPr>
            <w:r/>
            <w:r>
              <w:rPr>
                <w:b w:val="0"/>
                <w:i w:val="0"/>
                <w:sz w:val="16"/>
              </w:rPr>
              <w:t>🟠</w:t>
            </w:r>
          </w:p>
        </w:tc>
        <w:tc>
          <w:tcPr>
            <w:tcW w:type="dxa" w:w="432"/>
          </w:tcPr>
          <w:p>
            <w:pPr>
              <w:spacing w:after="0" w:before="0"/>
            </w:pPr>
            <w:r/>
            <w:r>
              <w:rPr>
                <w:b w:val="0"/>
                <w:i w:val="0"/>
                <w:sz w:val="16"/>
              </w:rPr>
              <w:t>5</w:t>
            </w:r>
          </w:p>
        </w:tc>
        <w:tc>
          <w:tcPr>
            <w:tcW w:type="dxa" w:w="2304"/>
          </w:tcPr>
          <w:p>
            <w:pPr>
              <w:spacing w:after="0" w:before="0"/>
            </w:pPr>
            <w:r/>
            <w:r>
              <w:rPr>
                <w:b w:val="0"/>
                <w:i w:val="0"/>
                <w:sz w:val="16"/>
              </w:rPr>
              <w:t>Platform: 2.5 ft fill, 280 ft x 14 ft wall, 36,100 SF (4-E items 5, 9, 27)</w:t>
            </w:r>
          </w:p>
        </w:tc>
        <w:tc>
          <w:tcPr>
            <w:tcW w:type="dxa" w:w="3744"/>
          </w:tcPr>
          <w:p>
            <w:pPr>
              <w:spacing w:after="0" w:before="0"/>
            </w:pPr>
            <w:r/>
            <w:r>
              <w:rPr>
                <w:b w:val="0"/>
                <w:i w:val="0"/>
                <w:sz w:val="16"/>
              </w:rPr>
              <w:t>All placeholders Haugland has flagged: $1.5M deduct if smaller, $0.6-3.5M geotech exposure if worse. Estimate is silent on direction.</w:t>
            </w:r>
          </w:p>
        </w:tc>
        <w:tc>
          <w:tcPr>
            <w:tcW w:type="dxa" w:w="1872"/>
          </w:tcPr>
          <w:p>
            <w:pPr>
              <w:spacing w:after="0" w:before="0"/>
            </w:pPr>
            <w:r/>
            <w:r>
              <w:rPr>
                <w:b w:val="0"/>
                <w:i w:val="0"/>
                <w:sz w:val="16"/>
              </w:rPr>
              <w:t>GZA 2023 report; borings before IFC; NFPA 855 HMA</w:t>
            </w:r>
          </w:p>
        </w:tc>
        <w:tc>
          <w:tcPr>
            <w:tcW w:type="dxa" w:w="792"/>
          </w:tcPr>
          <w:p>
            <w:pPr>
              <w:spacing w:after="0" w:before="0"/>
            </w:pPr>
            <w:r/>
            <w:r>
              <w:rPr>
                <w:b w:val="0"/>
                <w:i w:val="0"/>
                <w:sz w:val="16"/>
              </w:rPr>
              <w:t>High</w:t>
            </w:r>
          </w:p>
        </w:tc>
      </w:tr>
      <w:tr>
        <w:tc>
          <w:tcPr>
            <w:tcW w:type="dxa" w:w="504"/>
            <w:shd w:val="clear" w:color="auto" w:fill="F2F4F8"/>
          </w:tcPr>
          <w:p>
            <w:pPr>
              <w:spacing w:after="0" w:before="0"/>
            </w:pPr>
            <w:r/>
            <w:r>
              <w:rPr>
                <w:b w:val="0"/>
                <w:i w:val="0"/>
                <w:sz w:val="16"/>
              </w:rPr>
              <w:t>🟠</w:t>
            </w:r>
          </w:p>
        </w:tc>
        <w:tc>
          <w:tcPr>
            <w:tcW w:type="dxa" w:w="432"/>
            <w:shd w:val="clear" w:color="auto" w:fill="F2F4F8"/>
          </w:tcPr>
          <w:p>
            <w:pPr>
              <w:spacing w:after="0" w:before="0"/>
            </w:pPr>
            <w:r/>
            <w:r>
              <w:rPr>
                <w:b w:val="0"/>
                <w:i w:val="0"/>
                <w:sz w:val="16"/>
              </w:rPr>
              <w:t>6</w:t>
            </w:r>
          </w:p>
        </w:tc>
        <w:tc>
          <w:tcPr>
            <w:tcW w:type="dxa" w:w="2304"/>
            <w:shd w:val="clear" w:color="auto" w:fill="F2F4F8"/>
          </w:tcPr>
          <w:p>
            <w:pPr>
              <w:spacing w:after="0" w:before="0"/>
            </w:pPr>
            <w:r/>
            <w:r>
              <w:rPr>
                <w:b w:val="0"/>
                <w:i w:val="0"/>
                <w:sz w:val="16"/>
              </w:rPr>
              <w:t>Station 496 at $7.25M for 20 relays</w:t>
            </w:r>
          </w:p>
        </w:tc>
        <w:tc>
          <w:tcPr>
            <w:tcW w:type="dxa" w:w="3744"/>
            <w:shd w:val="clear" w:color="auto" w:fill="F2F4F8"/>
          </w:tcPr>
          <w:p>
            <w:pPr>
              <w:spacing w:after="0" w:before="0"/>
            </w:pPr>
            <w:r/>
            <w:r>
              <w:rPr>
                <w:b w:val="0"/>
                <w:i w:val="0"/>
                <w:sz w:val="16"/>
              </w:rPr>
              <w:t>$362,700 per relay; $1.81M testing and $1.39M labor on a relay swap; no unit-rate comparison in the package.</w:t>
            </w:r>
          </w:p>
        </w:tc>
        <w:tc>
          <w:tcPr>
            <w:tcW w:type="dxa" w:w="1872"/>
            <w:shd w:val="clear" w:color="auto" w:fill="F2F4F8"/>
          </w:tcPr>
          <w:p>
            <w:pPr>
              <w:spacing w:after="0" w:before="0"/>
            </w:pPr>
            <w:r/>
            <w:r>
              <w:rPr>
                <w:b w:val="0"/>
                <w:i w:val="0"/>
                <w:sz w:val="16"/>
              </w:rPr>
              <w:t>Two recent EMA relay-replacement actuals; P&amp;C hours build-up</w:t>
            </w:r>
          </w:p>
        </w:tc>
        <w:tc>
          <w:tcPr>
            <w:tcW w:type="dxa" w:w="792"/>
            <w:shd w:val="clear" w:color="auto" w:fill="F2F4F8"/>
          </w:tcPr>
          <w:p>
            <w:pPr>
              <w:spacing w:after="0" w:before="0"/>
            </w:pPr>
            <w:r/>
            <w:r>
              <w:rPr>
                <w:b w:val="0"/>
                <w:i w:val="0"/>
                <w:sz w:val="16"/>
              </w:rPr>
              <w:t>Medium</w:t>
            </w:r>
          </w:p>
        </w:tc>
      </w:tr>
      <w:tr>
        <w:tc>
          <w:tcPr>
            <w:tcW w:type="dxa" w:w="504"/>
          </w:tcPr>
          <w:p>
            <w:pPr>
              <w:spacing w:after="0" w:before="0"/>
            </w:pPr>
            <w:r/>
            <w:r>
              <w:rPr>
                <w:b w:val="0"/>
                <w:i w:val="0"/>
                <w:sz w:val="16"/>
              </w:rPr>
              <w:t>🟠</w:t>
            </w:r>
          </w:p>
        </w:tc>
        <w:tc>
          <w:tcPr>
            <w:tcW w:type="dxa" w:w="432"/>
          </w:tcPr>
          <w:p>
            <w:pPr>
              <w:spacing w:after="0" w:before="0"/>
            </w:pPr>
            <w:r/>
            <w:r>
              <w:rPr>
                <w:b w:val="0"/>
                <w:i w:val="0"/>
                <w:sz w:val="16"/>
              </w:rPr>
              <w:t>7</w:t>
            </w:r>
          </w:p>
        </w:tc>
        <w:tc>
          <w:tcPr>
            <w:tcW w:type="dxa" w:w="2304"/>
          </w:tcPr>
          <w:p>
            <w:pPr>
              <w:spacing w:after="0" w:before="0"/>
            </w:pPr>
            <w:r/>
            <w:r>
              <w:rPr>
                <w:b w:val="0"/>
                <w:i w:val="0"/>
                <w:sz w:val="16"/>
              </w:rPr>
              <w:t>Escalation on the battery line $1.13M (seq 432)</w:t>
            </w:r>
          </w:p>
        </w:tc>
        <w:tc>
          <w:tcPr>
            <w:tcW w:type="dxa" w:w="3744"/>
          </w:tcPr>
          <w:p>
            <w:pPr>
              <w:spacing w:after="0" w:before="0"/>
            </w:pPr>
            <w:r/>
            <w:r>
              <w:rPr>
                <w:b w:val="0"/>
                <w:i w:val="0"/>
                <w:sz w:val="16"/>
              </w:rPr>
              <w:t>Price is fixed until Final Acceptance (cover agreement §III). An assertion carried against a fact.</w:t>
            </w:r>
          </w:p>
        </w:tc>
        <w:tc>
          <w:tcPr>
            <w:tcW w:type="dxa" w:w="1872"/>
          </w:tcPr>
          <w:p>
            <w:pPr>
              <w:spacing w:after="0" w:before="0"/>
            </w:pPr>
            <w:r/>
            <w:r>
              <w:rPr>
                <w:b w:val="0"/>
                <w:i w:val="0"/>
                <w:sz w:val="16"/>
              </w:rPr>
              <w:t>Exhibit C commercial terms</w:t>
            </w:r>
          </w:p>
        </w:tc>
        <w:tc>
          <w:tcPr>
            <w:tcW w:type="dxa" w:w="792"/>
          </w:tcPr>
          <w:p>
            <w:pPr>
              <w:spacing w:after="0" w:before="0"/>
            </w:pPr>
            <w:r/>
            <w:r>
              <w:rPr>
                <w:b w:val="0"/>
                <w:i w:val="0"/>
                <w:sz w:val="16"/>
              </w:rPr>
              <w:t>High</w:t>
            </w:r>
          </w:p>
        </w:tc>
      </w:tr>
      <w:tr>
        <w:tc>
          <w:tcPr>
            <w:tcW w:type="dxa" w:w="504"/>
            <w:shd w:val="clear" w:color="auto" w:fill="F2F4F8"/>
          </w:tcPr>
          <w:p>
            <w:pPr>
              <w:spacing w:after="0" w:before="0"/>
            </w:pPr>
            <w:r/>
            <w:r>
              <w:rPr>
                <w:b w:val="0"/>
                <w:i w:val="0"/>
                <w:sz w:val="16"/>
              </w:rPr>
              <w:t>🟠</w:t>
            </w:r>
          </w:p>
        </w:tc>
        <w:tc>
          <w:tcPr>
            <w:tcW w:type="dxa" w:w="432"/>
            <w:shd w:val="clear" w:color="auto" w:fill="F2F4F8"/>
          </w:tcPr>
          <w:p>
            <w:pPr>
              <w:spacing w:after="0" w:before="0"/>
            </w:pPr>
            <w:r/>
            <w:r>
              <w:rPr>
                <w:b w:val="0"/>
                <w:i w:val="0"/>
                <w:sz w:val="16"/>
              </w:rPr>
              <w:t>8</w:t>
            </w:r>
          </w:p>
        </w:tc>
        <w:tc>
          <w:tcPr>
            <w:tcW w:type="dxa" w:w="2304"/>
            <w:shd w:val="clear" w:color="auto" w:fill="F2F4F8"/>
          </w:tcPr>
          <w:p>
            <w:pPr>
              <w:spacing w:after="0" w:before="0"/>
            </w:pPr>
            <w:r/>
            <w:r>
              <w:rPr>
                <w:b w:val="0"/>
                <w:i w:val="0"/>
                <w:sz w:val="16"/>
              </w:rPr>
              <w:t>Risk register $5.3M Sta 360</w:t>
            </w:r>
          </w:p>
        </w:tc>
        <w:tc>
          <w:tcPr>
            <w:tcW w:type="dxa" w:w="3744"/>
            <w:shd w:val="clear" w:color="auto" w:fill="F2F4F8"/>
          </w:tcPr>
          <w:p>
            <w:pPr>
              <w:spacing w:after="0" w:before="0"/>
            </w:pPr>
            <w:r/>
            <w:r>
              <w:rPr>
                <w:b w:val="0"/>
                <w:i w:val="0"/>
                <w:sz w:val="16"/>
              </w:rPr>
              <w:t>Twelve round numbers, no basis, no probability, no correlation. Material risk sized on total material though the battery is fixed. Missing: siting denial, commissioning window, counterparty, concurrent projects, FEOC.</w:t>
            </w:r>
          </w:p>
        </w:tc>
        <w:tc>
          <w:tcPr>
            <w:tcW w:type="dxa" w:w="1872"/>
            <w:shd w:val="clear" w:color="auto" w:fill="F2F4F8"/>
          </w:tcPr>
          <w:p>
            <w:pPr>
              <w:spacing w:after="0" w:before="0"/>
            </w:pPr>
            <w:r/>
            <w:r>
              <w:rPr>
                <w:b w:val="0"/>
                <w:i w:val="0"/>
                <w:sz w:val="16"/>
              </w:rPr>
              <w:t>Range-estimating session (41R-08)</w:t>
            </w:r>
          </w:p>
        </w:tc>
        <w:tc>
          <w:tcPr>
            <w:tcW w:type="dxa" w:w="792"/>
            <w:shd w:val="clear" w:color="auto" w:fill="F2F4F8"/>
          </w:tcPr>
          <w:p>
            <w:pPr>
              <w:spacing w:after="0" w:before="0"/>
            </w:pPr>
            <w:r/>
            <w:r>
              <w:rPr>
                <w:b w:val="0"/>
                <w:i w:val="0"/>
                <w:sz w:val="16"/>
              </w:rPr>
              <w:t>High</w:t>
            </w:r>
          </w:p>
        </w:tc>
      </w:tr>
      <w:tr>
        <w:tc>
          <w:tcPr>
            <w:tcW w:type="dxa" w:w="504"/>
          </w:tcPr>
          <w:p>
            <w:pPr>
              <w:spacing w:after="0" w:before="0"/>
            </w:pPr>
            <w:r/>
            <w:r>
              <w:rPr>
                <w:b w:val="0"/>
                <w:i w:val="0"/>
                <w:sz w:val="16"/>
              </w:rPr>
              <w:t>🟠</w:t>
            </w:r>
          </w:p>
        </w:tc>
        <w:tc>
          <w:tcPr>
            <w:tcW w:type="dxa" w:w="432"/>
          </w:tcPr>
          <w:p>
            <w:pPr>
              <w:spacing w:after="0" w:before="0"/>
            </w:pPr>
            <w:r/>
            <w:r>
              <w:rPr>
                <w:b w:val="0"/>
                <w:i w:val="0"/>
                <w:sz w:val="16"/>
              </w:rPr>
              <w:t>9</w:t>
            </w:r>
          </w:p>
        </w:tc>
        <w:tc>
          <w:tcPr>
            <w:tcW w:type="dxa" w:w="2304"/>
          </w:tcPr>
          <w:p>
            <w:pPr>
              <w:spacing w:after="0" w:before="0"/>
            </w:pPr>
            <w:r/>
            <w:r>
              <w:rPr>
                <w:b w:val="0"/>
                <w:i w:val="0"/>
                <w:sz w:val="16"/>
              </w:rPr>
              <w:t>Spot generation removed from scope (12 Aug 2026)</w:t>
            </w:r>
          </w:p>
        </w:tc>
        <w:tc>
          <w:tcPr>
            <w:tcW w:type="dxa" w:w="3744"/>
          </w:tcPr>
          <w:p>
            <w:pPr>
              <w:spacing w:after="0" w:before="0"/>
            </w:pPr>
            <w:r/>
            <w:r>
              <w:rPr>
                <w:b w:val="0"/>
                <w:i w:val="0"/>
                <w:sz w:val="16"/>
              </w:rPr>
              <w:t>SSF and PAF require 2-8 MW if the BESS misses its need date; Rev 3 assumes it hits Dec 2028 with no float.</w:t>
            </w:r>
          </w:p>
        </w:tc>
        <w:tc>
          <w:tcPr>
            <w:tcW w:type="dxa" w:w="1872"/>
          </w:tcPr>
          <w:p>
            <w:pPr>
              <w:spacing w:after="0" w:before="0"/>
            </w:pPr>
            <w:r/>
            <w:r>
              <w:rPr>
                <w:b w:val="0"/>
                <w:i w:val="0"/>
                <w:sz w:val="16"/>
              </w:rPr>
              <w:t>System Planning position on ownership</w:t>
            </w:r>
          </w:p>
        </w:tc>
        <w:tc>
          <w:tcPr>
            <w:tcW w:type="dxa" w:w="792"/>
          </w:tcPr>
          <w:p>
            <w:pPr>
              <w:spacing w:after="0" w:before="0"/>
            </w:pPr>
            <w:r/>
            <w:r>
              <w:rPr>
                <w:b w:val="0"/>
                <w:i w:val="0"/>
                <w:sz w:val="16"/>
              </w:rPr>
              <w:t>Medium</w:t>
            </w:r>
          </w:p>
        </w:tc>
      </w:tr>
      <w:tr>
        <w:tc>
          <w:tcPr>
            <w:tcW w:type="dxa" w:w="504"/>
            <w:shd w:val="clear" w:color="auto" w:fill="F2F4F8"/>
          </w:tcPr>
          <w:p>
            <w:pPr>
              <w:spacing w:after="0" w:before="0"/>
            </w:pPr>
            <w:r/>
            <w:r>
              <w:rPr>
                <w:b w:val="0"/>
                <w:i w:val="0"/>
                <w:sz w:val="16"/>
              </w:rPr>
              <w:t>🟡</w:t>
            </w:r>
          </w:p>
        </w:tc>
        <w:tc>
          <w:tcPr>
            <w:tcW w:type="dxa" w:w="432"/>
            <w:shd w:val="clear" w:color="auto" w:fill="F2F4F8"/>
          </w:tcPr>
          <w:p>
            <w:pPr>
              <w:spacing w:after="0" w:before="0"/>
            </w:pPr>
            <w:r/>
            <w:r>
              <w:rPr>
                <w:b w:val="0"/>
                <w:i w:val="0"/>
                <w:sz w:val="16"/>
              </w:rPr>
              <w:t>10</w:t>
            </w:r>
          </w:p>
        </w:tc>
        <w:tc>
          <w:tcPr>
            <w:tcW w:type="dxa" w:w="2304"/>
            <w:shd w:val="clear" w:color="auto" w:fill="F2F4F8"/>
          </w:tcPr>
          <w:p>
            <w:pPr>
              <w:spacing w:after="0" w:before="0"/>
            </w:pPr>
            <w:r/>
            <w:r>
              <w:rPr>
                <w:b w:val="0"/>
                <w:i w:val="0"/>
                <w:sz w:val="16"/>
              </w:rPr>
              <w:t>Engineering $895K, 1.6% of total</w:t>
            </w:r>
          </w:p>
        </w:tc>
        <w:tc>
          <w:tcPr>
            <w:tcW w:type="dxa" w:w="3744"/>
            <w:shd w:val="clear" w:color="auto" w:fill="F2F4F8"/>
          </w:tcPr>
          <w:p>
            <w:pPr>
              <w:spacing w:after="0" w:before="0"/>
            </w:pPr>
            <w:r/>
            <w:r>
              <w:rPr>
                <w:b w:val="0"/>
                <w:i w:val="0"/>
                <w:sz w:val="16"/>
              </w:rPr>
              <w:t>First-of-a-kind station; PSCAD pending; re-base came from one email. PF Rev 3 authorized $1.5M Leidos + $402K internal to IFC.</w:t>
            </w:r>
          </w:p>
        </w:tc>
        <w:tc>
          <w:tcPr>
            <w:tcW w:type="dxa" w:w="1872"/>
            <w:shd w:val="clear" w:color="auto" w:fill="F2F4F8"/>
          </w:tcPr>
          <w:p>
            <w:pPr>
              <w:spacing w:after="0" w:before="0"/>
            </w:pPr>
            <w:r/>
            <w:r>
              <w:rPr>
                <w:b w:val="0"/>
                <w:i w:val="0"/>
                <w:sz w:val="16"/>
              </w:rPr>
              <w:t>Reconcile PF Rev 3 authorizations to $895K</w:t>
            </w:r>
          </w:p>
        </w:tc>
        <w:tc>
          <w:tcPr>
            <w:tcW w:type="dxa" w:w="792"/>
            <w:shd w:val="clear" w:color="auto" w:fill="F2F4F8"/>
          </w:tcPr>
          <w:p>
            <w:pPr>
              <w:spacing w:after="0" w:before="0"/>
            </w:pPr>
            <w:r/>
            <w:r>
              <w:rPr>
                <w:b w:val="0"/>
                <w:i w:val="0"/>
                <w:sz w:val="16"/>
              </w:rPr>
              <w:t>Medium</w:t>
            </w:r>
          </w:p>
        </w:tc>
      </w:tr>
      <w:tr>
        <w:tc>
          <w:tcPr>
            <w:tcW w:type="dxa" w:w="504"/>
          </w:tcPr>
          <w:p>
            <w:pPr>
              <w:spacing w:after="0" w:before="0"/>
            </w:pPr>
            <w:r/>
            <w:r>
              <w:rPr>
                <w:b w:val="0"/>
                <w:i w:val="0"/>
                <w:sz w:val="16"/>
              </w:rPr>
              <w:t>🟡</w:t>
            </w:r>
          </w:p>
        </w:tc>
        <w:tc>
          <w:tcPr>
            <w:tcW w:type="dxa" w:w="432"/>
          </w:tcPr>
          <w:p>
            <w:pPr>
              <w:spacing w:after="0" w:before="0"/>
            </w:pPr>
            <w:r/>
            <w:r>
              <w:rPr>
                <w:b w:val="0"/>
                <w:i w:val="0"/>
                <w:sz w:val="16"/>
              </w:rPr>
              <w:t>11</w:t>
            </w:r>
          </w:p>
        </w:tc>
        <w:tc>
          <w:tcPr>
            <w:tcW w:type="dxa" w:w="2304"/>
          </w:tcPr>
          <w:p>
            <w:pPr>
              <w:spacing w:after="0" w:before="0"/>
            </w:pPr>
            <w:r/>
            <w:r>
              <w:rPr>
                <w:b w:val="0"/>
                <w:i w:val="0"/>
                <w:sz w:val="16"/>
              </w:rPr>
              <w:t>Nomad $246K labor not visible</w:t>
            </w:r>
          </w:p>
        </w:tc>
        <w:tc>
          <w:tcPr>
            <w:tcW w:type="dxa" w:w="3744"/>
          </w:tcPr>
          <w:p>
            <w:pPr>
              <w:spacing w:after="0" w:before="0"/>
            </w:pPr>
            <w:r/>
            <w:r>
              <w:rPr>
                <w:b w:val="0"/>
                <w:i w:val="0"/>
                <w:sz w:val="16"/>
              </w:rPr>
              <w:t>To-go built from $11,860,850 material; may be dropped or double-carried in layer G.</w:t>
            </w:r>
          </w:p>
        </w:tc>
        <w:tc>
          <w:tcPr>
            <w:tcW w:type="dxa" w:w="1872"/>
          </w:tcPr>
          <w:p>
            <w:pPr>
              <w:spacing w:after="0" w:before="0"/>
            </w:pPr>
            <w:r/>
            <w:r>
              <w:rPr>
                <w:b w:val="0"/>
                <w:i w:val="0"/>
                <w:sz w:val="16"/>
              </w:rPr>
              <w:t>Line-level check</w:t>
            </w:r>
          </w:p>
        </w:tc>
        <w:tc>
          <w:tcPr>
            <w:tcW w:type="dxa" w:w="792"/>
          </w:tcPr>
          <w:p>
            <w:pPr>
              <w:spacing w:after="0" w:before="0"/>
            </w:pPr>
            <w:r/>
            <w:r>
              <w:rPr>
                <w:b w:val="0"/>
                <w:i w:val="0"/>
                <w:sz w:val="16"/>
              </w:rPr>
              <w:t>High</w:t>
            </w:r>
          </w:p>
        </w:tc>
      </w:tr>
      <w:tr>
        <w:tc>
          <w:tcPr>
            <w:tcW w:type="dxa" w:w="504"/>
            <w:shd w:val="clear" w:color="auto" w:fill="F2F4F8"/>
          </w:tcPr>
          <w:p>
            <w:pPr>
              <w:spacing w:after="0" w:before="0"/>
            </w:pPr>
            <w:r/>
            <w:r>
              <w:rPr>
                <w:b w:val="0"/>
                <w:i w:val="0"/>
                <w:sz w:val="16"/>
              </w:rPr>
              <w:t>🟡</w:t>
            </w:r>
          </w:p>
        </w:tc>
        <w:tc>
          <w:tcPr>
            <w:tcW w:type="dxa" w:w="432"/>
            <w:shd w:val="clear" w:color="auto" w:fill="F2F4F8"/>
          </w:tcPr>
          <w:p>
            <w:pPr>
              <w:spacing w:after="0" w:before="0"/>
            </w:pPr>
            <w:r/>
            <w:r>
              <w:rPr>
                <w:b w:val="0"/>
                <w:i w:val="0"/>
                <w:sz w:val="16"/>
              </w:rPr>
              <w:t>12</w:t>
            </w:r>
          </w:p>
        </w:tc>
        <w:tc>
          <w:tcPr>
            <w:tcW w:type="dxa" w:w="2304"/>
            <w:shd w:val="clear" w:color="auto" w:fill="F2F4F8"/>
          </w:tcPr>
          <w:p>
            <w:pPr>
              <w:spacing w:after="0" w:before="0"/>
            </w:pPr>
            <w:r/>
            <w:r>
              <w:rPr>
                <w:b w:val="0"/>
                <w:i w:val="0"/>
                <w:sz w:val="16"/>
              </w:rPr>
              <w:t>D-Line 24211 at $4.79M (Feb 2024)</w:t>
            </w:r>
          </w:p>
        </w:tc>
        <w:tc>
          <w:tcPr>
            <w:tcW w:type="dxa" w:w="3744"/>
            <w:shd w:val="clear" w:color="auto" w:fill="F2F4F8"/>
          </w:tcPr>
          <w:p>
            <w:pPr>
              <w:spacing w:after="0" w:before="0"/>
            </w:pPr>
            <w:r/>
            <w:r>
              <w:rPr>
                <w:b w:val="0"/>
                <w:i w:val="0"/>
                <w:sz w:val="16"/>
              </w:rPr>
              <w:t>HEG take-off reads a larger duct bank; not re-estimated in 2.5 years.</w:t>
            </w:r>
          </w:p>
        </w:tc>
        <w:tc>
          <w:tcPr>
            <w:tcW w:type="dxa" w:w="1872"/>
            <w:shd w:val="clear" w:color="auto" w:fill="F2F4F8"/>
          </w:tcPr>
          <w:p>
            <w:pPr>
              <w:spacing w:after="0" w:before="0"/>
            </w:pPr>
            <w:r/>
            <w:r>
              <w:rPr>
                <w:b w:val="0"/>
                <w:i w:val="0"/>
                <w:sz w:val="16"/>
              </w:rPr>
              <w:t>Distribution Engineering re-base</w:t>
            </w:r>
          </w:p>
        </w:tc>
        <w:tc>
          <w:tcPr>
            <w:tcW w:type="dxa" w:w="792"/>
            <w:shd w:val="clear" w:color="auto" w:fill="F2F4F8"/>
          </w:tcPr>
          <w:p>
            <w:pPr>
              <w:spacing w:after="0" w:before="0"/>
            </w:pPr>
            <w:r/>
            <w:r>
              <w:rPr>
                <w:b w:val="0"/>
                <w:i w:val="0"/>
                <w:sz w:val="16"/>
              </w:rPr>
              <w:t>Medium</w:t>
            </w:r>
          </w:p>
        </w:tc>
      </w:tr>
      <w:tr>
        <w:tc>
          <w:tcPr>
            <w:tcW w:type="dxa" w:w="504"/>
          </w:tcPr>
          <w:p>
            <w:pPr>
              <w:spacing w:after="0" w:before="0"/>
            </w:pPr>
            <w:r/>
            <w:r>
              <w:rPr>
                <w:b w:val="0"/>
                <w:i w:val="0"/>
                <w:sz w:val="16"/>
              </w:rPr>
              <w:t>🟡</w:t>
            </w:r>
          </w:p>
        </w:tc>
        <w:tc>
          <w:tcPr>
            <w:tcW w:type="dxa" w:w="432"/>
          </w:tcPr>
          <w:p>
            <w:pPr>
              <w:spacing w:after="0" w:before="0"/>
            </w:pPr>
            <w:r/>
            <w:r>
              <w:rPr>
                <w:b w:val="0"/>
                <w:i w:val="0"/>
                <w:sz w:val="16"/>
              </w:rPr>
              <w:t>13</w:t>
            </w:r>
          </w:p>
        </w:tc>
        <w:tc>
          <w:tcPr>
            <w:tcW w:type="dxa" w:w="2304"/>
          </w:tcPr>
          <w:p>
            <w:pPr>
              <w:spacing w:after="0" w:before="0"/>
            </w:pPr>
            <w:r/>
            <w:r>
              <w:rPr>
                <w:b w:val="0"/>
                <w:i w:val="0"/>
                <w:sz w:val="16"/>
              </w:rPr>
              <w:t>Benchmark placement</w:t>
            </w:r>
          </w:p>
        </w:tc>
        <w:tc>
          <w:tcPr>
            <w:tcW w:type="dxa" w:w="3744"/>
          </w:tcPr>
          <w:p>
            <w:pPr>
              <w:spacing w:after="0" w:before="0"/>
            </w:pPr>
            <w:r/>
            <w:r>
              <w:rPr>
                <w:b w:val="0"/>
                <w:i w:val="0"/>
                <w:sz w:val="16"/>
              </w:rPr>
              <w:t>All public figures are search-excerpt retrievals; reference class n = 35 with mixed scope and gross-of-incentive developer budgets.</w:t>
            </w:r>
          </w:p>
        </w:tc>
        <w:tc>
          <w:tcPr>
            <w:tcW w:type="dxa" w:w="1872"/>
          </w:tcPr>
          <w:p>
            <w:pPr>
              <w:spacing w:after="0" w:before="0"/>
            </w:pPr>
            <w:r/>
            <w:r>
              <w:rPr>
                <w:b w:val="0"/>
                <w:i w:val="0"/>
                <w:sz w:val="16"/>
              </w:rPr>
              <w:t>Verify the ten primary sources</w:t>
            </w:r>
          </w:p>
        </w:tc>
        <w:tc>
          <w:tcPr>
            <w:tcW w:type="dxa" w:w="792"/>
          </w:tcPr>
          <w:p>
            <w:pPr>
              <w:spacing w:after="0" w:before="0"/>
            </w:pPr>
            <w:r/>
            <w:r>
              <w:rPr>
                <w:b w:val="0"/>
                <w:i w:val="0"/>
                <w:sz w:val="16"/>
              </w:rPr>
              <w:t>High</w:t>
            </w:r>
          </w:p>
        </w:tc>
      </w:tr>
      <w:tr>
        <w:tc>
          <w:tcPr>
            <w:tcW w:type="dxa" w:w="504"/>
            <w:shd w:val="clear" w:color="auto" w:fill="F2F4F8"/>
          </w:tcPr>
          <w:p>
            <w:pPr>
              <w:spacing w:after="0" w:before="0"/>
            </w:pPr>
            <w:r/>
            <w:r>
              <w:rPr>
                <w:b w:val="0"/>
                <w:i w:val="0"/>
                <w:sz w:val="16"/>
              </w:rPr>
              <w:t>⚪</w:t>
            </w:r>
          </w:p>
        </w:tc>
        <w:tc>
          <w:tcPr>
            <w:tcW w:type="dxa" w:w="432"/>
            <w:shd w:val="clear" w:color="auto" w:fill="F2F4F8"/>
          </w:tcPr>
          <w:p>
            <w:pPr>
              <w:spacing w:after="0" w:before="0"/>
            </w:pPr>
            <w:r/>
            <w:r>
              <w:rPr>
                <w:b w:val="0"/>
                <w:i w:val="0"/>
                <w:sz w:val="16"/>
              </w:rPr>
              <w:t>14</w:t>
            </w:r>
          </w:p>
        </w:tc>
        <w:tc>
          <w:tcPr>
            <w:tcW w:type="dxa" w:w="2304"/>
            <w:shd w:val="clear" w:color="auto" w:fill="F2F4F8"/>
          </w:tcPr>
          <w:p>
            <w:pPr>
              <w:spacing w:after="0" w:before="0"/>
            </w:pPr>
            <w:r/>
            <w:r>
              <w:rPr>
                <w:b w:val="0"/>
                <w:i w:val="0"/>
                <w:sz w:val="16"/>
              </w:rPr>
              <w:t>AFUDC $5.0M, 8.8%</w:t>
            </w:r>
          </w:p>
        </w:tc>
        <w:tc>
          <w:tcPr>
            <w:tcW w:type="dxa" w:w="3744"/>
            <w:shd w:val="clear" w:color="auto" w:fill="F2F4F8"/>
          </w:tcPr>
          <w:p>
            <w:pPr>
              <w:spacing w:after="0" w:before="0"/>
            </w:pPr>
            <w:r/>
            <w:r>
              <w:rPr>
                <w:b w:val="0"/>
                <w:i w:val="0"/>
                <w:sz w:val="16"/>
              </w:rPr>
              <w:t>Correct given the spend curve; every month of siting slip compounds it.</w:t>
            </w:r>
          </w:p>
        </w:tc>
        <w:tc>
          <w:tcPr>
            <w:tcW w:type="dxa" w:w="1872"/>
            <w:shd w:val="clear" w:color="auto" w:fill="F2F4F8"/>
          </w:tcPr>
          <w:p>
            <w:pPr>
              <w:spacing w:after="0" w:before="0"/>
            </w:pPr>
            <w:r/>
            <w:r>
              <w:rPr>
                <w:b w:val="0"/>
                <w:i w:val="0"/>
                <w:sz w:val="16"/>
              </w:rPr>
              <w:t>None</w:t>
            </w:r>
          </w:p>
        </w:tc>
        <w:tc>
          <w:tcPr>
            <w:tcW w:type="dxa" w:w="792"/>
            <w:shd w:val="clear" w:color="auto" w:fill="F2F4F8"/>
          </w:tcPr>
          <w:p>
            <w:pPr>
              <w:spacing w:after="0" w:before="0"/>
            </w:pPr>
            <w:r/>
            <w:r>
              <w:rPr>
                <w:b w:val="0"/>
                <w:i w:val="0"/>
                <w:sz w:val="16"/>
              </w:rPr>
              <w:t>High</w:t>
            </w:r>
          </w:p>
        </w:tc>
      </w:tr>
    </w:tbl>
    <w:p>
      <w:pPr>
        <w:spacing w:after="40"/>
      </w:pPr>
    </w:p>
    <w:p>
      <w:pPr>
        <w:pStyle w:val="Heading1"/>
      </w:pPr>
      <w:r>
        <w:t>Where to be more aggressive</w:t>
      </w:r>
    </w:p>
    <w:p>
      <w:pPr>
        <w:spacing w:after="120"/>
      </w:pPr>
      <w:r>
        <w:rPr>
          <w:b w:val="0"/>
          <w:i w:val="0"/>
        </w:rPr>
        <w:t>Defensible reductions total about $3M and are conditional on KS1 closing first: escalation on the fixed-price battery ($1.13M); the four written design-basis confirmations Haugland values at $1.47M, of which the GSU count is already at four in Rev 3, so about $0.8M net; the material and tariff risk re-sized on non-battery material (about $0.5M); Station 496 testing hours if the unit-rate comparison shows them heavy. Do not cut layer E, the site risk items, the siting reserve or AFUDC. A fuller register (3 Oct 2026; deck slides 27 to 29, workbook tab Savings Register) sizes fourteen levers from the Rev 3 rows: about $5M to $7M loaded in estimate hygiene (the battery escalation, two risk lines that duplicate escalation, the Haugland deducts, the overhead basis on the vendor contract, commissioning overlap), $4M to $7M loaded in value engineering that needs a study first (the 496 relay program at 710 man-hours per relay, the five-feeder topology, the platform after geotech, a crew build-up for the battery install, the breaker and GSU package prices), and a Section 48E credit of $8M to $12M that reduces the revenue requirement rather than the estimate. Tiers A and B together are the same size as the KS1 gap; the honest planning case is a number that holds, not one that falls. The Monte Carlo's apparent headroom in the reserve exists only if the Haugland reconciliation does not move the base up; the red team's expectation is that it will.</w:t>
      </w:r>
    </w:p>
    <w:p>
      <w:pPr>
        <w:pStyle w:val="Heading1"/>
      </w:pPr>
      <w:r>
        <w:t>Base-rate check</w:t>
      </w:r>
    </w:p>
    <w:p>
      <w:pPr>
        <w:pStyle w:val="ListBullet"/>
        <w:spacing w:after="60"/>
      </w:pPr>
      <w:r>
        <w:t>This project's own history: $43.9M (Dec 2023) to $57.2M (Sep 2026), +30% before a shovel, with the battery getting cheaper in between. Rev 0 to Rev 3 in five weeks: +21%.</w:t>
      </w:r>
    </w:p>
    <w:p>
      <w:pPr>
        <w:pStyle w:val="ListBullet"/>
        <w:spacing w:after="60"/>
      </w:pPr>
      <w:r>
        <w:t>Eversource's own reference: Provincetown approved $35-45M, finished $49M.</w:t>
      </w:r>
    </w:p>
    <w:p>
      <w:pPr>
        <w:pStyle w:val="ListBullet"/>
        <w:spacing w:after="60"/>
      </w:pPr>
      <w:r>
        <w:t>Public small utility BESS, approved to actual: Fairhaven +64%, Waena +37%, Regina +31%; median about +31%.</w:t>
      </w:r>
    </w:p>
    <w:p>
      <w:pPr>
        <w:pStyle w:val="ListBullet"/>
        <w:spacing w:after="60"/>
      </w:pPr>
      <w:r>
        <w:t>Exception question: what documented property of this project justifies beating the base rate? Three real ones: 21% of cost is fixed by contract; Siemens has priced the breaker skids; Haugland is engaged pre-construction with a Class 3 estimate in hand. Together they cover roughly a third of the cost. The other two thirds have no such anchor.</w:t>
      </w:r>
    </w:p>
    <w:p>
      <w:pPr>
        <w:pStyle w:val="Heading1"/>
      </w:pPr>
      <w:r>
        <w:t>Stress tests</w:t>
      </w:r>
    </w:p>
    <w:tbl>
      <w:tblPr>
        <w:tblStyle w:val="TableGrid"/>
        <w:tblW w:type="auto" w:w="0"/>
        <w:jc w:val="center"/>
        <w:tblLayout w:type="fixed"/>
        <w:tblLook w:firstColumn="1" w:firstRow="1" w:lastColumn="0" w:lastRow="0" w:noHBand="0" w:noVBand="1" w:val="04A0"/>
      </w:tblPr>
      <w:tblGrid>
        <w:gridCol w:w="3744"/>
        <w:gridCol w:w="2880"/>
        <w:gridCol w:w="1008"/>
        <w:gridCol w:w="2016"/>
      </w:tblGrid>
      <w:tr>
        <w:tc>
          <w:tcPr>
            <w:tcW w:type="dxa" w:w="3744"/>
            <w:shd w:val="clear" w:color="auto" w:fill="001E60"/>
          </w:tcPr>
          <w:p>
            <w:pPr>
              <w:spacing w:after="0" w:before="0"/>
            </w:pPr>
            <w:r/>
            <w:r>
              <w:rPr>
                <w:b/>
                <w:i w:val="0"/>
                <w:color w:val="FFFFFF"/>
                <w:sz w:val="17"/>
              </w:rPr>
              <w:t>Scenario</w:t>
            </w:r>
          </w:p>
        </w:tc>
        <w:tc>
          <w:tcPr>
            <w:tcW w:type="dxa" w:w="2880"/>
            <w:shd w:val="clear" w:color="auto" w:fill="001E60"/>
          </w:tcPr>
          <w:p>
            <w:pPr>
              <w:spacing w:after="0" w:before="0"/>
            </w:pPr>
            <w:r/>
            <w:r>
              <w:rPr>
                <w:b/>
                <w:i w:val="0"/>
                <w:color w:val="FFFFFF"/>
                <w:sz w:val="17"/>
              </w:rPr>
              <w:t>Loaded cost</w:t>
            </w:r>
          </w:p>
        </w:tc>
        <w:tc>
          <w:tcPr>
            <w:tcW w:type="dxa" w:w="1008"/>
            <w:shd w:val="clear" w:color="auto" w:fill="001E60"/>
          </w:tcPr>
          <w:p>
            <w:pPr>
              <w:spacing w:after="0" w:before="0"/>
            </w:pPr>
            <w:r/>
            <w:r>
              <w:rPr>
                <w:b/>
                <w:i w:val="0"/>
                <w:color w:val="FFFFFF"/>
                <w:sz w:val="17"/>
              </w:rPr>
              <w:t>Date</w:t>
            </w:r>
          </w:p>
        </w:tc>
        <w:tc>
          <w:tcPr>
            <w:tcW w:type="dxa" w:w="2016"/>
            <w:shd w:val="clear" w:color="auto" w:fill="001E60"/>
          </w:tcPr>
          <w:p>
            <w:pPr>
              <w:spacing w:after="0" w:before="0"/>
            </w:pPr>
            <w:r/>
            <w:r>
              <w:rPr>
                <w:b/>
                <w:i w:val="0"/>
                <w:color w:val="FFFFFF"/>
                <w:sz w:val="17"/>
              </w:rPr>
              <w:t>Covered by $7.6M reserve?</w:t>
            </w:r>
          </w:p>
        </w:tc>
      </w:tr>
      <w:tr>
        <w:tc>
          <w:tcPr>
            <w:tcW w:type="dxa" w:w="3744"/>
          </w:tcPr>
          <w:p>
            <w:pPr>
              <w:spacing w:after="0" w:before="0"/>
            </w:pPr>
            <w:r/>
            <w:r>
              <w:rPr>
                <w:b w:val="0"/>
                <w:i w:val="0"/>
                <w:sz w:val="17"/>
              </w:rPr>
              <w:t>Construction unit costs +25% on B+D+E+G ($9.5M direct)</w:t>
            </w:r>
          </w:p>
        </w:tc>
        <w:tc>
          <w:tcPr>
            <w:tcW w:type="dxa" w:w="2880"/>
          </w:tcPr>
          <w:p>
            <w:pPr>
              <w:spacing w:after="0" w:before="0"/>
            </w:pPr>
            <w:r/>
            <w:r>
              <w:rPr>
                <w:b w:val="0"/>
                <w:i w:val="0"/>
                <w:sz w:val="17"/>
              </w:rPr>
              <w:t>+$4.0M</w:t>
            </w:r>
          </w:p>
        </w:tc>
        <w:tc>
          <w:tcPr>
            <w:tcW w:type="dxa" w:w="1008"/>
          </w:tcPr>
          <w:p>
            <w:pPr>
              <w:spacing w:after="0" w:before="0"/>
            </w:pPr>
            <w:r/>
            <w:r>
              <w:rPr>
                <w:b w:val="0"/>
                <w:i w:val="0"/>
                <w:sz w:val="17"/>
              </w:rPr>
              <w:t>0</w:t>
            </w:r>
          </w:p>
        </w:tc>
        <w:tc>
          <w:tcPr>
            <w:tcW w:type="dxa" w:w="2016"/>
          </w:tcPr>
          <w:p>
            <w:pPr>
              <w:spacing w:after="0" w:before="0"/>
            </w:pPr>
            <w:r/>
            <w:r>
              <w:rPr>
                <w:b w:val="0"/>
                <w:i w:val="0"/>
                <w:sz w:val="17"/>
              </w:rPr>
              <w:t>Yes, alone</w:t>
            </w:r>
          </w:p>
        </w:tc>
      </w:tr>
      <w:tr>
        <w:tc>
          <w:tcPr>
            <w:tcW w:type="dxa" w:w="3744"/>
            <w:shd w:val="clear" w:color="auto" w:fill="F2F4F8"/>
          </w:tcPr>
          <w:p>
            <w:pPr>
              <w:spacing w:after="0" w:before="0"/>
            </w:pPr>
            <w:r/>
            <w:r>
              <w:rPr>
                <w:b w:val="0"/>
                <w:i w:val="0"/>
                <w:sz w:val="17"/>
              </w:rPr>
              <w:t>HEG reconciliation at midpoint of the gap (+$5M direct)</w:t>
            </w:r>
          </w:p>
        </w:tc>
        <w:tc>
          <w:tcPr>
            <w:tcW w:type="dxa" w:w="2880"/>
            <w:shd w:val="clear" w:color="auto" w:fill="F2F4F8"/>
          </w:tcPr>
          <w:p>
            <w:pPr>
              <w:spacing w:after="0" w:before="0"/>
            </w:pPr>
            <w:r/>
            <w:r>
              <w:rPr>
                <w:b w:val="0"/>
                <w:i w:val="0"/>
                <w:sz w:val="17"/>
              </w:rPr>
              <w:t>+$8.4M</w:t>
            </w:r>
          </w:p>
        </w:tc>
        <w:tc>
          <w:tcPr>
            <w:tcW w:type="dxa" w:w="1008"/>
            <w:shd w:val="clear" w:color="auto" w:fill="F2F4F8"/>
          </w:tcPr>
          <w:p>
            <w:pPr>
              <w:spacing w:after="0" w:before="0"/>
            </w:pPr>
            <w:r/>
            <w:r>
              <w:rPr>
                <w:b w:val="0"/>
                <w:i w:val="0"/>
                <w:sz w:val="17"/>
              </w:rPr>
              <w:t>0</w:t>
            </w:r>
          </w:p>
        </w:tc>
        <w:tc>
          <w:tcPr>
            <w:tcW w:type="dxa" w:w="2016"/>
            <w:shd w:val="clear" w:color="auto" w:fill="F2F4F8"/>
          </w:tcPr>
          <w:p>
            <w:pPr>
              <w:spacing w:after="0" w:before="0"/>
            </w:pPr>
            <w:r/>
            <w:r>
              <w:rPr>
                <w:b w:val="0"/>
                <w:i w:val="0"/>
                <w:sz w:val="17"/>
              </w:rPr>
              <w:t>No</w:t>
            </w:r>
          </w:p>
        </w:tc>
      </w:tr>
      <w:tr>
        <w:tc>
          <w:tcPr>
            <w:tcW w:type="dxa" w:w="3744"/>
          </w:tcPr>
          <w:p>
            <w:pPr>
              <w:spacing w:after="0" w:before="0"/>
            </w:pPr>
            <w:r/>
            <w:r>
              <w:rPr>
                <w:b w:val="0"/>
                <w:i w:val="0"/>
                <w:sz w:val="17"/>
              </w:rPr>
              <w:t>Schedule +12 months (siting or long-lead)</w:t>
            </w:r>
          </w:p>
        </w:tc>
        <w:tc>
          <w:tcPr>
            <w:tcW w:type="dxa" w:w="2880"/>
          </w:tcPr>
          <w:p>
            <w:pPr>
              <w:spacing w:after="0" w:before="0"/>
            </w:pPr>
            <w:r/>
            <w:r>
              <w:rPr>
                <w:b w:val="0"/>
                <w:i w:val="0"/>
                <w:sz w:val="17"/>
              </w:rPr>
              <w:t>~+$5M (AFUDC ~$3.2M, escalation ~$0.5M, PM/CR ~$0.9M, indirects ~$0.5M)</w:t>
            </w:r>
          </w:p>
        </w:tc>
        <w:tc>
          <w:tcPr>
            <w:tcW w:type="dxa" w:w="1008"/>
          </w:tcPr>
          <w:p>
            <w:pPr>
              <w:spacing w:after="0" w:before="0"/>
            </w:pPr>
            <w:r/>
            <w:r>
              <w:rPr>
                <w:b w:val="0"/>
                <w:i w:val="0"/>
                <w:sz w:val="17"/>
              </w:rPr>
              <w:t>+12 mo</w:t>
            </w:r>
          </w:p>
        </w:tc>
        <w:tc>
          <w:tcPr>
            <w:tcW w:type="dxa" w:w="2016"/>
          </w:tcPr>
          <w:p>
            <w:pPr>
              <w:spacing w:after="0" w:before="0"/>
            </w:pPr>
            <w:r/>
            <w:r>
              <w:rPr>
                <w:b w:val="0"/>
                <w:i w:val="0"/>
                <w:sz w:val="17"/>
              </w:rPr>
              <w:t>Partly ($2.6M contingency + $0.55M named)</w:t>
            </w:r>
          </w:p>
        </w:tc>
      </w:tr>
      <w:tr>
        <w:tc>
          <w:tcPr>
            <w:tcW w:type="dxa" w:w="3744"/>
            <w:shd w:val="clear" w:color="auto" w:fill="F2F4F8"/>
          </w:tcPr>
          <w:p>
            <w:pPr>
              <w:spacing w:after="0" w:before="0"/>
            </w:pPr>
            <w:r/>
            <w:r>
              <w:rPr>
                <w:b w:val="0"/>
                <w:i w:val="0"/>
                <w:sz w:val="17"/>
              </w:rPr>
              <w:t>EFSB zoning exemption path</w:t>
            </w:r>
          </w:p>
        </w:tc>
        <w:tc>
          <w:tcPr>
            <w:tcW w:type="dxa" w:w="2880"/>
            <w:shd w:val="clear" w:color="auto" w:fill="F2F4F8"/>
          </w:tcPr>
          <w:p>
            <w:pPr>
              <w:spacing w:after="0" w:before="0"/>
            </w:pPr>
            <w:r/>
            <w:r>
              <w:rPr>
                <w:b w:val="0"/>
                <w:i w:val="0"/>
                <w:sz w:val="17"/>
              </w:rPr>
              <w:t>~+$8M to +$10M plus legal and container storage</w:t>
            </w:r>
          </w:p>
        </w:tc>
        <w:tc>
          <w:tcPr>
            <w:tcW w:type="dxa" w:w="1008"/>
            <w:shd w:val="clear" w:color="auto" w:fill="F2F4F8"/>
          </w:tcPr>
          <w:p>
            <w:pPr>
              <w:spacing w:after="0" w:before="0"/>
            </w:pPr>
            <w:r/>
            <w:r>
              <w:rPr>
                <w:b w:val="0"/>
                <w:i w:val="0"/>
                <w:sz w:val="17"/>
              </w:rPr>
              <w:t>+18-24 mo</w:t>
            </w:r>
          </w:p>
        </w:tc>
        <w:tc>
          <w:tcPr>
            <w:tcW w:type="dxa" w:w="2016"/>
            <w:shd w:val="clear" w:color="auto" w:fill="F2F4F8"/>
          </w:tcPr>
          <w:p>
            <w:pPr>
              <w:spacing w:after="0" w:before="0"/>
            </w:pPr>
            <w:r/>
            <w:r>
              <w:rPr>
                <w:b w:val="0"/>
                <w:i w:val="0"/>
                <w:sz w:val="17"/>
              </w:rPr>
              <w:t>No</w:t>
            </w:r>
          </w:p>
        </w:tc>
      </w:tr>
      <w:tr>
        <w:tc>
          <w:tcPr>
            <w:tcW w:type="dxa" w:w="3744"/>
          </w:tcPr>
          <w:p>
            <w:pPr>
              <w:spacing w:after="0" w:before="0"/>
            </w:pPr>
            <w:r/>
            <w:r>
              <w:rPr>
                <w:b w:val="0"/>
                <w:i w:val="0"/>
                <w:sz w:val="17"/>
              </w:rPr>
              <w:t>Contractor bids +20% over estimate labor ($6.4M)</w:t>
            </w:r>
          </w:p>
        </w:tc>
        <w:tc>
          <w:tcPr>
            <w:tcW w:type="dxa" w:w="2880"/>
          </w:tcPr>
          <w:p>
            <w:pPr>
              <w:spacing w:after="0" w:before="0"/>
            </w:pPr>
            <w:r/>
            <w:r>
              <w:rPr>
                <w:b w:val="0"/>
                <w:i w:val="0"/>
                <w:sz w:val="17"/>
              </w:rPr>
              <w:t>+$2.1M</w:t>
            </w:r>
          </w:p>
        </w:tc>
        <w:tc>
          <w:tcPr>
            <w:tcW w:type="dxa" w:w="1008"/>
          </w:tcPr>
          <w:p>
            <w:pPr>
              <w:spacing w:after="0" w:before="0"/>
            </w:pPr>
            <w:r/>
            <w:r>
              <w:rPr>
                <w:b w:val="0"/>
                <w:i w:val="0"/>
                <w:sz w:val="17"/>
              </w:rPr>
              <w:t>0</w:t>
            </w:r>
          </w:p>
        </w:tc>
        <w:tc>
          <w:tcPr>
            <w:tcW w:type="dxa" w:w="2016"/>
          </w:tcPr>
          <w:p>
            <w:pPr>
              <w:spacing w:after="0" w:before="0"/>
            </w:pPr>
            <w:r/>
            <w:r>
              <w:rPr>
                <w:b w:val="0"/>
                <w:i w:val="0"/>
                <w:sz w:val="17"/>
              </w:rPr>
              <w:t>Yes, alone</w:t>
            </w:r>
          </w:p>
        </w:tc>
      </w:tr>
      <w:tr>
        <w:tc>
          <w:tcPr>
            <w:tcW w:type="dxa" w:w="3744"/>
            <w:shd w:val="clear" w:color="auto" w:fill="F2F4F8"/>
          </w:tcPr>
          <w:p>
            <w:pPr>
              <w:spacing w:after="0" w:before="0"/>
            </w:pPr>
            <w:r/>
            <w:r>
              <w:rPr>
                <w:b w:val="0"/>
                <w:i w:val="0"/>
                <w:sz w:val="17"/>
              </w:rPr>
              <w:t>Combination: HEG midpoint + 12-month slip</w:t>
            </w:r>
          </w:p>
        </w:tc>
        <w:tc>
          <w:tcPr>
            <w:tcW w:type="dxa" w:w="2880"/>
            <w:shd w:val="clear" w:color="auto" w:fill="F2F4F8"/>
          </w:tcPr>
          <w:p>
            <w:pPr>
              <w:spacing w:after="0" w:before="0"/>
            </w:pPr>
            <w:r/>
            <w:r>
              <w:rPr>
                <w:b w:val="0"/>
                <w:i w:val="0"/>
                <w:sz w:val="17"/>
              </w:rPr>
              <w:t>~+$13M (approval level to ~$70M, +23%)</w:t>
            </w:r>
          </w:p>
        </w:tc>
        <w:tc>
          <w:tcPr>
            <w:tcW w:type="dxa" w:w="1008"/>
            <w:shd w:val="clear" w:color="auto" w:fill="F2F4F8"/>
          </w:tcPr>
          <w:p>
            <w:pPr>
              <w:spacing w:after="0" w:before="0"/>
            </w:pPr>
            <w:r/>
            <w:r>
              <w:rPr>
                <w:b w:val="0"/>
                <w:i w:val="0"/>
                <w:sz w:val="17"/>
              </w:rPr>
              <w:t>+12 mo</w:t>
            </w:r>
          </w:p>
        </w:tc>
        <w:tc>
          <w:tcPr>
            <w:tcW w:type="dxa" w:w="2016"/>
            <w:shd w:val="clear" w:color="auto" w:fill="F2F4F8"/>
          </w:tcPr>
          <w:p>
            <w:pPr>
              <w:spacing w:after="0" w:before="0"/>
            </w:pPr>
            <w:r/>
            <w:r>
              <w:rPr>
                <w:b w:val="0"/>
                <w:i w:val="0"/>
                <w:sz w:val="17"/>
              </w:rPr>
              <w:t>No</w:t>
            </w:r>
          </w:p>
        </w:tc>
      </w:tr>
      <w:tr>
        <w:tc>
          <w:tcPr>
            <w:tcW w:type="dxa" w:w="3744"/>
          </w:tcPr>
          <w:p>
            <w:pPr>
              <w:spacing w:after="0" w:before="0"/>
            </w:pPr>
            <w:r/>
            <w:r>
              <w:rPr>
                <w:b w:val="0"/>
                <w:i w:val="0"/>
                <w:sz w:val="17"/>
              </w:rPr>
              <w:t>Battery change orders at the LD cap (10%)</w:t>
            </w:r>
          </w:p>
        </w:tc>
        <w:tc>
          <w:tcPr>
            <w:tcW w:type="dxa" w:w="2880"/>
          </w:tcPr>
          <w:p>
            <w:pPr>
              <w:spacing w:after="0" w:before="0"/>
            </w:pPr>
            <w:r/>
            <w:r>
              <w:rPr>
                <w:b w:val="0"/>
                <w:i w:val="0"/>
                <w:sz w:val="17"/>
              </w:rPr>
              <w:t>+$1.2M</w:t>
            </w:r>
          </w:p>
        </w:tc>
        <w:tc>
          <w:tcPr>
            <w:tcW w:type="dxa" w:w="1008"/>
          </w:tcPr>
          <w:p>
            <w:pPr>
              <w:spacing w:after="0" w:before="0"/>
            </w:pPr>
            <w:r/>
            <w:r>
              <w:rPr>
                <w:b w:val="0"/>
                <w:i w:val="0"/>
                <w:sz w:val="17"/>
              </w:rPr>
              <w:t>0</w:t>
            </w:r>
          </w:p>
        </w:tc>
        <w:tc>
          <w:tcPr>
            <w:tcW w:type="dxa" w:w="2016"/>
          </w:tcPr>
          <w:p>
            <w:pPr>
              <w:spacing w:after="0" w:before="0"/>
            </w:pPr>
            <w:r/>
            <w:r>
              <w:rPr>
                <w:b w:val="0"/>
                <w:i w:val="0"/>
                <w:sz w:val="17"/>
              </w:rPr>
              <w:t>Yes</w:t>
            </w:r>
          </w:p>
        </w:tc>
      </w:tr>
    </w:tbl>
    <w:p>
      <w:pPr>
        <w:spacing w:after="40"/>
      </w:pPr>
    </w:p>
    <w:p>
      <w:pPr>
        <w:spacing w:after="120"/>
      </w:pPr>
      <w:r>
        <w:rPr>
          <w:b w:val="0"/>
          <w:i w:val="0"/>
          <w:color w:val="595959"/>
          <w:sz w:val="19"/>
        </w:rPr>
        <w:t>Untestable from the package: tariff or change-in-law pass-through on the Nomad price (Exhibit C terms not provided); the AFUDC rate (assumed about 7% on CWIP); Station 496 outage-window premium (no outage plan; Haugland item 24 puts affected hours at a 1.70 factor instead of 1.35); FEOC and ITC eligibility effect on net cost.</w:t>
      </w:r>
    </w:p>
    <w:p>
      <w:pPr>
        <w:pStyle w:val="Heading1"/>
      </w:pPr>
      <w:r>
        <w:t>Risk-register audit</w:t>
      </w:r>
    </w:p>
    <w:p>
      <w:pPr>
        <w:spacing w:after="120"/>
      </w:pPr>
      <w:r>
        <w:rPr>
          <w:b w:val="0"/>
          <w:i w:val="0"/>
        </w:rPr>
        <w:t>Curation tells present: all twelve values are round numbers; no basis column populated; no item exceeds contingency; no probability or correlation; every item is a cost overrun, none is a scope or decision risk. Exposure arithmetic: register $5.3M plus contingency $2.28M equals $7.58M on Station 360, 17.9% of approval level less reserves. The element-level Monte Carlo needs $3.4M (base) to $6.2M (wide) to reach P80; the reference-class uplift median is +31%. The register is adequate against its own element ranges and thin against outside history. Double-count: the $1.0M material and tariff risk overlaps both the fixed battery price and the 3% per year escalation already in the lines. Missing families: siting denial as a decision risk, commissioning-window ownership, counterparty, concurrent-project resource competition, FEOC.</w:t>
      </w:r>
    </w:p>
    <w:p>
      <w:pPr>
        <w:pStyle w:val="Heading1"/>
      </w:pPr>
      <w:r>
        <w:t>Pre-mortem</w:t>
      </w:r>
    </w:p>
    <w:p>
      <w:pPr>
        <w:spacing w:after="120"/>
      </w:pPr>
      <w:r>
        <w:rPr>
          <w:b w:val="0"/>
          <w:i/>
        </w:rPr>
        <w:t>It is June 2031. Hyde Park BESS went into service in March 2030, fifteen months late, at $74M. The ZBA hearing in late 2027 drew the abutters who had raised open-land and traffic concerns since 2024; the Board conditioned approval on a redesigned screening plan and a smaller footprint, which sent the civil package back through Haugland in the winter of 2028. The borings, finally drilled in the spring of 2027, found debris deeper than the 2014 closure set showed, and the platform went from 2.5 ft of fill to a piled solution; the Haugland reconciliation that had never been done was done in a change order. Nomad's twelve containers arrived on schedule in January 2028 and sat in a rented yard for nine months, with the remote-support clock and the warranty extension running from Final Acceptance dates that kept moving. Station 496's relay cutovers needed night outage windows the estimate had priced at straight time. AFUDC alone added $4M. The full-funding PAF had said Conceptual, -25/+50%, but everyone remembered $57M.</w:t>
      </w:r>
    </w:p>
    <w:tbl>
      <w:tblPr>
        <w:tblStyle w:val="TableGrid"/>
        <w:tblW w:type="auto" w:w="0"/>
        <w:jc w:val="center"/>
        <w:tblLayout w:type="fixed"/>
        <w:tblLook w:firstColumn="1" w:firstRow="1" w:lastColumn="0" w:lastRow="0" w:noHBand="0" w:noVBand="1" w:val="04A0"/>
      </w:tblPr>
      <w:tblGrid>
        <w:gridCol w:w="5184"/>
        <w:gridCol w:w="4464"/>
      </w:tblGrid>
      <w:tr>
        <w:tc>
          <w:tcPr>
            <w:tcW w:type="dxa" w:w="5184"/>
            <w:shd w:val="clear" w:color="auto" w:fill="001E60"/>
          </w:tcPr>
          <w:p>
            <w:pPr>
              <w:spacing w:after="0" w:before="0"/>
            </w:pPr>
            <w:r/>
            <w:r>
              <w:rPr>
                <w:b/>
                <w:i w:val="0"/>
                <w:color w:val="FFFFFF"/>
                <w:sz w:val="18"/>
              </w:rPr>
              <w:t>Early-warning indicator</w:t>
            </w:r>
          </w:p>
        </w:tc>
        <w:tc>
          <w:tcPr>
            <w:tcW w:type="dxa" w:w="4464"/>
            <w:shd w:val="clear" w:color="auto" w:fill="001E60"/>
          </w:tcPr>
          <w:p>
            <w:pPr>
              <w:spacing w:after="0" w:before="0"/>
            </w:pPr>
            <w:r/>
            <w:r>
              <w:rPr>
                <w:b/>
                <w:i w:val="0"/>
                <w:color w:val="FFFFFF"/>
                <w:sz w:val="18"/>
              </w:rPr>
              <w:t>Would current controls catch it?</w:t>
            </w:r>
          </w:p>
        </w:tc>
      </w:tr>
      <w:tr>
        <w:tc>
          <w:tcPr>
            <w:tcW w:type="dxa" w:w="5184"/>
          </w:tcPr>
          <w:p>
            <w:pPr>
              <w:spacing w:after="0" w:before="0"/>
            </w:pPr>
            <w:r/>
            <w:r>
              <w:rPr>
                <w:b w:val="0"/>
                <w:i w:val="0"/>
                <w:sz w:val="18"/>
              </w:rPr>
              <w:t>Geotech report not issued by IFC-civil design freeze (mid-2027)</w:t>
            </w:r>
          </w:p>
        </w:tc>
        <w:tc>
          <w:tcPr>
            <w:tcW w:type="dxa" w:w="4464"/>
          </w:tcPr>
          <w:p>
            <w:pPr>
              <w:spacing w:after="0" w:before="0"/>
            </w:pPr>
            <w:r/>
            <w:r>
              <w:rPr>
                <w:b w:val="0"/>
                <w:i w:val="0"/>
                <w:sz w:val="18"/>
              </w:rPr>
              <w:t>No: no P6 gate ties IFC to the report</w:t>
            </w:r>
          </w:p>
        </w:tc>
      </w:tr>
      <w:tr>
        <w:tc>
          <w:tcPr>
            <w:tcW w:type="dxa" w:w="5184"/>
            <w:shd w:val="clear" w:color="auto" w:fill="F2F4F8"/>
          </w:tcPr>
          <w:p>
            <w:pPr>
              <w:spacing w:after="0" w:before="0"/>
            </w:pPr>
            <w:r/>
            <w:r>
              <w:rPr>
                <w:b w:val="0"/>
                <w:i w:val="0"/>
                <w:sz w:val="18"/>
              </w:rPr>
              <w:t>ZBA hearing date not set within 90 days of Article 80 filing</w:t>
            </w:r>
          </w:p>
        </w:tc>
        <w:tc>
          <w:tcPr>
            <w:tcW w:type="dxa" w:w="4464"/>
            <w:shd w:val="clear" w:color="auto" w:fill="F2F4F8"/>
          </w:tcPr>
          <w:p>
            <w:pPr>
              <w:spacing w:after="0" w:before="0"/>
            </w:pPr>
            <w:r/>
            <w:r>
              <w:rPr>
                <w:b w:val="0"/>
                <w:i w:val="0"/>
                <w:sz w:val="18"/>
              </w:rPr>
              <w:t>No: siting carries hours, not milestones</w:t>
            </w:r>
          </w:p>
        </w:tc>
      </w:tr>
      <w:tr>
        <w:tc>
          <w:tcPr>
            <w:tcW w:type="dxa" w:w="5184"/>
          </w:tcPr>
          <w:p>
            <w:pPr>
              <w:spacing w:after="0" w:before="0"/>
            </w:pPr>
            <w:r/>
            <w:r>
              <w:rPr>
                <w:b w:val="0"/>
                <w:i w:val="0"/>
                <w:sz w:val="18"/>
              </w:rPr>
              <w:t>HEG reconciliation not closed before the PAF is drafted (Nov 2026)</w:t>
            </w:r>
          </w:p>
        </w:tc>
        <w:tc>
          <w:tcPr>
            <w:tcW w:type="dxa" w:w="4464"/>
          </w:tcPr>
          <w:p>
            <w:pPr>
              <w:spacing w:after="0" w:before="0"/>
            </w:pPr>
            <w:r/>
            <w:r>
              <w:rPr>
                <w:b w:val="0"/>
                <w:i w:val="0"/>
                <w:sz w:val="18"/>
              </w:rPr>
              <w:t>Only if the CoE makes it a PAF precondition</w:t>
            </w:r>
          </w:p>
        </w:tc>
      </w:tr>
      <w:tr>
        <w:tc>
          <w:tcPr>
            <w:tcW w:type="dxa" w:w="5184"/>
            <w:shd w:val="clear" w:color="auto" w:fill="F2F4F8"/>
          </w:tcPr>
          <w:p>
            <w:pPr>
              <w:spacing w:after="0" w:before="0"/>
            </w:pPr>
            <w:r/>
            <w:r>
              <w:rPr>
                <w:b w:val="0"/>
                <w:i w:val="0"/>
                <w:sz w:val="18"/>
              </w:rPr>
              <w:t>Nomad final-drawings milestone (13 Jul 2026 in C-2) slipped</w:t>
            </w:r>
          </w:p>
        </w:tc>
        <w:tc>
          <w:tcPr>
            <w:tcW w:type="dxa" w:w="4464"/>
            <w:shd w:val="clear" w:color="auto" w:fill="F2F4F8"/>
          </w:tcPr>
          <w:p>
            <w:pPr>
              <w:spacing w:after="0" w:before="0"/>
            </w:pPr>
            <w:r/>
            <w:r>
              <w:rPr>
                <w:b w:val="0"/>
                <w:i w:val="0"/>
                <w:sz w:val="18"/>
              </w:rPr>
              <w:t>Partly: payments tracked, not the downstream effect on GSU spec and civil</w:t>
            </w:r>
          </w:p>
        </w:tc>
      </w:tr>
      <w:tr>
        <w:tc>
          <w:tcPr>
            <w:tcW w:type="dxa" w:w="5184"/>
          </w:tcPr>
          <w:p>
            <w:pPr>
              <w:spacing w:after="0" w:before="0"/>
            </w:pPr>
            <w:r/>
            <w:r>
              <w:rPr>
                <w:b w:val="0"/>
                <w:i w:val="0"/>
                <w:sz w:val="18"/>
              </w:rPr>
              <w:t>Station 496 outage plan not issued before construction pricing</w:t>
            </w:r>
          </w:p>
        </w:tc>
        <w:tc>
          <w:tcPr>
            <w:tcW w:type="dxa" w:w="4464"/>
          </w:tcPr>
          <w:p>
            <w:pPr>
              <w:spacing w:after="0" w:before="0"/>
            </w:pPr>
            <w:r/>
            <w:r>
              <w:rPr>
                <w:b w:val="0"/>
                <w:i w:val="0"/>
                <w:sz w:val="18"/>
              </w:rPr>
              <w:t>No</w:t>
            </w:r>
          </w:p>
        </w:tc>
      </w:tr>
    </w:tbl>
    <w:p>
      <w:pPr>
        <w:spacing w:after="40"/>
      </w:pPr>
    </w:p>
    <w:p>
      <w:pPr>
        <w:pStyle w:val="Heading1"/>
      </w:pPr>
      <w:r>
        <w:t>What would change our mind</w:t>
      </w:r>
    </w:p>
    <w:tbl>
      <w:tblPr>
        <w:tblStyle w:val="TableGrid"/>
        <w:tblW w:type="auto" w:w="0"/>
        <w:jc w:val="center"/>
        <w:tblLayout w:type="fixed"/>
        <w:tblLook w:firstColumn="1" w:firstRow="1" w:lastColumn="0" w:lastRow="0" w:noHBand="0" w:noVBand="1" w:val="04A0"/>
      </w:tblPr>
      <w:tblGrid>
        <w:gridCol w:w="2016"/>
        <w:gridCol w:w="7632"/>
      </w:tblGrid>
      <w:tr>
        <w:tc>
          <w:tcPr>
            <w:tcW w:type="dxa" w:w="2016"/>
            <w:shd w:val="clear" w:color="auto" w:fill="001E60"/>
          </w:tcPr>
          <w:p>
            <w:pPr>
              <w:spacing w:after="0" w:before="0"/>
            </w:pPr>
            <w:r/>
            <w:r>
              <w:rPr>
                <w:b/>
                <w:i w:val="0"/>
                <w:color w:val="FFFFFF"/>
                <w:sz w:val="18"/>
              </w:rPr>
              <w:t>Challenge</w:t>
            </w:r>
          </w:p>
        </w:tc>
        <w:tc>
          <w:tcPr>
            <w:tcW w:type="dxa" w:w="7632"/>
            <w:shd w:val="clear" w:color="auto" w:fill="001E60"/>
          </w:tcPr>
          <w:p>
            <w:pPr>
              <w:spacing w:after="0" w:before="0"/>
            </w:pPr>
            <w:r/>
            <w:r>
              <w:rPr>
                <w:b/>
                <w:i w:val="0"/>
                <w:color w:val="FFFFFF"/>
                <w:sz w:val="18"/>
              </w:rPr>
              <w:t>Retiring evidence</w:t>
            </w:r>
          </w:p>
        </w:tc>
      </w:tr>
      <w:tr>
        <w:tc>
          <w:tcPr>
            <w:tcW w:type="dxa" w:w="2016"/>
          </w:tcPr>
          <w:p>
            <w:pPr>
              <w:spacing w:after="0" w:before="0"/>
            </w:pPr>
            <w:r/>
            <w:r>
              <w:rPr>
                <w:b w:val="0"/>
                <w:i w:val="0"/>
                <w:sz w:val="18"/>
              </w:rPr>
              <w:t>KS1 / #1</w:t>
            </w:r>
          </w:p>
        </w:tc>
        <w:tc>
          <w:tcPr>
            <w:tcW w:type="dxa" w:w="7632"/>
          </w:tcPr>
          <w:p>
            <w:pPr>
              <w:spacing w:after="0" w:before="0"/>
            </w:pPr>
            <w:r/>
            <w:r>
              <w:rPr>
                <w:b w:val="0"/>
                <w:i w:val="0"/>
                <w:sz w:val="18"/>
              </w:rPr>
              <w:t>Signed HEG-to-Rev 3 scope map showing the gap is 24211 and platform scope already in E, with the residual under $2M</w:t>
            </w:r>
          </w:p>
        </w:tc>
      </w:tr>
      <w:tr>
        <w:tc>
          <w:tcPr>
            <w:tcW w:type="dxa" w:w="2016"/>
            <w:shd w:val="clear" w:color="auto" w:fill="F2F4F8"/>
          </w:tcPr>
          <w:p>
            <w:pPr>
              <w:spacing w:after="0" w:before="0"/>
            </w:pPr>
            <w:r/>
            <w:r>
              <w:rPr>
                <w:b w:val="0"/>
                <w:i w:val="0"/>
                <w:sz w:val="18"/>
              </w:rPr>
              <w:t>KS2 / #2, #9</w:t>
            </w:r>
          </w:p>
        </w:tc>
        <w:tc>
          <w:tcPr>
            <w:tcW w:type="dxa" w:w="7632"/>
            <w:shd w:val="clear" w:color="auto" w:fill="F2F4F8"/>
          </w:tcPr>
          <w:p>
            <w:pPr>
              <w:spacing w:after="0" w:before="0"/>
            </w:pPr>
            <w:r/>
            <w:r>
              <w:rPr>
                <w:b w:val="0"/>
                <w:i w:val="0"/>
                <w:sz w:val="18"/>
              </w:rPr>
              <w:t>Article 80 filed, ZBA calendar in hand, P6 showing at least 3 months of float on the siting chain, System Planning memo on spot generation ownership</w:t>
            </w:r>
          </w:p>
        </w:tc>
      </w:tr>
      <w:tr>
        <w:tc>
          <w:tcPr>
            <w:tcW w:type="dxa" w:w="2016"/>
          </w:tcPr>
          <w:p>
            <w:pPr>
              <w:spacing w:after="0" w:before="0"/>
            </w:pPr>
            <w:r/>
            <w:r>
              <w:rPr>
                <w:b w:val="0"/>
                <w:i w:val="0"/>
                <w:sz w:val="18"/>
              </w:rPr>
              <w:t>KS3 / #3, #4, #5</w:t>
            </w:r>
          </w:p>
        </w:tc>
        <w:tc>
          <w:tcPr>
            <w:tcW w:type="dxa" w:w="7632"/>
          </w:tcPr>
          <w:p>
            <w:pPr>
              <w:spacing w:after="0" w:before="0"/>
            </w:pPr>
            <w:r/>
            <w:r>
              <w:rPr>
                <w:b w:val="0"/>
                <w:i w:val="0"/>
                <w:sz w:val="18"/>
              </w:rPr>
              <w:t>Geotech report, crew build-up for battery install, HMA fixing the footprint; then Class 3 with -15/+25%</w:t>
            </w:r>
          </w:p>
        </w:tc>
      </w:tr>
      <w:tr>
        <w:tc>
          <w:tcPr>
            <w:tcW w:type="dxa" w:w="2016"/>
            <w:shd w:val="clear" w:color="auto" w:fill="F2F4F8"/>
          </w:tcPr>
          <w:p>
            <w:pPr>
              <w:spacing w:after="0" w:before="0"/>
            </w:pPr>
            <w:r/>
            <w:r>
              <w:rPr>
                <w:b w:val="0"/>
                <w:i w:val="0"/>
                <w:sz w:val="18"/>
              </w:rPr>
              <w:t>#6</w:t>
            </w:r>
          </w:p>
        </w:tc>
        <w:tc>
          <w:tcPr>
            <w:tcW w:type="dxa" w:w="7632"/>
            <w:shd w:val="clear" w:color="auto" w:fill="F2F4F8"/>
          </w:tcPr>
          <w:p>
            <w:pPr>
              <w:spacing w:after="0" w:before="0"/>
            </w:pPr>
            <w:r/>
            <w:r>
              <w:rPr>
                <w:b w:val="0"/>
                <w:i w:val="0"/>
                <w:sz w:val="18"/>
              </w:rPr>
              <w:t>Two EMA relay-replacement actuals within 30% of $362K per relay</w:t>
            </w:r>
          </w:p>
        </w:tc>
      </w:tr>
      <w:tr>
        <w:tc>
          <w:tcPr>
            <w:tcW w:type="dxa" w:w="2016"/>
          </w:tcPr>
          <w:p>
            <w:pPr>
              <w:spacing w:after="0" w:before="0"/>
            </w:pPr>
            <w:r/>
            <w:r>
              <w:rPr>
                <w:b w:val="0"/>
                <w:i w:val="0"/>
                <w:sz w:val="18"/>
              </w:rPr>
              <w:t>#7</w:t>
            </w:r>
          </w:p>
        </w:tc>
        <w:tc>
          <w:tcPr>
            <w:tcW w:type="dxa" w:w="7632"/>
          </w:tcPr>
          <w:p>
            <w:pPr>
              <w:spacing w:after="0" w:before="0"/>
            </w:pPr>
            <w:r/>
            <w:r>
              <w:rPr>
                <w:b w:val="0"/>
                <w:i w:val="0"/>
                <w:sz w:val="18"/>
              </w:rPr>
              <w:t>Exhibit C clause showing tariff or change-in-law pass-through; otherwise remove or re-label</w:t>
            </w:r>
          </w:p>
        </w:tc>
      </w:tr>
      <w:tr>
        <w:tc>
          <w:tcPr>
            <w:tcW w:type="dxa" w:w="2016"/>
            <w:shd w:val="clear" w:color="auto" w:fill="F2F4F8"/>
          </w:tcPr>
          <w:p>
            <w:pPr>
              <w:spacing w:after="0" w:before="0"/>
            </w:pPr>
            <w:r/>
            <w:r>
              <w:rPr>
                <w:b w:val="0"/>
                <w:i w:val="0"/>
                <w:sz w:val="18"/>
              </w:rPr>
              <w:t>#8</w:t>
            </w:r>
          </w:p>
        </w:tc>
        <w:tc>
          <w:tcPr>
            <w:tcW w:type="dxa" w:w="7632"/>
            <w:shd w:val="clear" w:color="auto" w:fill="F2F4F8"/>
          </w:tcPr>
          <w:p>
            <w:pPr>
              <w:spacing w:after="0" w:before="0"/>
            </w:pPr>
            <w:r/>
            <w:r>
              <w:rPr>
                <w:b w:val="0"/>
                <w:i w:val="0"/>
                <w:sz w:val="18"/>
              </w:rPr>
              <w:t>Range-estimating session output with P50/P80 per item and stated correlation</w:t>
            </w:r>
          </w:p>
        </w:tc>
      </w:tr>
      <w:tr>
        <w:tc>
          <w:tcPr>
            <w:tcW w:type="dxa" w:w="2016"/>
          </w:tcPr>
          <w:p>
            <w:pPr>
              <w:spacing w:after="0" w:before="0"/>
            </w:pPr>
            <w:r/>
            <w:r>
              <w:rPr>
                <w:b w:val="0"/>
                <w:i w:val="0"/>
                <w:sz w:val="18"/>
              </w:rPr>
              <w:t>#13</w:t>
            </w:r>
          </w:p>
        </w:tc>
        <w:tc>
          <w:tcPr>
            <w:tcW w:type="dxa" w:w="7632"/>
          </w:tcPr>
          <w:p>
            <w:pPr>
              <w:spacing w:after="0" w:before="0"/>
            </w:pPr>
            <w:r/>
            <w:r>
              <w:rPr>
                <w:b w:val="0"/>
                <w:i w:val="0"/>
                <w:sz w:val="18"/>
              </w:rPr>
              <w:t>The ten primary sources verified; reference class re-run</w:t>
            </w:r>
          </w:p>
        </w:tc>
      </w:tr>
    </w:tbl>
    <w:p>
      <w:pPr>
        <w:spacing w:after="40"/>
      </w:pPr>
    </w:p>
    <w:p>
      <w:pPr>
        <w:pStyle w:val="Heading1"/>
      </w:pPr>
      <w:r>
        <w:t>Certification</w:t>
      </w:r>
    </w:p>
    <w:p>
      <w:pPr>
        <w:spacing w:after="120"/>
      </w:pPr>
      <w:r>
        <w:rPr>
          <w:b w:val="0"/>
          <w:i w:val="0"/>
        </w:rPr>
        <w:t>Tested: the layer extraction arithmetic (reconciles), the benchmark placement, the risk and contingency sizing against both an element Monte Carlo and outside base rates, seven stress scenarios, and the schedule logic as stated in the PAF. Not tested: Haugland's estimate itself, the Nomad commercial terms beyond pricing, the P6 logic, the geotechnical basis, and the internal indirect rates.</w:t>
      </w:r>
    </w:p>
    <w:p>
      <w:pPr>
        <w:spacing w:after="120"/>
      </w:pPr>
      <w:r>
        <w:rPr>
          <w:b/>
          <w:i w:val="0"/>
        </w:rPr>
        <w:t>Bottom line: the $57.2M is defensible as a station cost and sits where a project of this size, duration and site should sit relative to public comparables; it is not yet defensible as a full-funding number, because the two items most likely to move it (the Haugland reconciliation and the siting path) are both open and both point up. Take the three defensible reductions (about $3M) only after the HEG map closes, present the November number as Class 4 with an honest dollar range, and put the geotech and HMA on the critical path now. Ready with repairs.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Eversource Energy | Cost Estimating Center of Excellence | Hyde Park BESS Red Team Report | 29 Sep 2026 | Internal, contains vendor-confidential pricing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eastAsia="Georgia"/>
      <w:b/>
      <w:bCs/>
      <w:color w:val="001E6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eastAsia="Georgia"/>
      <w:b/>
      <w:bCs/>
      <w:color w:val="001E6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eastAsia="Georgia"/>
      <w:b/>
      <w:bCs/>
      <w:color w:val="001E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