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1E60"/>
          <w:sz w:val="44"/>
        </w:rPr>
        <w:t>Can the Hyde Park number be defended statistically?</w:t>
      </w:r>
    </w:p>
    <w:p>
      <w:pPr>
        <w:spacing w:after="40"/>
      </w:pPr>
      <w:r>
        <w:rPr>
          <w:b w:val="0"/>
          <w:i w:val="0"/>
          <w:color w:val="6E1F2E"/>
          <w:sz w:val="26"/>
        </w:rPr>
        <w:t>Reference-class comparison, regression on public project costs, and Monte Carlo on the estimate's own cost layers</w:t>
      </w:r>
    </w:p>
    <w:p>
      <w:pPr>
        <w:spacing w:after="200"/>
      </w:pPr>
      <w:r>
        <w:rPr>
          <w:b w:val="0"/>
          <w:i w:val="0"/>
          <w:color w:val="595959"/>
          <w:sz w:val="20"/>
        </w:rPr>
        <w:t>Methods memo, Cost Estimating Center of Excellence, Eversource Energy, 29 September 2026. Companion to the Hyde Park BESS cost analysis deck, Basis of Estimate and whitepaper. Internal; contains vendor-confidential pricing.</w:t>
      </w:r>
    </w:p>
    <w:p>
      <w:pPr>
        <w:pStyle w:val="Heading1"/>
      </w:pPr>
      <w:r>
        <w:t>Recommendation</w:t>
      </w:r>
    </w:p>
    <w:p>
      <w:pPr>
        <w:spacing w:after="120"/>
      </w:pPr>
      <w:r>
        <w:rPr>
          <w:b w:val="0"/>
          <w:i w:val="0"/>
        </w:rPr>
        <w:t>Use three methods together, in this order of weight, and do not let any one of them carry the argument alone. First, a reference class of thirteen utility-owned projects at or below 100 MWh, with Hyde Park placed inside it at each cost boundary. Second, a log-log regression on twenty-six public projects that isolates the size and duration effects and yields a prediction interval for a 20 MWh, two-hour project. Third, a Monte Carlo on the thirteen cost layers of the Rev 3 estimate, which tests whether the risk and contingency carried are consistent with the uncertainty in the elements. The reference class and the regression are statistically viable for bracketing, not for pricing: with n of 13 and 26, an unexplained spread of plus or minus 36 percent, and heterogeneous scope definitions, they answer 'is this number plausible for a project of this size and duration' and nothing finer. The Monte Carlo is the method that a regulator or an internal reviewer can interrogate line by line, because every distribution sits on a named layer with a named source. Confidence in the method: High. Confidence in the specific interval and percentile figures below: Medium, because the public data were retrieved from search-index excerpts and not from the primary filings.</w:t>
      </w:r>
    </w:p>
    <w:tbl>
      <w:tblPr>
        <w:tblStyle w:val="TableGrid"/>
        <w:tblW w:type="auto" w:w="0"/>
        <w:tblLook w:firstColumn="1" w:firstRow="1" w:lastColumn="0" w:lastRow="0" w:noHBand="0" w:noVBand="1" w:val="04A0"/>
      </w:tblPr>
      <w:tblGrid>
        <w:gridCol w:w="9360"/>
      </w:tblGrid>
      <w:tr>
        <w:tc>
          <w:tcPr>
            <w:tcW w:type="dxa" w:w="9360"/>
            <w:shd w:val="clear" w:color="auto" w:fill="FFF3CC"/>
          </w:tcPr>
          <w:p>
            <w:pPr>
              <w:spacing w:after="40"/>
            </w:pPr>
            <w:r/>
            <w:r>
              <w:rPr>
                <w:b/>
                <w:color w:val="001E60"/>
                <w:sz w:val="20"/>
              </w:rPr>
              <w:t xml:space="preserve">What the three methods say together. </w:t>
            </w:r>
            <w:r>
              <w:rPr>
                <w:sz w:val="20"/>
              </w:rPr>
              <w:t>A 20 MWh, two-hour project in 2028 is predicted at $1,116/kWh with an 80 percent prediction interval of $611 to $2,037/kWh. Hyde Park's station-complete direct cost of $1,483/kWh sits at the 73% percentile of that interval and at the 77% percentile of the reference class; its installed battery at $833/kWh sits at the 27% and 38% percentiles. The approval level of $2,862/kWh is above every project in the reference class, and the reasons are named: a separate 13.8 kV switching station, a feeder protection program at Station 496, a landfill platform, and $23.7 million of risk, contingency, indirects and AFUDC that most disclosed project costs do not carry. The Monte Carlo puts the P80 total at $53.0M on base element ranges and $55.9M on Class 5-like ranges, against a $57.2M approval level that carries $7.6M of risk and contingency; the reserve covers the element ranges as modeled and is thin against the 9 to 64 percent estimate-to-actual uplifts observed on comparable small utility projects. The element ranges assume the Haugland reconciliation does not move the construction base; the red team's expectation is that it will.</w:t>
            </w:r>
          </w:p>
        </w:tc>
      </w:tr>
    </w:tbl>
    <w:p>
      <w:pPr>
        <w:spacing w:after="40"/>
      </w:pPr>
    </w:p>
    <w:p>
      <w:pPr>
        <w:pStyle w:val="Heading1"/>
      </w:pPr>
      <w:r>
        <w:t>1. Why a statistical comparison is worth doing, and what it cannot do</w:t>
      </w:r>
    </w:p>
    <w:p>
      <w:pPr>
        <w:spacing w:after="120"/>
      </w:pPr>
      <w:r>
        <w:rPr>
          <w:b w:val="0"/>
          <w:i w:val="0"/>
        </w:rPr>
        <w:t>The vendor framing described in the whitepaper is a scope problem, not a statistics problem, and the layered extraction already answers it. A statistical comparison earns its place for a different reason. Leadership and, later, a regulator will ask whether $57 million is a reasonable number for a 10 MW battery station at all, independent of how it is layered. That question has three honest answers: what similar projects have cost (reference class), what the size and duration of this project imply given the whole population of disclosed projects (regression), and how much the estimate itself could move given what is known about each of its elements (Monte Carlo). AACE International's recommended practices treat the first two as parametric or reference approaches (42R-08) and the third as range estimating and simulation (41R-08, 57R-09, with distribution selection under 66R-11); Flyvbjerg's reference class forecasting is the same idea applied to outturn rather than estimate. None of these produces a 'right' number. Each produces a range and a position within it, and the position is what carries weight in a review.</w:t>
      </w:r>
    </w:p>
    <w:p>
      <w:pPr>
        <w:spacing w:after="120"/>
      </w:pPr>
      <w:r>
        <w:rPr>
          <w:b w:val="0"/>
          <w:i w:val="0"/>
        </w:rPr>
        <w:t>The limits are set by the data. Public project costs are disclosed inconsistently: some are contract prices without AFUDC, some are rate-base plant including it, some bundle a generator or a solar array, some are approved budgets that were later exceeded. The dataset assembled for this memo started at 44 projects and 26 survive the exclusions. That is enough to estimate two elasticities with reasonable precision and not enough to estimate regional, ownership or site effects, which is why those terms are reported but not relied on. Every figure was retrieved from search-index excerpts because the research environment could not open the primary PDFs; the sourcing notes list the ten highest-priority items to verify before any external use.</w:t>
      </w:r>
    </w:p>
    <w:p>
      <w:pPr>
        <w:pStyle w:val="Heading1"/>
      </w:pPr>
      <w:r>
        <w:t>2. The dataset</w:t>
      </w:r>
    </w:p>
    <w:p>
      <w:pPr>
        <w:spacing w:after="120"/>
      </w:pPr>
      <w:r>
        <w:rPr>
          <w:b w:val="0"/>
          <w:i w:val="0"/>
        </w:rPr>
        <w:t>Forty-four projects with a disclosed cost, capacity and energy were compiled from regulator orders, utility releases, 10-K filings and trade press (sourcing in the companion research log). Ten were excluded for bundled or non-capital scope: Nantucket (15 MW diesel generator), Salem Smart Power Center (2013 demonstration with building and controls), Arlington and Hot Springs (microgrids with solar), Essex and SwRI (solar bundled), Leighton Buzzard (R&amp;D trials), Glenarm (a fifteen-year service contract, not capital), the Xcel Minnesota program budget, and Morro Bay (proposed, no date). Eight more lack a confirmed MWh or year and drop out of the fit. The 26 that remain span 3 to 2,150 MWh, 0.25 to 6.5 hours, 2015 to 2027, and $368 to $2,775 per kWh, nominal dollars in the year reported.</w:t>
      </w:r>
    </w:p>
    <w:tbl>
      <w:tblPr>
        <w:tblStyle w:val="TableGrid"/>
        <w:tblW w:type="auto" w:w="0"/>
        <w:jc w:val="center"/>
        <w:tblLayout w:type="fixed"/>
        <w:tblLook w:firstColumn="1" w:firstRow="1" w:lastColumn="0" w:lastRow="0" w:noHBand="0" w:noVBand="1" w:val="04A0"/>
      </w:tblPr>
      <w:tblGrid>
        <w:gridCol w:w="2880"/>
        <w:gridCol w:w="720"/>
        <w:gridCol w:w="576"/>
        <w:gridCol w:w="648"/>
        <w:gridCol w:w="648"/>
        <w:gridCol w:w="1008"/>
        <w:gridCol w:w="864"/>
        <w:gridCol w:w="1944"/>
        <w:gridCol w:w="936"/>
      </w:tblGrid>
      <w:tr>
        <w:tc>
          <w:tcPr>
            <w:tcW w:type="dxa" w:w="2880"/>
            <w:shd w:val="clear" w:color="auto" w:fill="001E60"/>
          </w:tcPr>
          <w:p>
            <w:pPr>
              <w:spacing w:after="0" w:before="0"/>
            </w:pPr>
            <w:r/>
            <w:r>
              <w:rPr>
                <w:b/>
                <w:i w:val="0"/>
                <w:color w:val="FFFFFF"/>
                <w:sz w:val="15"/>
              </w:rPr>
              <w:t>Project</w:t>
            </w:r>
          </w:p>
        </w:tc>
        <w:tc>
          <w:tcPr>
            <w:tcW w:type="dxa" w:w="720"/>
            <w:shd w:val="clear" w:color="auto" w:fill="001E60"/>
          </w:tcPr>
          <w:p>
            <w:pPr>
              <w:spacing w:after="0" w:before="0"/>
            </w:pPr>
            <w:r/>
            <w:r>
              <w:rPr>
                <w:b/>
                <w:i w:val="0"/>
                <w:color w:val="FFFFFF"/>
                <w:sz w:val="15"/>
              </w:rPr>
              <w:t>State</w:t>
            </w:r>
          </w:p>
        </w:tc>
        <w:tc>
          <w:tcPr>
            <w:tcW w:type="dxa" w:w="576"/>
            <w:shd w:val="clear" w:color="auto" w:fill="001E60"/>
          </w:tcPr>
          <w:p>
            <w:pPr>
              <w:spacing w:after="0" w:before="0"/>
            </w:pPr>
            <w:r/>
            <w:r>
              <w:rPr>
                <w:b/>
                <w:i w:val="0"/>
                <w:color w:val="FFFFFF"/>
                <w:sz w:val="15"/>
              </w:rPr>
              <w:t>MW</w:t>
            </w:r>
          </w:p>
        </w:tc>
        <w:tc>
          <w:tcPr>
            <w:tcW w:type="dxa" w:w="648"/>
            <w:shd w:val="clear" w:color="auto" w:fill="001E60"/>
          </w:tcPr>
          <w:p>
            <w:pPr>
              <w:spacing w:after="0" w:before="0"/>
            </w:pPr>
            <w:r/>
            <w:r>
              <w:rPr>
                <w:b/>
                <w:i w:val="0"/>
                <w:color w:val="FFFFFF"/>
                <w:sz w:val="15"/>
              </w:rPr>
              <w:t>MWh</w:t>
            </w:r>
          </w:p>
        </w:tc>
        <w:tc>
          <w:tcPr>
            <w:tcW w:type="dxa" w:w="648"/>
            <w:shd w:val="clear" w:color="auto" w:fill="001E60"/>
          </w:tcPr>
          <w:p>
            <w:pPr>
              <w:spacing w:after="0" w:before="0"/>
            </w:pPr>
            <w:r/>
            <w:r>
              <w:rPr>
                <w:b/>
                <w:i w:val="0"/>
                <w:color w:val="FFFFFF"/>
                <w:sz w:val="15"/>
              </w:rPr>
              <w:t>Year</w:t>
            </w:r>
          </w:p>
        </w:tc>
        <w:tc>
          <w:tcPr>
            <w:tcW w:type="dxa" w:w="1008"/>
            <w:shd w:val="clear" w:color="auto" w:fill="001E60"/>
          </w:tcPr>
          <w:p>
            <w:pPr>
              <w:spacing w:after="0" w:before="0"/>
            </w:pPr>
            <w:r/>
            <w:r>
              <w:rPr>
                <w:b/>
                <w:i w:val="0"/>
                <w:color w:val="FFFFFF"/>
                <w:sz w:val="15"/>
              </w:rPr>
              <w:t>Cost</w:t>
            </w:r>
          </w:p>
        </w:tc>
        <w:tc>
          <w:tcPr>
            <w:tcW w:type="dxa" w:w="864"/>
            <w:shd w:val="clear" w:color="auto" w:fill="001E60"/>
          </w:tcPr>
          <w:p>
            <w:pPr>
              <w:spacing w:after="0" w:before="0"/>
            </w:pPr>
            <w:r/>
            <w:r>
              <w:rPr>
                <w:b/>
                <w:i w:val="0"/>
                <w:color w:val="FFFFFF"/>
                <w:sz w:val="15"/>
              </w:rPr>
              <w:t>$/kWh</w:t>
            </w:r>
          </w:p>
        </w:tc>
        <w:tc>
          <w:tcPr>
            <w:tcW w:type="dxa" w:w="1944"/>
            <w:shd w:val="clear" w:color="auto" w:fill="001E60"/>
          </w:tcPr>
          <w:p>
            <w:pPr>
              <w:spacing w:after="0" w:before="0"/>
            </w:pPr>
            <w:r/>
            <w:r>
              <w:rPr>
                <w:b/>
                <w:i w:val="0"/>
                <w:color w:val="FFFFFF"/>
                <w:sz w:val="15"/>
              </w:rPr>
              <w:t>Basis</w:t>
            </w:r>
          </w:p>
        </w:tc>
        <w:tc>
          <w:tcPr>
            <w:tcW w:type="dxa" w:w="936"/>
            <w:shd w:val="clear" w:color="auto" w:fill="001E60"/>
          </w:tcPr>
          <w:p>
            <w:pPr>
              <w:spacing w:after="0" w:before="0"/>
            </w:pPr>
            <w:r/>
            <w:r>
              <w:rPr>
                <w:b/>
                <w:i w:val="0"/>
                <w:color w:val="FFFFFF"/>
                <w:sz w:val="15"/>
              </w:rPr>
              <w:t>Conf.</w:t>
            </w:r>
          </w:p>
        </w:tc>
      </w:tr>
      <w:tr>
        <w:tc>
          <w:tcPr>
            <w:tcW w:type="dxa" w:w="2880"/>
          </w:tcPr>
          <w:p>
            <w:pPr>
              <w:spacing w:after="0" w:before="0"/>
            </w:pPr>
            <w:r/>
            <w:r>
              <w:rPr>
                <w:b w:val="0"/>
                <w:i w:val="0"/>
                <w:sz w:val="15"/>
              </w:rPr>
              <w:t>Kingsbery Community Solar + Storage</w:t>
            </w:r>
          </w:p>
        </w:tc>
        <w:tc>
          <w:tcPr>
            <w:tcW w:type="dxa" w:w="720"/>
          </w:tcPr>
          <w:p>
            <w:pPr>
              <w:spacing w:after="0" w:before="0"/>
            </w:pPr>
            <w:r/>
            <w:r>
              <w:rPr>
                <w:b w:val="0"/>
                <w:i w:val="0"/>
                <w:sz w:val="15"/>
              </w:rPr>
              <w:t>TX</w:t>
            </w:r>
          </w:p>
        </w:tc>
        <w:tc>
          <w:tcPr>
            <w:tcW w:type="dxa" w:w="576"/>
          </w:tcPr>
          <w:p>
            <w:pPr>
              <w:spacing w:after="0" w:before="0"/>
              <w:jc w:val="right"/>
            </w:pPr>
            <w:r/>
            <w:r>
              <w:rPr>
                <w:b w:val="0"/>
                <w:i w:val="0"/>
                <w:sz w:val="15"/>
              </w:rPr>
              <w:t>1</w:t>
            </w:r>
          </w:p>
        </w:tc>
        <w:tc>
          <w:tcPr>
            <w:tcW w:type="dxa" w:w="648"/>
          </w:tcPr>
          <w:p>
            <w:pPr>
              <w:spacing w:after="0" w:before="0"/>
              <w:jc w:val="right"/>
            </w:pPr>
            <w:r/>
            <w:r>
              <w:rPr>
                <w:b w:val="0"/>
                <w:i w:val="0"/>
                <w:sz w:val="15"/>
              </w:rPr>
              <w:t>3</w:t>
            </w:r>
          </w:p>
        </w:tc>
        <w:tc>
          <w:tcPr>
            <w:tcW w:type="dxa" w:w="648"/>
          </w:tcPr>
          <w:p>
            <w:pPr>
              <w:spacing w:after="0" w:before="0"/>
              <w:jc w:val="right"/>
            </w:pPr>
            <w:r/>
            <w:r>
              <w:rPr>
                <w:b w:val="0"/>
                <w:i w:val="0"/>
                <w:sz w:val="15"/>
              </w:rPr>
              <w:t>2016</w:t>
            </w:r>
          </w:p>
        </w:tc>
        <w:tc>
          <w:tcPr>
            <w:tcW w:type="dxa" w:w="1008"/>
          </w:tcPr>
          <w:p>
            <w:pPr>
              <w:spacing w:after="0" w:before="0"/>
              <w:jc w:val="right"/>
            </w:pPr>
            <w:r/>
            <w:r>
              <w:rPr>
                <w:b w:val="0"/>
                <w:i w:val="0"/>
                <w:sz w:val="15"/>
              </w:rPr>
              <w:t>$3.0M</w:t>
            </w:r>
          </w:p>
        </w:tc>
        <w:tc>
          <w:tcPr>
            <w:tcW w:type="dxa" w:w="864"/>
          </w:tcPr>
          <w:p>
            <w:pPr>
              <w:spacing w:after="0" w:before="0"/>
              <w:jc w:val="right"/>
            </w:pPr>
            <w:r/>
            <w:r>
              <w:rPr>
                <w:b w:val="0"/>
                <w:i w:val="0"/>
                <w:sz w:val="15"/>
              </w:rPr>
              <w:t>$1,000</w:t>
            </w:r>
          </w:p>
        </w:tc>
        <w:tc>
          <w:tcPr>
            <w:tcW w:type="dxa" w:w="1944"/>
          </w:tcPr>
          <w:p>
            <w:pPr>
              <w:spacing w:after="0" w:before="0"/>
            </w:pPr>
            <w:r/>
            <w:r>
              <w:rPr>
                <w:b w:val="0"/>
                <w:i w:val="0"/>
                <w:sz w:val="15"/>
              </w:rPr>
              <w:t>final/actual (as reported)</w:t>
            </w:r>
          </w:p>
        </w:tc>
        <w:tc>
          <w:tcPr>
            <w:tcW w:type="dxa" w:w="936"/>
          </w:tcPr>
          <w:p>
            <w:pPr>
              <w:spacing w:after="0" w:before="0"/>
            </w:pPr>
            <w:r/>
            <w:r>
              <w:rPr>
                <w:b w:val="0"/>
                <w:i w:val="0"/>
                <w:sz w:val="15"/>
              </w:rPr>
              <w:t>Medium</w:t>
            </w:r>
          </w:p>
        </w:tc>
      </w:tr>
      <w:tr>
        <w:tc>
          <w:tcPr>
            <w:tcW w:type="dxa" w:w="2880"/>
            <w:shd w:val="clear" w:color="auto" w:fill="F2F4F8"/>
          </w:tcPr>
          <w:p>
            <w:pPr>
              <w:spacing w:after="0" w:before="0"/>
            </w:pPr>
            <w:r/>
            <w:r>
              <w:rPr>
                <w:b w:val="0"/>
                <w:i w:val="0"/>
                <w:sz w:val="15"/>
              </w:rPr>
              <w:t>Stafford Hill Solar + Storage (Rutland)</w:t>
            </w:r>
          </w:p>
        </w:tc>
        <w:tc>
          <w:tcPr>
            <w:tcW w:type="dxa" w:w="720"/>
            <w:shd w:val="clear" w:color="auto" w:fill="F2F4F8"/>
          </w:tcPr>
          <w:p>
            <w:pPr>
              <w:spacing w:after="0" w:before="0"/>
            </w:pPr>
            <w:r/>
            <w:r>
              <w:rPr>
                <w:b w:val="0"/>
                <w:i w:val="0"/>
                <w:sz w:val="15"/>
              </w:rPr>
              <w:t>VT</w:t>
            </w:r>
          </w:p>
        </w:tc>
        <w:tc>
          <w:tcPr>
            <w:tcW w:type="dxa" w:w="576"/>
            <w:shd w:val="clear" w:color="auto" w:fill="F2F4F8"/>
          </w:tcPr>
          <w:p>
            <w:pPr>
              <w:spacing w:after="0" w:before="0"/>
              <w:jc w:val="right"/>
            </w:pPr>
            <w:r/>
            <w:r>
              <w:rPr>
                <w:b w:val="0"/>
                <w:i w:val="0"/>
                <w:sz w:val="15"/>
              </w:rPr>
              <w:t>4</w:t>
            </w:r>
          </w:p>
        </w:tc>
        <w:tc>
          <w:tcPr>
            <w:tcW w:type="dxa" w:w="648"/>
            <w:shd w:val="clear" w:color="auto" w:fill="F2F4F8"/>
          </w:tcPr>
          <w:p>
            <w:pPr>
              <w:spacing w:after="0" w:before="0"/>
              <w:jc w:val="right"/>
            </w:pPr>
            <w:r/>
            <w:r>
              <w:rPr>
                <w:b w:val="0"/>
                <w:i w:val="0"/>
                <w:sz w:val="15"/>
              </w:rPr>
              <w:t>3</w:t>
            </w:r>
          </w:p>
        </w:tc>
        <w:tc>
          <w:tcPr>
            <w:tcW w:type="dxa" w:w="648"/>
            <w:shd w:val="clear" w:color="auto" w:fill="F2F4F8"/>
          </w:tcPr>
          <w:p>
            <w:pPr>
              <w:spacing w:after="0" w:before="0"/>
              <w:jc w:val="right"/>
            </w:pPr>
            <w:r/>
            <w:r>
              <w:rPr>
                <w:b w:val="0"/>
                <w:i w:val="0"/>
                <w:sz w:val="15"/>
              </w:rPr>
              <w:t>2015</w:t>
            </w:r>
          </w:p>
        </w:tc>
        <w:tc>
          <w:tcPr>
            <w:tcW w:type="dxa" w:w="1008"/>
            <w:shd w:val="clear" w:color="auto" w:fill="F2F4F8"/>
          </w:tcPr>
          <w:p>
            <w:pPr>
              <w:spacing w:after="0" w:before="0"/>
              <w:jc w:val="right"/>
            </w:pPr>
            <w:r/>
            <w:r>
              <w:rPr>
                <w:b w:val="0"/>
                <w:i w:val="0"/>
                <w:sz w:val="15"/>
              </w:rPr>
              <w:t>$4.2M</w:t>
            </w:r>
          </w:p>
        </w:tc>
        <w:tc>
          <w:tcPr>
            <w:tcW w:type="dxa" w:w="864"/>
            <w:shd w:val="clear" w:color="auto" w:fill="F2F4F8"/>
          </w:tcPr>
          <w:p>
            <w:pPr>
              <w:spacing w:after="0" w:before="0"/>
              <w:jc w:val="right"/>
            </w:pPr>
            <w:r/>
            <w:r>
              <w:rPr>
                <w:b w:val="0"/>
                <w:i w:val="0"/>
                <w:sz w:val="15"/>
              </w:rPr>
              <w:t>$1,235</w:t>
            </w:r>
          </w:p>
        </w:tc>
        <w:tc>
          <w:tcPr>
            <w:tcW w:type="dxa" w:w="1944"/>
            <w:shd w:val="clear" w:color="auto" w:fill="F2F4F8"/>
          </w:tcPr>
          <w:p>
            <w:pPr>
              <w:spacing w:after="0" w:before="0"/>
            </w:pPr>
            <w:r/>
            <w:r>
              <w:rPr>
                <w:b w:val="0"/>
                <w:i w:val="0"/>
                <w:sz w:val="15"/>
              </w:rPr>
              <w:t>final/actual (storage component)</w:t>
            </w:r>
          </w:p>
        </w:tc>
        <w:tc>
          <w:tcPr>
            <w:tcW w:type="dxa" w:w="936"/>
            <w:shd w:val="clear" w:color="auto" w:fill="F2F4F8"/>
          </w:tcPr>
          <w:p>
            <w:pPr>
              <w:spacing w:after="0" w:before="0"/>
            </w:pPr>
            <w:r/>
            <w:r>
              <w:rPr>
                <w:b w:val="0"/>
                <w:i w:val="0"/>
                <w:sz w:val="15"/>
              </w:rPr>
              <w:t>Medium</w:t>
            </w:r>
          </w:p>
        </w:tc>
      </w:tr>
      <w:tr>
        <w:tc>
          <w:tcPr>
            <w:tcW w:type="dxa" w:w="2880"/>
          </w:tcPr>
          <w:p>
            <w:pPr>
              <w:spacing w:after="0" w:before="0"/>
            </w:pPr>
            <w:r/>
            <w:r>
              <w:rPr>
                <w:b w:val="0"/>
                <w:i w:val="0"/>
                <w:sz w:val="15"/>
              </w:rPr>
              <w:t>Sterling MLD Chocksett Road BESS</w:t>
            </w:r>
          </w:p>
        </w:tc>
        <w:tc>
          <w:tcPr>
            <w:tcW w:type="dxa" w:w="720"/>
          </w:tcPr>
          <w:p>
            <w:pPr>
              <w:spacing w:after="0" w:before="0"/>
            </w:pPr>
            <w:r/>
            <w:r>
              <w:rPr>
                <w:b w:val="0"/>
                <w:i w:val="0"/>
                <w:sz w:val="15"/>
              </w:rPr>
              <w:t>MA</w:t>
            </w:r>
          </w:p>
        </w:tc>
        <w:tc>
          <w:tcPr>
            <w:tcW w:type="dxa" w:w="576"/>
          </w:tcPr>
          <w:p>
            <w:pPr>
              <w:spacing w:after="0" w:before="0"/>
              <w:jc w:val="right"/>
            </w:pPr>
            <w:r/>
            <w:r>
              <w:rPr>
                <w:b w:val="0"/>
                <w:i w:val="0"/>
                <w:sz w:val="15"/>
              </w:rPr>
              <w:t>2</w:t>
            </w:r>
          </w:p>
        </w:tc>
        <w:tc>
          <w:tcPr>
            <w:tcW w:type="dxa" w:w="648"/>
          </w:tcPr>
          <w:p>
            <w:pPr>
              <w:spacing w:after="0" w:before="0"/>
              <w:jc w:val="right"/>
            </w:pPr>
            <w:r/>
            <w:r>
              <w:rPr>
                <w:b w:val="0"/>
                <w:i w:val="0"/>
                <w:sz w:val="15"/>
              </w:rPr>
              <w:t>3</w:t>
            </w:r>
          </w:p>
        </w:tc>
        <w:tc>
          <w:tcPr>
            <w:tcW w:type="dxa" w:w="648"/>
          </w:tcPr>
          <w:p>
            <w:pPr>
              <w:spacing w:after="0" w:before="0"/>
              <w:jc w:val="right"/>
            </w:pPr>
            <w:r/>
            <w:r>
              <w:rPr>
                <w:b w:val="0"/>
                <w:i w:val="0"/>
                <w:sz w:val="15"/>
              </w:rPr>
              <w:t>2016</w:t>
            </w:r>
          </w:p>
        </w:tc>
        <w:tc>
          <w:tcPr>
            <w:tcW w:type="dxa" w:w="1008"/>
          </w:tcPr>
          <w:p>
            <w:pPr>
              <w:spacing w:after="0" w:before="0"/>
              <w:jc w:val="right"/>
            </w:pPr>
            <w:r/>
            <w:r>
              <w:rPr>
                <w:b w:val="0"/>
                <w:i w:val="0"/>
                <w:sz w:val="15"/>
              </w:rPr>
              <w:t>$2.7M</w:t>
            </w:r>
          </w:p>
        </w:tc>
        <w:tc>
          <w:tcPr>
            <w:tcW w:type="dxa" w:w="864"/>
          </w:tcPr>
          <w:p>
            <w:pPr>
              <w:spacing w:after="0" w:before="0"/>
              <w:jc w:val="right"/>
            </w:pPr>
            <w:r/>
            <w:r>
              <w:rPr>
                <w:b w:val="0"/>
                <w:i w:val="0"/>
                <w:sz w:val="15"/>
              </w:rPr>
              <w:t>$692</w:t>
            </w:r>
          </w:p>
        </w:tc>
        <w:tc>
          <w:tcPr>
            <w:tcW w:type="dxa" w:w="1944"/>
          </w:tcPr>
          <w:p>
            <w:pPr>
              <w:spacing w:after="0" w:before="0"/>
            </w:pPr>
            <w:r/>
            <w:r>
              <w:rPr>
                <w:b w:val="0"/>
                <w:i w:val="0"/>
                <w:sz w:val="15"/>
              </w:rPr>
              <w:t>final/actual (as reported)</w:t>
            </w:r>
          </w:p>
        </w:tc>
        <w:tc>
          <w:tcPr>
            <w:tcW w:type="dxa" w:w="936"/>
          </w:tcPr>
          <w:p>
            <w:pPr>
              <w:spacing w:after="0" w:before="0"/>
            </w:pPr>
            <w:r/>
            <w:r>
              <w:rPr>
                <w:b w:val="0"/>
                <w:i w:val="0"/>
                <w:sz w:val="15"/>
              </w:rPr>
              <w:t>Medium</w:t>
            </w:r>
          </w:p>
        </w:tc>
      </w:tr>
      <w:tr>
        <w:tc>
          <w:tcPr>
            <w:tcW w:type="dxa" w:w="2880"/>
            <w:shd w:val="clear" w:color="auto" w:fill="F2F4F8"/>
          </w:tcPr>
          <w:p>
            <w:pPr>
              <w:spacing w:after="0" w:before="0"/>
            </w:pPr>
            <w:r/>
            <w:r>
              <w:rPr>
                <w:b w:val="0"/>
                <w:i w:val="0"/>
                <w:sz w:val="15"/>
              </w:rPr>
              <w:t>Glacier BESS</w:t>
            </w:r>
          </w:p>
        </w:tc>
        <w:tc>
          <w:tcPr>
            <w:tcW w:type="dxa" w:w="720"/>
            <w:shd w:val="clear" w:color="auto" w:fill="F2F4F8"/>
          </w:tcPr>
          <w:p>
            <w:pPr>
              <w:spacing w:after="0" w:before="0"/>
            </w:pPr>
            <w:r/>
            <w:r>
              <w:rPr>
                <w:b w:val="0"/>
                <w:i w:val="0"/>
                <w:sz w:val="15"/>
              </w:rPr>
              <w:t>WA</w:t>
            </w:r>
          </w:p>
        </w:tc>
        <w:tc>
          <w:tcPr>
            <w:tcW w:type="dxa" w:w="576"/>
            <w:shd w:val="clear" w:color="auto" w:fill="F2F4F8"/>
          </w:tcPr>
          <w:p>
            <w:pPr>
              <w:spacing w:after="0" w:before="0"/>
              <w:jc w:val="right"/>
            </w:pPr>
            <w:r/>
            <w:r>
              <w:rPr>
                <w:b w:val="0"/>
                <w:i w:val="0"/>
                <w:sz w:val="15"/>
              </w:rPr>
              <w:t>2</w:t>
            </w:r>
          </w:p>
        </w:tc>
        <w:tc>
          <w:tcPr>
            <w:tcW w:type="dxa" w:w="648"/>
            <w:shd w:val="clear" w:color="auto" w:fill="F2F4F8"/>
          </w:tcPr>
          <w:p>
            <w:pPr>
              <w:spacing w:after="0" w:before="0"/>
              <w:jc w:val="right"/>
            </w:pPr>
            <w:r/>
            <w:r>
              <w:rPr>
                <w:b w:val="0"/>
                <w:i w:val="0"/>
                <w:sz w:val="15"/>
              </w:rPr>
              <w:t>4</w:t>
            </w:r>
          </w:p>
        </w:tc>
        <w:tc>
          <w:tcPr>
            <w:tcW w:type="dxa" w:w="648"/>
            <w:shd w:val="clear" w:color="auto" w:fill="F2F4F8"/>
          </w:tcPr>
          <w:p>
            <w:pPr>
              <w:spacing w:after="0" w:before="0"/>
              <w:jc w:val="right"/>
            </w:pPr>
            <w:r/>
            <w:r>
              <w:rPr>
                <w:b w:val="0"/>
                <w:i w:val="0"/>
                <w:sz w:val="15"/>
              </w:rPr>
              <w:t>2016</w:t>
            </w:r>
          </w:p>
        </w:tc>
        <w:tc>
          <w:tcPr>
            <w:tcW w:type="dxa" w:w="1008"/>
            <w:shd w:val="clear" w:color="auto" w:fill="F2F4F8"/>
          </w:tcPr>
          <w:p>
            <w:pPr>
              <w:spacing w:after="0" w:before="0"/>
              <w:jc w:val="right"/>
            </w:pPr>
            <w:r/>
            <w:r>
              <w:rPr>
                <w:b w:val="0"/>
                <w:i w:val="0"/>
                <w:sz w:val="15"/>
              </w:rPr>
              <w:t>$11.2M</w:t>
            </w:r>
          </w:p>
        </w:tc>
        <w:tc>
          <w:tcPr>
            <w:tcW w:type="dxa" w:w="864"/>
            <w:shd w:val="clear" w:color="auto" w:fill="F2F4F8"/>
          </w:tcPr>
          <w:p>
            <w:pPr>
              <w:spacing w:after="0" w:before="0"/>
              <w:jc w:val="right"/>
            </w:pPr>
            <w:r/>
            <w:r>
              <w:rPr>
                <w:b w:val="0"/>
                <w:i w:val="0"/>
                <w:sz w:val="15"/>
              </w:rPr>
              <w:t>$2,545</w:t>
            </w:r>
          </w:p>
        </w:tc>
        <w:tc>
          <w:tcPr>
            <w:tcW w:type="dxa" w:w="1944"/>
            <w:shd w:val="clear" w:color="auto" w:fill="F2F4F8"/>
          </w:tcPr>
          <w:p>
            <w:pPr>
              <w:spacing w:after="0" w:before="0"/>
            </w:pPr>
            <w:r/>
            <w:r>
              <w:rPr>
                <w:b w:val="0"/>
                <w:i w:val="0"/>
                <w:sz w:val="15"/>
              </w:rPr>
              <w:t>final/actual (PSE $7.4M + $3.8M st</w:t>
            </w:r>
          </w:p>
        </w:tc>
        <w:tc>
          <w:tcPr>
            <w:tcW w:type="dxa" w:w="936"/>
            <w:shd w:val="clear" w:color="auto" w:fill="F2F4F8"/>
          </w:tcPr>
          <w:p>
            <w:pPr>
              <w:spacing w:after="0" w:before="0"/>
            </w:pPr>
            <w:r/>
            <w:r>
              <w:rPr>
                <w:b w:val="0"/>
                <w:i w:val="0"/>
                <w:sz w:val="15"/>
              </w:rPr>
              <w:t>High</w:t>
            </w:r>
          </w:p>
        </w:tc>
      </w:tr>
      <w:tr>
        <w:tc>
          <w:tcPr>
            <w:tcW w:type="dxa" w:w="2880"/>
          </w:tcPr>
          <w:p>
            <w:pPr>
              <w:spacing w:after="0" w:before="0"/>
            </w:pPr>
            <w:r/>
            <w:r>
              <w:rPr>
                <w:b w:val="0"/>
                <w:i w:val="0"/>
                <w:sz w:val="15"/>
              </w:rPr>
              <w:t>Dalrymple ESCRI BESS [AUSTRALIA]</w:t>
            </w:r>
          </w:p>
        </w:tc>
        <w:tc>
          <w:tcPr>
            <w:tcW w:type="dxa" w:w="720"/>
          </w:tcPr>
          <w:p>
            <w:pPr>
              <w:spacing w:after="0" w:before="0"/>
            </w:pPr>
            <w:r/>
            <w:r>
              <w:rPr>
                <w:b w:val="0"/>
                <w:i w:val="0"/>
                <w:sz w:val="15"/>
              </w:rPr>
              <w:t>SA (Australia)</w:t>
            </w:r>
          </w:p>
        </w:tc>
        <w:tc>
          <w:tcPr>
            <w:tcW w:type="dxa" w:w="576"/>
          </w:tcPr>
          <w:p>
            <w:pPr>
              <w:spacing w:after="0" w:before="0"/>
              <w:jc w:val="right"/>
            </w:pPr>
            <w:r/>
            <w:r>
              <w:rPr>
                <w:b w:val="0"/>
                <w:i w:val="0"/>
                <w:sz w:val="15"/>
              </w:rPr>
              <w:t>30</w:t>
            </w:r>
          </w:p>
        </w:tc>
        <w:tc>
          <w:tcPr>
            <w:tcW w:type="dxa" w:w="648"/>
          </w:tcPr>
          <w:p>
            <w:pPr>
              <w:spacing w:after="0" w:before="0"/>
              <w:jc w:val="right"/>
            </w:pPr>
            <w:r/>
            <w:r>
              <w:rPr>
                <w:b w:val="0"/>
                <w:i w:val="0"/>
                <w:sz w:val="15"/>
              </w:rPr>
              <w:t>8</w:t>
            </w:r>
          </w:p>
        </w:tc>
        <w:tc>
          <w:tcPr>
            <w:tcW w:type="dxa" w:w="648"/>
          </w:tcPr>
          <w:p>
            <w:pPr>
              <w:spacing w:after="0" w:before="0"/>
              <w:jc w:val="right"/>
            </w:pPr>
            <w:r/>
            <w:r>
              <w:rPr>
                <w:b w:val="0"/>
                <w:i w:val="0"/>
                <w:sz w:val="15"/>
              </w:rPr>
              <w:t>2018</w:t>
            </w:r>
          </w:p>
        </w:tc>
        <w:tc>
          <w:tcPr>
            <w:tcW w:type="dxa" w:w="1008"/>
          </w:tcPr>
          <w:p>
            <w:pPr>
              <w:spacing w:after="0" w:before="0"/>
              <w:jc w:val="right"/>
            </w:pPr>
            <w:r/>
            <w:r>
              <w:rPr>
                <w:b w:val="0"/>
                <w:i w:val="0"/>
                <w:sz w:val="15"/>
              </w:rPr>
              <w:t>$22.2M</w:t>
            </w:r>
          </w:p>
        </w:tc>
        <w:tc>
          <w:tcPr>
            <w:tcW w:type="dxa" w:w="864"/>
          </w:tcPr>
          <w:p>
            <w:pPr>
              <w:spacing w:after="0" w:before="0"/>
              <w:jc w:val="right"/>
            </w:pPr>
            <w:r/>
            <w:r>
              <w:rPr>
                <w:b w:val="0"/>
                <w:i w:val="0"/>
                <w:sz w:val="15"/>
              </w:rPr>
              <w:t>$2,775</w:t>
            </w:r>
          </w:p>
        </w:tc>
        <w:tc>
          <w:tcPr>
            <w:tcW w:type="dxa" w:w="1944"/>
          </w:tcPr>
          <w:p>
            <w:pPr>
              <w:spacing w:after="0" w:before="0"/>
            </w:pPr>
            <w:r/>
            <w:r>
              <w:rPr>
                <w:b w:val="0"/>
                <w:i w:val="0"/>
                <w:sz w:val="15"/>
              </w:rPr>
              <w:t>final/actual (as reported)</w:t>
            </w:r>
          </w:p>
        </w:tc>
        <w:tc>
          <w:tcPr>
            <w:tcW w:type="dxa" w:w="936"/>
          </w:tcPr>
          <w:p>
            <w:pPr>
              <w:spacing w:after="0" w:before="0"/>
            </w:pPr>
            <w:r/>
            <w:r>
              <w:rPr>
                <w:b w:val="0"/>
                <w:i w:val="0"/>
                <w:sz w:val="15"/>
              </w:rPr>
              <w:t>High</w:t>
            </w:r>
          </w:p>
        </w:tc>
      </w:tr>
      <w:tr>
        <w:tc>
          <w:tcPr>
            <w:tcW w:type="dxa" w:w="2880"/>
            <w:shd w:val="clear" w:color="auto" w:fill="F2F4F8"/>
          </w:tcPr>
          <w:p>
            <w:pPr>
              <w:spacing w:after="0" w:before="0"/>
            </w:pPr>
            <w:r/>
            <w:r>
              <w:rPr>
                <w:b w:val="0"/>
                <w:i w:val="0"/>
                <w:sz w:val="15"/>
              </w:rPr>
              <w:t>Fairhaven BESS</w:t>
            </w:r>
          </w:p>
        </w:tc>
        <w:tc>
          <w:tcPr>
            <w:tcW w:type="dxa" w:w="720"/>
            <w:shd w:val="clear" w:color="auto" w:fill="F2F4F8"/>
          </w:tcPr>
          <w:p>
            <w:pPr>
              <w:spacing w:after="0" w:before="0"/>
            </w:pPr>
            <w:r/>
            <w:r>
              <w:rPr>
                <w:b w:val="0"/>
                <w:i w:val="0"/>
                <w:sz w:val="15"/>
              </w:rPr>
              <w:t>MD</w:t>
            </w:r>
          </w:p>
        </w:tc>
        <w:tc>
          <w:tcPr>
            <w:tcW w:type="dxa" w:w="576"/>
            <w:shd w:val="clear" w:color="auto" w:fill="F2F4F8"/>
          </w:tcPr>
          <w:p>
            <w:pPr>
              <w:spacing w:after="0" w:before="0"/>
              <w:jc w:val="right"/>
            </w:pPr>
            <w:r/>
            <w:r>
              <w:rPr>
                <w:b w:val="0"/>
                <w:i w:val="0"/>
                <w:sz w:val="15"/>
              </w:rPr>
              <w:t>2</w:t>
            </w:r>
          </w:p>
        </w:tc>
        <w:tc>
          <w:tcPr>
            <w:tcW w:type="dxa" w:w="648"/>
            <w:shd w:val="clear" w:color="auto" w:fill="F2F4F8"/>
          </w:tcPr>
          <w:p>
            <w:pPr>
              <w:spacing w:after="0" w:before="0"/>
              <w:jc w:val="right"/>
            </w:pPr>
            <w:r/>
            <w:r>
              <w:rPr>
                <w:b w:val="0"/>
                <w:i w:val="0"/>
                <w:sz w:val="15"/>
              </w:rPr>
              <w:t>9</w:t>
            </w:r>
          </w:p>
        </w:tc>
        <w:tc>
          <w:tcPr>
            <w:tcW w:type="dxa" w:w="648"/>
            <w:shd w:val="clear" w:color="auto" w:fill="F2F4F8"/>
          </w:tcPr>
          <w:p>
            <w:pPr>
              <w:spacing w:after="0" w:before="0"/>
              <w:jc w:val="right"/>
            </w:pPr>
            <w:r/>
            <w:r>
              <w:rPr>
                <w:b w:val="0"/>
                <w:i w:val="0"/>
                <w:sz w:val="15"/>
              </w:rPr>
              <w:t>2023</w:t>
            </w:r>
          </w:p>
        </w:tc>
        <w:tc>
          <w:tcPr>
            <w:tcW w:type="dxa" w:w="1008"/>
            <w:shd w:val="clear" w:color="auto" w:fill="F2F4F8"/>
          </w:tcPr>
          <w:p>
            <w:pPr>
              <w:spacing w:after="0" w:before="0"/>
              <w:jc w:val="right"/>
            </w:pPr>
            <w:r/>
            <w:r>
              <w:rPr>
                <w:b w:val="0"/>
                <w:i w:val="0"/>
                <w:sz w:val="15"/>
              </w:rPr>
              <w:t>$16.2M</w:t>
            </w:r>
          </w:p>
        </w:tc>
        <w:tc>
          <w:tcPr>
            <w:tcW w:type="dxa" w:w="864"/>
            <w:shd w:val="clear" w:color="auto" w:fill="F2F4F8"/>
          </w:tcPr>
          <w:p>
            <w:pPr>
              <w:spacing w:after="0" w:before="0"/>
              <w:jc w:val="right"/>
            </w:pPr>
            <w:r/>
            <w:r>
              <w:rPr>
                <w:b w:val="0"/>
                <w:i w:val="0"/>
                <w:sz w:val="15"/>
              </w:rPr>
              <w:t>$1,659</w:t>
            </w:r>
          </w:p>
        </w:tc>
        <w:tc>
          <w:tcPr>
            <w:tcW w:type="dxa" w:w="1944"/>
            <w:shd w:val="clear" w:color="auto" w:fill="F2F4F8"/>
          </w:tcPr>
          <w:p>
            <w:pPr>
              <w:spacing w:after="0" w:before="0"/>
            </w:pPr>
            <w:r/>
            <w:r>
              <w:rPr>
                <w:b w:val="0"/>
                <w:i w:val="0"/>
                <w:sz w:val="15"/>
              </w:rPr>
              <w:t>final/actual (reported to MD PSC)</w:t>
            </w:r>
          </w:p>
        </w:tc>
        <w:tc>
          <w:tcPr>
            <w:tcW w:type="dxa" w:w="936"/>
            <w:shd w:val="clear" w:color="auto" w:fill="F2F4F8"/>
          </w:tcPr>
          <w:p>
            <w:pPr>
              <w:spacing w:after="0" w:before="0"/>
            </w:pPr>
            <w:r/>
            <w:r>
              <w:rPr>
                <w:b w:val="0"/>
                <w:i w:val="0"/>
                <w:sz w:val="15"/>
              </w:rPr>
              <w:t>High</w:t>
            </w:r>
          </w:p>
        </w:tc>
      </w:tr>
      <w:tr>
        <w:tc>
          <w:tcPr>
            <w:tcW w:type="dxa" w:w="2880"/>
          </w:tcPr>
          <w:p>
            <w:pPr>
              <w:spacing w:after="0" w:before="0"/>
            </w:pPr>
            <w:r/>
            <w:r>
              <w:rPr>
                <w:b w:val="0"/>
                <w:i w:val="0"/>
                <w:sz w:val="15"/>
              </w:rPr>
              <w:t>Pomona (Ladentown) BESS</w:t>
            </w:r>
          </w:p>
        </w:tc>
        <w:tc>
          <w:tcPr>
            <w:tcW w:type="dxa" w:w="720"/>
          </w:tcPr>
          <w:p>
            <w:pPr>
              <w:spacing w:after="0" w:before="0"/>
            </w:pPr>
            <w:r/>
            <w:r>
              <w:rPr>
                <w:b w:val="0"/>
                <w:i w:val="0"/>
                <w:sz w:val="15"/>
              </w:rPr>
              <w:t>NY</w:t>
            </w:r>
          </w:p>
        </w:tc>
        <w:tc>
          <w:tcPr>
            <w:tcW w:type="dxa" w:w="576"/>
          </w:tcPr>
          <w:p>
            <w:pPr>
              <w:spacing w:after="0" w:before="0"/>
              <w:jc w:val="right"/>
            </w:pPr>
            <w:r/>
            <w:r>
              <w:rPr>
                <w:b w:val="0"/>
                <w:i w:val="0"/>
                <w:sz w:val="15"/>
              </w:rPr>
              <w:t>3</w:t>
            </w:r>
          </w:p>
        </w:tc>
        <w:tc>
          <w:tcPr>
            <w:tcW w:type="dxa" w:w="648"/>
          </w:tcPr>
          <w:p>
            <w:pPr>
              <w:spacing w:after="0" w:before="0"/>
              <w:jc w:val="right"/>
            </w:pPr>
            <w:r/>
            <w:r>
              <w:rPr>
                <w:b w:val="0"/>
                <w:i w:val="0"/>
                <w:sz w:val="15"/>
              </w:rPr>
              <w:t>12</w:t>
            </w:r>
          </w:p>
        </w:tc>
        <w:tc>
          <w:tcPr>
            <w:tcW w:type="dxa" w:w="648"/>
          </w:tcPr>
          <w:p>
            <w:pPr>
              <w:spacing w:after="0" w:before="0"/>
              <w:jc w:val="right"/>
            </w:pPr>
            <w:r/>
            <w:r>
              <w:rPr>
                <w:b w:val="0"/>
                <w:i w:val="0"/>
                <w:sz w:val="15"/>
              </w:rPr>
              <w:t>2021</w:t>
            </w:r>
          </w:p>
        </w:tc>
        <w:tc>
          <w:tcPr>
            <w:tcW w:type="dxa" w:w="1008"/>
          </w:tcPr>
          <w:p>
            <w:pPr>
              <w:spacing w:after="0" w:before="0"/>
              <w:jc w:val="right"/>
            </w:pPr>
            <w:r/>
            <w:r>
              <w:rPr>
                <w:b w:val="0"/>
                <w:i w:val="0"/>
                <w:sz w:val="15"/>
              </w:rPr>
              <w:t>$7.4M</w:t>
            </w:r>
          </w:p>
        </w:tc>
        <w:tc>
          <w:tcPr>
            <w:tcW w:type="dxa" w:w="864"/>
          </w:tcPr>
          <w:p>
            <w:pPr>
              <w:spacing w:after="0" w:before="0"/>
              <w:jc w:val="right"/>
            </w:pPr>
            <w:r/>
            <w:r>
              <w:rPr>
                <w:b w:val="0"/>
                <w:i w:val="0"/>
                <w:sz w:val="15"/>
              </w:rPr>
              <w:t>$617</w:t>
            </w:r>
          </w:p>
        </w:tc>
        <w:tc>
          <w:tcPr>
            <w:tcW w:type="dxa" w:w="1944"/>
          </w:tcPr>
          <w:p>
            <w:pPr>
              <w:spacing w:after="0" w:before="0"/>
            </w:pPr>
            <w:r/>
            <w:r>
              <w:rPr>
                <w:b w:val="0"/>
                <w:i w:val="0"/>
                <w:sz w:val="15"/>
              </w:rPr>
              <w:t>final/actual (utility press releas</w:t>
            </w:r>
          </w:p>
        </w:tc>
        <w:tc>
          <w:tcPr>
            <w:tcW w:type="dxa" w:w="936"/>
          </w:tcPr>
          <w:p>
            <w:pPr>
              <w:spacing w:after="0" w:before="0"/>
            </w:pPr>
            <w:r/>
            <w:r>
              <w:rPr>
                <w:b w:val="0"/>
                <w:i w:val="0"/>
                <w:sz w:val="15"/>
              </w:rPr>
              <w:t>High</w:t>
            </w:r>
          </w:p>
        </w:tc>
      </w:tr>
      <w:tr>
        <w:tc>
          <w:tcPr>
            <w:tcW w:type="dxa" w:w="2880"/>
            <w:shd w:val="clear" w:color="auto" w:fill="F2F4F8"/>
          </w:tcPr>
          <w:p>
            <w:pPr>
              <w:spacing w:after="0" w:before="0"/>
            </w:pPr>
            <w:r/>
            <w:r>
              <w:rPr>
                <w:b w:val="0"/>
                <w:i w:val="0"/>
                <w:sz w:val="15"/>
              </w:rPr>
              <w:t>Ozone Park BESS</w:t>
            </w:r>
          </w:p>
        </w:tc>
        <w:tc>
          <w:tcPr>
            <w:tcW w:type="dxa" w:w="720"/>
            <w:shd w:val="clear" w:color="auto" w:fill="F2F4F8"/>
          </w:tcPr>
          <w:p>
            <w:pPr>
              <w:spacing w:after="0" w:before="0"/>
            </w:pPr>
            <w:r/>
            <w:r>
              <w:rPr>
                <w:b w:val="0"/>
                <w:i w:val="0"/>
                <w:sz w:val="15"/>
              </w:rPr>
              <w:t>NY</w:t>
            </w:r>
          </w:p>
        </w:tc>
        <w:tc>
          <w:tcPr>
            <w:tcW w:type="dxa" w:w="576"/>
            <w:shd w:val="clear" w:color="auto" w:fill="F2F4F8"/>
          </w:tcPr>
          <w:p>
            <w:pPr>
              <w:spacing w:after="0" w:before="0"/>
              <w:jc w:val="right"/>
            </w:pPr>
            <w:r/>
            <w:r>
              <w:rPr>
                <w:b w:val="0"/>
                <w:i w:val="0"/>
                <w:sz w:val="15"/>
              </w:rPr>
              <w:t>1</w:t>
            </w:r>
          </w:p>
        </w:tc>
        <w:tc>
          <w:tcPr>
            <w:tcW w:type="dxa" w:w="648"/>
            <w:shd w:val="clear" w:color="auto" w:fill="F2F4F8"/>
          </w:tcPr>
          <w:p>
            <w:pPr>
              <w:spacing w:after="0" w:before="0"/>
              <w:jc w:val="right"/>
            </w:pPr>
            <w:r/>
            <w:r>
              <w:rPr>
                <w:b w:val="0"/>
                <w:i w:val="0"/>
                <w:sz w:val="15"/>
              </w:rPr>
              <w:t>12</w:t>
            </w:r>
          </w:p>
        </w:tc>
        <w:tc>
          <w:tcPr>
            <w:tcW w:type="dxa" w:w="648"/>
            <w:shd w:val="clear" w:color="auto" w:fill="F2F4F8"/>
          </w:tcPr>
          <w:p>
            <w:pPr>
              <w:spacing w:after="0" w:before="0"/>
              <w:jc w:val="right"/>
            </w:pPr>
            <w:r/>
            <w:r>
              <w:rPr>
                <w:b w:val="0"/>
                <w:i w:val="0"/>
                <w:sz w:val="15"/>
              </w:rPr>
              <w:t>2019</w:t>
            </w:r>
          </w:p>
        </w:tc>
        <w:tc>
          <w:tcPr>
            <w:tcW w:type="dxa" w:w="1008"/>
            <w:shd w:val="clear" w:color="auto" w:fill="F2F4F8"/>
          </w:tcPr>
          <w:p>
            <w:pPr>
              <w:spacing w:after="0" w:before="0"/>
              <w:jc w:val="right"/>
            </w:pPr>
            <w:r/>
            <w:r>
              <w:rPr>
                <w:b w:val="0"/>
                <w:i w:val="0"/>
                <w:sz w:val="15"/>
              </w:rPr>
              <w:t>$15.0M</w:t>
            </w:r>
          </w:p>
        </w:tc>
        <w:tc>
          <w:tcPr>
            <w:tcW w:type="dxa" w:w="864"/>
            <w:shd w:val="clear" w:color="auto" w:fill="F2F4F8"/>
          </w:tcPr>
          <w:p>
            <w:pPr>
              <w:spacing w:after="0" w:before="0"/>
              <w:jc w:val="right"/>
            </w:pPr>
            <w:r/>
            <w:r>
              <w:rPr>
                <w:b w:val="0"/>
                <w:i w:val="0"/>
                <w:sz w:val="15"/>
              </w:rPr>
              <w:t>$1,250</w:t>
            </w:r>
          </w:p>
        </w:tc>
        <w:tc>
          <w:tcPr>
            <w:tcW w:type="dxa" w:w="1944"/>
            <w:shd w:val="clear" w:color="auto" w:fill="F2F4F8"/>
          </w:tcPr>
          <w:p>
            <w:pPr>
              <w:spacing w:after="0" w:before="0"/>
            </w:pPr>
            <w:r/>
            <w:r>
              <w:rPr>
                <w:b w:val="0"/>
                <w:i w:val="0"/>
                <w:sz w:val="15"/>
              </w:rPr>
              <w:t>estimate (utility spokesman: 'abou</w:t>
            </w:r>
          </w:p>
        </w:tc>
        <w:tc>
          <w:tcPr>
            <w:tcW w:type="dxa" w:w="936"/>
            <w:shd w:val="clear" w:color="auto" w:fill="F2F4F8"/>
          </w:tcPr>
          <w:p>
            <w:pPr>
              <w:spacing w:after="0" w:before="0"/>
            </w:pPr>
            <w:r/>
            <w:r>
              <w:rPr>
                <w:b w:val="0"/>
                <w:i w:val="0"/>
                <w:sz w:val="15"/>
              </w:rPr>
              <w:t>Low</w:t>
            </w:r>
          </w:p>
        </w:tc>
      </w:tr>
      <w:tr>
        <w:tc>
          <w:tcPr>
            <w:tcW w:type="dxa" w:w="2880"/>
          </w:tcPr>
          <w:p>
            <w:pPr>
              <w:spacing w:after="0" w:before="0"/>
            </w:pPr>
            <w:r/>
            <w:r>
              <w:rPr>
                <w:b w:val="0"/>
                <w:i w:val="0"/>
                <w:sz w:val="15"/>
              </w:rPr>
              <w:t>Martha's Vineyard BESS Phase 1 (cancelled)</w:t>
            </w:r>
          </w:p>
        </w:tc>
        <w:tc>
          <w:tcPr>
            <w:tcW w:type="dxa" w:w="720"/>
          </w:tcPr>
          <w:p>
            <w:pPr>
              <w:spacing w:after="0" w:before="0"/>
            </w:pPr>
            <w:r/>
            <w:r>
              <w:rPr>
                <w:b w:val="0"/>
                <w:i w:val="0"/>
                <w:sz w:val="15"/>
              </w:rPr>
              <w:t>MA</w:t>
            </w:r>
          </w:p>
        </w:tc>
        <w:tc>
          <w:tcPr>
            <w:tcW w:type="dxa" w:w="576"/>
          </w:tcPr>
          <w:p>
            <w:pPr>
              <w:spacing w:after="0" w:before="0"/>
              <w:jc w:val="right"/>
            </w:pPr>
            <w:r/>
            <w:r>
              <w:rPr>
                <w:b w:val="0"/>
                <w:i w:val="0"/>
                <w:sz w:val="15"/>
              </w:rPr>
              <w:t>4</w:t>
            </w:r>
          </w:p>
        </w:tc>
        <w:tc>
          <w:tcPr>
            <w:tcW w:type="dxa" w:w="648"/>
          </w:tcPr>
          <w:p>
            <w:pPr>
              <w:spacing w:after="0" w:before="0"/>
              <w:jc w:val="right"/>
            </w:pPr>
            <w:r/>
            <w:r>
              <w:rPr>
                <w:b w:val="0"/>
                <w:i w:val="0"/>
                <w:sz w:val="15"/>
              </w:rPr>
              <w:t>20</w:t>
            </w:r>
          </w:p>
        </w:tc>
        <w:tc>
          <w:tcPr>
            <w:tcW w:type="dxa" w:w="648"/>
          </w:tcPr>
          <w:p>
            <w:pPr>
              <w:spacing w:after="0" w:before="0"/>
              <w:jc w:val="right"/>
            </w:pPr>
            <w:r/>
            <w:r>
              <w:rPr>
                <w:b w:val="0"/>
                <w:i w:val="0"/>
                <w:sz w:val="15"/>
              </w:rPr>
              <w:t>2019</w:t>
            </w:r>
          </w:p>
        </w:tc>
        <w:tc>
          <w:tcPr>
            <w:tcW w:type="dxa" w:w="1008"/>
          </w:tcPr>
          <w:p>
            <w:pPr>
              <w:spacing w:after="0" w:before="0"/>
              <w:jc w:val="right"/>
            </w:pPr>
            <w:r/>
            <w:r>
              <w:rPr>
                <w:b w:val="0"/>
                <w:i w:val="0"/>
                <w:sz w:val="15"/>
              </w:rPr>
              <w:t>$15.0M</w:t>
            </w:r>
          </w:p>
        </w:tc>
        <w:tc>
          <w:tcPr>
            <w:tcW w:type="dxa" w:w="864"/>
          </w:tcPr>
          <w:p>
            <w:pPr>
              <w:spacing w:after="0" w:before="0"/>
              <w:jc w:val="right"/>
            </w:pPr>
            <w:r/>
            <w:r>
              <w:rPr>
                <w:b w:val="0"/>
                <w:i w:val="0"/>
                <w:sz w:val="15"/>
              </w:rPr>
              <w:t>$750</w:t>
            </w:r>
          </w:p>
        </w:tc>
        <w:tc>
          <w:tcPr>
            <w:tcW w:type="dxa" w:w="1944"/>
          </w:tcPr>
          <w:p>
            <w:pPr>
              <w:spacing w:after="0" w:before="0"/>
            </w:pPr>
            <w:r/>
            <w:r>
              <w:rPr>
                <w:b w:val="0"/>
                <w:i w:val="0"/>
                <w:sz w:val="15"/>
              </w:rPr>
              <w:t>estimate (DPU 18-155 filing)</w:t>
            </w:r>
          </w:p>
        </w:tc>
        <w:tc>
          <w:tcPr>
            <w:tcW w:type="dxa" w:w="936"/>
          </w:tcPr>
          <w:p>
            <w:pPr>
              <w:spacing w:after="0" w:before="0"/>
            </w:pPr>
            <w:r/>
            <w:r>
              <w:rPr>
                <w:b w:val="0"/>
                <w:i w:val="0"/>
                <w:sz w:val="15"/>
              </w:rPr>
              <w:t>Medium</w:t>
            </w:r>
          </w:p>
        </w:tc>
      </w:tr>
      <w:tr>
        <w:tc>
          <w:tcPr>
            <w:tcW w:type="dxa" w:w="2880"/>
            <w:shd w:val="clear" w:color="auto" w:fill="F2F4F8"/>
          </w:tcPr>
          <w:p>
            <w:pPr>
              <w:spacing w:after="0" w:before="0"/>
            </w:pPr>
            <w:r/>
            <w:r>
              <w:rPr>
                <w:b w:val="0"/>
                <w:i w:val="0"/>
                <w:sz w:val="15"/>
              </w:rPr>
              <w:t>Northern New York (Chateaugay) BESS</w:t>
            </w:r>
          </w:p>
        </w:tc>
        <w:tc>
          <w:tcPr>
            <w:tcW w:type="dxa" w:w="720"/>
            <w:shd w:val="clear" w:color="auto" w:fill="F2F4F8"/>
          </w:tcPr>
          <w:p>
            <w:pPr>
              <w:spacing w:after="0" w:before="0"/>
            </w:pPr>
            <w:r/>
            <w:r>
              <w:rPr>
                <w:b w:val="0"/>
                <w:i w:val="0"/>
                <w:sz w:val="15"/>
              </w:rPr>
              <w:t>NY</w:t>
            </w:r>
          </w:p>
        </w:tc>
        <w:tc>
          <w:tcPr>
            <w:tcW w:type="dxa" w:w="576"/>
            <w:shd w:val="clear" w:color="auto" w:fill="F2F4F8"/>
          </w:tcPr>
          <w:p>
            <w:pPr>
              <w:spacing w:after="0" w:before="0"/>
              <w:jc w:val="right"/>
            </w:pPr>
            <w:r/>
            <w:r>
              <w:rPr>
                <w:b w:val="0"/>
                <w:i w:val="0"/>
                <w:sz w:val="15"/>
              </w:rPr>
              <w:t>20</w:t>
            </w:r>
          </w:p>
        </w:tc>
        <w:tc>
          <w:tcPr>
            <w:tcW w:type="dxa" w:w="648"/>
            <w:shd w:val="clear" w:color="auto" w:fill="F2F4F8"/>
          </w:tcPr>
          <w:p>
            <w:pPr>
              <w:spacing w:after="0" w:before="0"/>
              <w:jc w:val="right"/>
            </w:pPr>
            <w:r/>
            <w:r>
              <w:rPr>
                <w:b w:val="0"/>
                <w:i w:val="0"/>
                <w:sz w:val="15"/>
              </w:rPr>
              <w:t>20</w:t>
            </w:r>
          </w:p>
        </w:tc>
        <w:tc>
          <w:tcPr>
            <w:tcW w:type="dxa" w:w="648"/>
            <w:shd w:val="clear" w:color="auto" w:fill="F2F4F8"/>
          </w:tcPr>
          <w:p>
            <w:pPr>
              <w:spacing w:after="0" w:before="0"/>
              <w:jc w:val="right"/>
            </w:pPr>
            <w:r/>
            <w:r>
              <w:rPr>
                <w:b w:val="0"/>
                <w:i w:val="0"/>
                <w:sz w:val="15"/>
              </w:rPr>
              <w:t>2023</w:t>
            </w:r>
          </w:p>
        </w:tc>
        <w:tc>
          <w:tcPr>
            <w:tcW w:type="dxa" w:w="1008"/>
            <w:shd w:val="clear" w:color="auto" w:fill="F2F4F8"/>
          </w:tcPr>
          <w:p>
            <w:pPr>
              <w:spacing w:after="0" w:before="0"/>
              <w:jc w:val="right"/>
            </w:pPr>
            <w:r/>
            <w:r>
              <w:rPr>
                <w:b w:val="0"/>
                <w:i w:val="0"/>
                <w:sz w:val="15"/>
              </w:rPr>
              <w:t>$29.8M</w:t>
            </w:r>
          </w:p>
        </w:tc>
        <w:tc>
          <w:tcPr>
            <w:tcW w:type="dxa" w:w="864"/>
            <w:shd w:val="clear" w:color="auto" w:fill="F2F4F8"/>
          </w:tcPr>
          <w:p>
            <w:pPr>
              <w:spacing w:after="0" w:before="0"/>
              <w:jc w:val="right"/>
            </w:pPr>
            <w:r/>
            <w:r>
              <w:rPr>
                <w:b w:val="0"/>
                <w:i w:val="0"/>
                <w:sz w:val="15"/>
              </w:rPr>
              <w:t>$1,490</w:t>
            </w:r>
          </w:p>
        </w:tc>
        <w:tc>
          <w:tcPr>
            <w:tcW w:type="dxa" w:w="1944"/>
            <w:shd w:val="clear" w:color="auto" w:fill="F2F4F8"/>
          </w:tcPr>
          <w:p>
            <w:pPr>
              <w:spacing w:after="0" w:before="0"/>
            </w:pPr>
            <w:r/>
            <w:r>
              <w:rPr>
                <w:b w:val="0"/>
                <w:i w:val="0"/>
                <w:sz w:val="15"/>
              </w:rPr>
              <w:t>approved budget (NYPA Trustees)</w:t>
            </w:r>
          </w:p>
        </w:tc>
        <w:tc>
          <w:tcPr>
            <w:tcW w:type="dxa" w:w="936"/>
            <w:shd w:val="clear" w:color="auto" w:fill="F2F4F8"/>
          </w:tcPr>
          <w:p>
            <w:pPr>
              <w:spacing w:after="0" w:before="0"/>
            </w:pPr>
            <w:r/>
            <w:r>
              <w:rPr>
                <w:b w:val="0"/>
                <w:i w:val="0"/>
                <w:sz w:val="15"/>
              </w:rPr>
              <w:t>High</w:t>
            </w:r>
          </w:p>
        </w:tc>
      </w:tr>
      <w:tr>
        <w:tc>
          <w:tcPr>
            <w:tcW w:type="dxa" w:w="2880"/>
          </w:tcPr>
          <w:p>
            <w:pPr>
              <w:spacing w:after="0" w:before="0"/>
            </w:pPr>
            <w:r/>
            <w:r>
              <w:rPr>
                <w:b w:val="0"/>
                <w:i w:val="0"/>
                <w:sz w:val="15"/>
              </w:rPr>
              <w:t>Harding Street BESS</w:t>
            </w:r>
          </w:p>
        </w:tc>
        <w:tc>
          <w:tcPr>
            <w:tcW w:type="dxa" w:w="720"/>
          </w:tcPr>
          <w:p>
            <w:pPr>
              <w:spacing w:after="0" w:before="0"/>
            </w:pPr>
            <w:r/>
            <w:r>
              <w:rPr>
                <w:b w:val="0"/>
                <w:i w:val="0"/>
                <w:sz w:val="15"/>
              </w:rPr>
              <w:t>IN</w:t>
            </w:r>
          </w:p>
        </w:tc>
        <w:tc>
          <w:tcPr>
            <w:tcW w:type="dxa" w:w="576"/>
          </w:tcPr>
          <w:p>
            <w:pPr>
              <w:spacing w:after="0" w:before="0"/>
              <w:jc w:val="right"/>
            </w:pPr>
            <w:r/>
            <w:r>
              <w:rPr>
                <w:b w:val="0"/>
                <w:i w:val="0"/>
                <w:sz w:val="15"/>
              </w:rPr>
              <w:t>20</w:t>
            </w:r>
          </w:p>
        </w:tc>
        <w:tc>
          <w:tcPr>
            <w:tcW w:type="dxa" w:w="648"/>
          </w:tcPr>
          <w:p>
            <w:pPr>
              <w:spacing w:after="0" w:before="0"/>
              <w:jc w:val="right"/>
            </w:pPr>
            <w:r/>
            <w:r>
              <w:rPr>
                <w:b w:val="0"/>
                <w:i w:val="0"/>
                <w:sz w:val="15"/>
              </w:rPr>
              <w:t>20</w:t>
            </w:r>
          </w:p>
        </w:tc>
        <w:tc>
          <w:tcPr>
            <w:tcW w:type="dxa" w:w="648"/>
          </w:tcPr>
          <w:p>
            <w:pPr>
              <w:spacing w:after="0" w:before="0"/>
              <w:jc w:val="right"/>
            </w:pPr>
            <w:r/>
            <w:r>
              <w:rPr>
                <w:b w:val="0"/>
                <w:i w:val="0"/>
                <w:sz w:val="15"/>
              </w:rPr>
              <w:t>2016</w:t>
            </w:r>
          </w:p>
        </w:tc>
        <w:tc>
          <w:tcPr>
            <w:tcW w:type="dxa" w:w="1008"/>
          </w:tcPr>
          <w:p>
            <w:pPr>
              <w:spacing w:after="0" w:before="0"/>
              <w:jc w:val="right"/>
            </w:pPr>
            <w:r/>
            <w:r>
              <w:rPr>
                <w:b w:val="0"/>
                <w:i w:val="0"/>
                <w:sz w:val="15"/>
              </w:rPr>
              <w:t>$25.0M</w:t>
            </w:r>
          </w:p>
        </w:tc>
        <w:tc>
          <w:tcPr>
            <w:tcW w:type="dxa" w:w="864"/>
          </w:tcPr>
          <w:p>
            <w:pPr>
              <w:spacing w:after="0" w:before="0"/>
              <w:jc w:val="right"/>
            </w:pPr>
            <w:r/>
            <w:r>
              <w:rPr>
                <w:b w:val="0"/>
                <w:i w:val="0"/>
                <w:sz w:val="15"/>
              </w:rPr>
              <w:t>$1,250</w:t>
            </w:r>
          </w:p>
        </w:tc>
        <w:tc>
          <w:tcPr>
            <w:tcW w:type="dxa" w:w="1944"/>
          </w:tcPr>
          <w:p>
            <w:pPr>
              <w:spacing w:after="0" w:before="0"/>
            </w:pPr>
            <w:r/>
            <w:r>
              <w:rPr>
                <w:b w:val="0"/>
                <w:i w:val="0"/>
                <w:sz w:val="15"/>
              </w:rPr>
              <w:t>estimate at announcement (2015)</w:t>
            </w:r>
          </w:p>
        </w:tc>
        <w:tc>
          <w:tcPr>
            <w:tcW w:type="dxa" w:w="936"/>
          </w:tcPr>
          <w:p>
            <w:pPr>
              <w:spacing w:after="0" w:before="0"/>
            </w:pPr>
            <w:r/>
            <w:r>
              <w:rPr>
                <w:b w:val="0"/>
                <w:i w:val="0"/>
                <w:sz w:val="15"/>
              </w:rPr>
              <w:t>Medium</w:t>
            </w:r>
          </w:p>
        </w:tc>
      </w:tr>
      <w:tr>
        <w:tc>
          <w:tcPr>
            <w:tcW w:type="dxa" w:w="2880"/>
            <w:shd w:val="clear" w:color="auto" w:fill="F2F4F8"/>
          </w:tcPr>
          <w:p>
            <w:pPr>
              <w:spacing w:after="0" w:before="0"/>
            </w:pPr>
            <w:r/>
            <w:r>
              <w:rPr>
                <w:b w:val="0"/>
                <w:i w:val="0"/>
                <w:sz w:val="15"/>
              </w:rPr>
              <w:t>WindCharger [CANADA]</w:t>
            </w:r>
          </w:p>
        </w:tc>
        <w:tc>
          <w:tcPr>
            <w:tcW w:type="dxa" w:w="720"/>
            <w:shd w:val="clear" w:color="auto" w:fill="F2F4F8"/>
          </w:tcPr>
          <w:p>
            <w:pPr>
              <w:spacing w:after="0" w:before="0"/>
            </w:pPr>
            <w:r/>
            <w:r>
              <w:rPr>
                <w:b w:val="0"/>
                <w:i w:val="0"/>
                <w:sz w:val="15"/>
              </w:rPr>
              <w:t>AB (Canada)</w:t>
            </w:r>
          </w:p>
        </w:tc>
        <w:tc>
          <w:tcPr>
            <w:tcW w:type="dxa" w:w="576"/>
            <w:shd w:val="clear" w:color="auto" w:fill="F2F4F8"/>
          </w:tcPr>
          <w:p>
            <w:pPr>
              <w:spacing w:after="0" w:before="0"/>
              <w:jc w:val="right"/>
            </w:pPr>
            <w:r/>
            <w:r>
              <w:rPr>
                <w:b w:val="0"/>
                <w:i w:val="0"/>
                <w:sz w:val="15"/>
              </w:rPr>
              <w:t>10</w:t>
            </w:r>
          </w:p>
        </w:tc>
        <w:tc>
          <w:tcPr>
            <w:tcW w:type="dxa" w:w="648"/>
            <w:shd w:val="clear" w:color="auto" w:fill="F2F4F8"/>
          </w:tcPr>
          <w:p>
            <w:pPr>
              <w:spacing w:after="0" w:before="0"/>
              <w:jc w:val="right"/>
            </w:pPr>
            <w:r/>
            <w:r>
              <w:rPr>
                <w:b w:val="0"/>
                <w:i w:val="0"/>
                <w:sz w:val="15"/>
              </w:rPr>
              <w:t>20</w:t>
            </w:r>
          </w:p>
        </w:tc>
        <w:tc>
          <w:tcPr>
            <w:tcW w:type="dxa" w:w="648"/>
            <w:shd w:val="clear" w:color="auto" w:fill="F2F4F8"/>
          </w:tcPr>
          <w:p>
            <w:pPr>
              <w:spacing w:after="0" w:before="0"/>
              <w:jc w:val="right"/>
            </w:pPr>
            <w:r/>
            <w:r>
              <w:rPr>
                <w:b w:val="0"/>
                <w:i w:val="0"/>
                <w:sz w:val="15"/>
              </w:rPr>
              <w:t>2020</w:t>
            </w:r>
          </w:p>
        </w:tc>
        <w:tc>
          <w:tcPr>
            <w:tcW w:type="dxa" w:w="1008"/>
            <w:shd w:val="clear" w:color="auto" w:fill="F2F4F8"/>
          </w:tcPr>
          <w:p>
            <w:pPr>
              <w:spacing w:after="0" w:before="0"/>
              <w:jc w:val="right"/>
            </w:pPr>
            <w:r/>
            <w:r>
              <w:rPr>
                <w:b w:val="0"/>
                <w:i w:val="0"/>
                <w:sz w:val="15"/>
              </w:rPr>
              <w:t>$11.0M</w:t>
            </w:r>
          </w:p>
        </w:tc>
        <w:tc>
          <w:tcPr>
            <w:tcW w:type="dxa" w:w="864"/>
            <w:shd w:val="clear" w:color="auto" w:fill="F2F4F8"/>
          </w:tcPr>
          <w:p>
            <w:pPr>
              <w:spacing w:after="0" w:before="0"/>
              <w:jc w:val="right"/>
            </w:pPr>
            <w:r/>
            <w:r>
              <w:rPr>
                <w:b w:val="0"/>
                <w:i w:val="0"/>
                <w:sz w:val="15"/>
              </w:rPr>
              <w:t>$550</w:t>
            </w:r>
          </w:p>
        </w:tc>
        <w:tc>
          <w:tcPr>
            <w:tcW w:type="dxa" w:w="1944"/>
            <w:shd w:val="clear" w:color="auto" w:fill="F2F4F8"/>
          </w:tcPr>
          <w:p>
            <w:pPr>
              <w:spacing w:after="0" w:before="0"/>
            </w:pPr>
            <w:r/>
            <w:r>
              <w:rPr>
                <w:b w:val="0"/>
                <w:i w:val="0"/>
                <w:sz w:val="15"/>
              </w:rPr>
              <w:t>final/actual (total capital cost)</w:t>
            </w:r>
          </w:p>
        </w:tc>
        <w:tc>
          <w:tcPr>
            <w:tcW w:type="dxa" w:w="936"/>
            <w:shd w:val="clear" w:color="auto" w:fill="F2F4F8"/>
          </w:tcPr>
          <w:p>
            <w:pPr>
              <w:spacing w:after="0" w:before="0"/>
            </w:pPr>
            <w:r/>
            <w:r>
              <w:rPr>
                <w:b w:val="0"/>
                <w:i w:val="0"/>
                <w:sz w:val="15"/>
              </w:rPr>
              <w:t>Medium</w:t>
            </w:r>
          </w:p>
        </w:tc>
      </w:tr>
      <w:tr>
        <w:tc>
          <w:tcPr>
            <w:tcW w:type="dxa" w:w="2880"/>
          </w:tcPr>
          <w:p>
            <w:pPr>
              <w:spacing w:after="0" w:before="0"/>
            </w:pPr>
            <w:r/>
            <w:r>
              <w:rPr>
                <w:b w:val="0"/>
                <w:i w:val="0"/>
                <w:sz w:val="15"/>
              </w:rPr>
              <w:t>Outer Cape (Provincetown) BESS</w:t>
            </w:r>
          </w:p>
        </w:tc>
        <w:tc>
          <w:tcPr>
            <w:tcW w:type="dxa" w:w="720"/>
          </w:tcPr>
          <w:p>
            <w:pPr>
              <w:spacing w:after="0" w:before="0"/>
            </w:pPr>
            <w:r/>
            <w:r>
              <w:rPr>
                <w:b w:val="0"/>
                <w:i w:val="0"/>
                <w:sz w:val="15"/>
              </w:rPr>
              <w:t>MA</w:t>
            </w:r>
          </w:p>
        </w:tc>
        <w:tc>
          <w:tcPr>
            <w:tcW w:type="dxa" w:w="576"/>
          </w:tcPr>
          <w:p>
            <w:pPr>
              <w:spacing w:after="0" w:before="0"/>
              <w:jc w:val="right"/>
            </w:pPr>
            <w:r/>
            <w:r>
              <w:rPr>
                <w:b w:val="0"/>
                <w:i w:val="0"/>
                <w:sz w:val="15"/>
              </w:rPr>
              <w:t>25</w:t>
            </w:r>
          </w:p>
        </w:tc>
        <w:tc>
          <w:tcPr>
            <w:tcW w:type="dxa" w:w="648"/>
          </w:tcPr>
          <w:p>
            <w:pPr>
              <w:spacing w:after="0" w:before="0"/>
              <w:jc w:val="right"/>
            </w:pPr>
            <w:r/>
            <w:r>
              <w:rPr>
                <w:b w:val="0"/>
                <w:i w:val="0"/>
                <w:sz w:val="15"/>
              </w:rPr>
              <w:t>38</w:t>
            </w:r>
          </w:p>
        </w:tc>
        <w:tc>
          <w:tcPr>
            <w:tcW w:type="dxa" w:w="648"/>
          </w:tcPr>
          <w:p>
            <w:pPr>
              <w:spacing w:after="0" w:before="0"/>
              <w:jc w:val="right"/>
            </w:pPr>
            <w:r/>
            <w:r>
              <w:rPr>
                <w:b w:val="0"/>
                <w:i w:val="0"/>
                <w:sz w:val="15"/>
              </w:rPr>
              <w:t>2022</w:t>
            </w:r>
          </w:p>
        </w:tc>
        <w:tc>
          <w:tcPr>
            <w:tcW w:type="dxa" w:w="1008"/>
          </w:tcPr>
          <w:p>
            <w:pPr>
              <w:spacing w:after="0" w:before="0"/>
              <w:jc w:val="right"/>
            </w:pPr>
            <w:r/>
            <w:r>
              <w:rPr>
                <w:b w:val="0"/>
                <w:i w:val="0"/>
                <w:sz w:val="15"/>
              </w:rPr>
              <w:t>$49.0M</w:t>
            </w:r>
          </w:p>
        </w:tc>
        <w:tc>
          <w:tcPr>
            <w:tcW w:type="dxa" w:w="864"/>
          </w:tcPr>
          <w:p>
            <w:pPr>
              <w:spacing w:after="0" w:before="0"/>
              <w:jc w:val="right"/>
            </w:pPr>
            <w:r/>
            <w:r>
              <w:rPr>
                <w:b w:val="0"/>
                <w:i w:val="0"/>
                <w:sz w:val="15"/>
              </w:rPr>
              <w:t>$1,289</w:t>
            </w:r>
          </w:p>
        </w:tc>
        <w:tc>
          <w:tcPr>
            <w:tcW w:type="dxa" w:w="1944"/>
          </w:tcPr>
          <w:p>
            <w:pPr>
              <w:spacing w:after="0" w:before="0"/>
            </w:pPr>
            <w:r/>
            <w:r>
              <w:rPr>
                <w:b w:val="0"/>
                <w:i w:val="0"/>
                <w:sz w:val="15"/>
              </w:rPr>
              <w:t>final/actual (as reported)</w:t>
            </w:r>
          </w:p>
        </w:tc>
        <w:tc>
          <w:tcPr>
            <w:tcW w:type="dxa" w:w="936"/>
          </w:tcPr>
          <w:p>
            <w:pPr>
              <w:spacing w:after="0" w:before="0"/>
            </w:pPr>
            <w:r/>
            <w:r>
              <w:rPr>
                <w:b w:val="0"/>
                <w:i w:val="0"/>
                <w:sz w:val="15"/>
              </w:rPr>
              <w:t>Medium</w:t>
            </w:r>
          </w:p>
        </w:tc>
      </w:tr>
      <w:tr>
        <w:tc>
          <w:tcPr>
            <w:tcW w:type="dxa" w:w="2880"/>
            <w:shd w:val="clear" w:color="auto" w:fill="F2F4F8"/>
          </w:tcPr>
          <w:p>
            <w:pPr>
              <w:spacing w:after="0" w:before="0"/>
            </w:pPr>
            <w:r/>
            <w:r>
              <w:rPr>
                <w:b w:val="0"/>
                <w:i w:val="0"/>
                <w:sz w:val="15"/>
              </w:rPr>
              <w:t>Martha's Vineyard BESS Phase 2 (cancelled)</w:t>
            </w:r>
          </w:p>
        </w:tc>
        <w:tc>
          <w:tcPr>
            <w:tcW w:type="dxa" w:w="720"/>
            <w:shd w:val="clear" w:color="auto" w:fill="F2F4F8"/>
          </w:tcPr>
          <w:p>
            <w:pPr>
              <w:spacing w:after="0" w:before="0"/>
            </w:pPr>
            <w:r/>
            <w:r>
              <w:rPr>
                <w:b w:val="0"/>
                <w:i w:val="0"/>
                <w:sz w:val="15"/>
              </w:rPr>
              <w:t>MA</w:t>
            </w:r>
          </w:p>
        </w:tc>
        <w:tc>
          <w:tcPr>
            <w:tcW w:type="dxa" w:w="576"/>
            <w:shd w:val="clear" w:color="auto" w:fill="F2F4F8"/>
          </w:tcPr>
          <w:p>
            <w:pPr>
              <w:spacing w:after="0" w:before="0"/>
              <w:jc w:val="right"/>
            </w:pPr>
            <w:r/>
            <w:r>
              <w:rPr>
                <w:b w:val="0"/>
                <w:i w:val="0"/>
                <w:sz w:val="15"/>
              </w:rPr>
              <w:t>9</w:t>
            </w:r>
          </w:p>
        </w:tc>
        <w:tc>
          <w:tcPr>
            <w:tcW w:type="dxa" w:w="648"/>
            <w:shd w:val="clear" w:color="auto" w:fill="F2F4F8"/>
          </w:tcPr>
          <w:p>
            <w:pPr>
              <w:spacing w:after="0" w:before="0"/>
              <w:jc w:val="right"/>
            </w:pPr>
            <w:r/>
            <w:r>
              <w:rPr>
                <w:b w:val="0"/>
                <w:i w:val="0"/>
                <w:sz w:val="15"/>
              </w:rPr>
              <w:t>64</w:t>
            </w:r>
          </w:p>
        </w:tc>
        <w:tc>
          <w:tcPr>
            <w:tcW w:type="dxa" w:w="648"/>
            <w:shd w:val="clear" w:color="auto" w:fill="F2F4F8"/>
          </w:tcPr>
          <w:p>
            <w:pPr>
              <w:spacing w:after="0" w:before="0"/>
              <w:jc w:val="right"/>
            </w:pPr>
            <w:r/>
            <w:r>
              <w:rPr>
                <w:b w:val="0"/>
                <w:i w:val="0"/>
                <w:sz w:val="15"/>
              </w:rPr>
              <w:t>2019</w:t>
            </w:r>
          </w:p>
        </w:tc>
        <w:tc>
          <w:tcPr>
            <w:tcW w:type="dxa" w:w="1008"/>
            <w:shd w:val="clear" w:color="auto" w:fill="F2F4F8"/>
          </w:tcPr>
          <w:p>
            <w:pPr>
              <w:spacing w:after="0" w:before="0"/>
              <w:jc w:val="right"/>
            </w:pPr>
            <w:r/>
            <w:r>
              <w:rPr>
                <w:b w:val="0"/>
                <w:i w:val="0"/>
                <w:sz w:val="15"/>
              </w:rPr>
              <w:t>$28.0M</w:t>
            </w:r>
          </w:p>
        </w:tc>
        <w:tc>
          <w:tcPr>
            <w:tcW w:type="dxa" w:w="864"/>
            <w:shd w:val="clear" w:color="auto" w:fill="F2F4F8"/>
          </w:tcPr>
          <w:p>
            <w:pPr>
              <w:spacing w:after="0" w:before="0"/>
              <w:jc w:val="right"/>
            </w:pPr>
            <w:r/>
            <w:r>
              <w:rPr>
                <w:b w:val="0"/>
                <w:i w:val="0"/>
                <w:sz w:val="15"/>
              </w:rPr>
              <w:t>$438</w:t>
            </w:r>
          </w:p>
        </w:tc>
        <w:tc>
          <w:tcPr>
            <w:tcW w:type="dxa" w:w="1944"/>
            <w:shd w:val="clear" w:color="auto" w:fill="F2F4F8"/>
          </w:tcPr>
          <w:p>
            <w:pPr>
              <w:spacing w:after="0" w:before="0"/>
            </w:pPr>
            <w:r/>
            <w:r>
              <w:rPr>
                <w:b w:val="0"/>
                <w:i w:val="0"/>
                <w:sz w:val="15"/>
              </w:rPr>
              <w:t>estimate (DPU 18-155 filing)</w:t>
            </w:r>
          </w:p>
        </w:tc>
        <w:tc>
          <w:tcPr>
            <w:tcW w:type="dxa" w:w="936"/>
            <w:shd w:val="clear" w:color="auto" w:fill="F2F4F8"/>
          </w:tcPr>
          <w:p>
            <w:pPr>
              <w:spacing w:after="0" w:before="0"/>
            </w:pPr>
            <w:r/>
            <w:r>
              <w:rPr>
                <w:b w:val="0"/>
                <w:i w:val="0"/>
                <w:sz w:val="15"/>
              </w:rPr>
              <w:t>Medium</w:t>
            </w:r>
          </w:p>
        </w:tc>
      </w:tr>
      <w:tr>
        <w:tc>
          <w:tcPr>
            <w:tcW w:type="dxa" w:w="2880"/>
          </w:tcPr>
          <w:p>
            <w:pPr>
              <w:spacing w:after="0" w:before="0"/>
            </w:pPr>
            <w:r/>
            <w:r>
              <w:rPr>
                <w:b w:val="0"/>
                <w:i w:val="0"/>
                <w:sz w:val="15"/>
              </w:rPr>
              <w:t>Chugach BESS (Southcentral Power Project sit</w:t>
            </w:r>
          </w:p>
        </w:tc>
        <w:tc>
          <w:tcPr>
            <w:tcW w:type="dxa" w:w="720"/>
          </w:tcPr>
          <w:p>
            <w:pPr>
              <w:spacing w:after="0" w:before="0"/>
            </w:pPr>
            <w:r/>
            <w:r>
              <w:rPr>
                <w:b w:val="0"/>
                <w:i w:val="0"/>
                <w:sz w:val="15"/>
              </w:rPr>
              <w:t>AK</w:t>
            </w:r>
          </w:p>
        </w:tc>
        <w:tc>
          <w:tcPr>
            <w:tcW w:type="dxa" w:w="576"/>
          </w:tcPr>
          <w:p>
            <w:pPr>
              <w:spacing w:after="0" w:before="0"/>
              <w:jc w:val="right"/>
            </w:pPr>
            <w:r/>
            <w:r>
              <w:rPr>
                <w:b w:val="0"/>
                <w:i w:val="0"/>
                <w:sz w:val="15"/>
              </w:rPr>
              <w:t>40</w:t>
            </w:r>
          </w:p>
        </w:tc>
        <w:tc>
          <w:tcPr>
            <w:tcW w:type="dxa" w:w="648"/>
          </w:tcPr>
          <w:p>
            <w:pPr>
              <w:spacing w:after="0" w:before="0"/>
              <w:jc w:val="right"/>
            </w:pPr>
            <w:r/>
            <w:r>
              <w:rPr>
                <w:b w:val="0"/>
                <w:i w:val="0"/>
                <w:sz w:val="15"/>
              </w:rPr>
              <w:t>80</w:t>
            </w:r>
          </w:p>
        </w:tc>
        <w:tc>
          <w:tcPr>
            <w:tcW w:type="dxa" w:w="648"/>
          </w:tcPr>
          <w:p>
            <w:pPr>
              <w:spacing w:after="0" w:before="0"/>
              <w:jc w:val="right"/>
            </w:pPr>
            <w:r/>
            <w:r>
              <w:rPr>
                <w:b w:val="0"/>
                <w:i w:val="0"/>
                <w:sz w:val="15"/>
              </w:rPr>
              <w:t>2024</w:t>
            </w:r>
          </w:p>
        </w:tc>
        <w:tc>
          <w:tcPr>
            <w:tcW w:type="dxa" w:w="1008"/>
          </w:tcPr>
          <w:p>
            <w:pPr>
              <w:spacing w:after="0" w:before="0"/>
              <w:jc w:val="right"/>
            </w:pPr>
            <w:r/>
            <w:r>
              <w:rPr>
                <w:b w:val="0"/>
                <w:i w:val="0"/>
                <w:sz w:val="15"/>
              </w:rPr>
              <w:t>$65.0M</w:t>
            </w:r>
          </w:p>
        </w:tc>
        <w:tc>
          <w:tcPr>
            <w:tcW w:type="dxa" w:w="864"/>
          </w:tcPr>
          <w:p>
            <w:pPr>
              <w:spacing w:after="0" w:before="0"/>
              <w:jc w:val="right"/>
            </w:pPr>
            <w:r/>
            <w:r>
              <w:rPr>
                <w:b w:val="0"/>
                <w:i w:val="0"/>
                <w:sz w:val="15"/>
              </w:rPr>
              <w:t>$812</w:t>
            </w:r>
          </w:p>
        </w:tc>
        <w:tc>
          <w:tcPr>
            <w:tcW w:type="dxa" w:w="1944"/>
          </w:tcPr>
          <w:p>
            <w:pPr>
              <w:spacing w:after="0" w:before="0"/>
            </w:pPr>
            <w:r/>
            <w:r>
              <w:rPr>
                <w:b w:val="0"/>
                <w:i w:val="0"/>
                <w:sz w:val="15"/>
              </w:rPr>
              <w:t>final/actual (as reported)</w:t>
            </w:r>
          </w:p>
        </w:tc>
        <w:tc>
          <w:tcPr>
            <w:tcW w:type="dxa" w:w="936"/>
          </w:tcPr>
          <w:p>
            <w:pPr>
              <w:spacing w:after="0" w:before="0"/>
            </w:pPr>
            <w:r/>
            <w:r>
              <w:rPr>
                <w:b w:val="0"/>
                <w:i w:val="0"/>
                <w:sz w:val="15"/>
              </w:rPr>
              <w:t>High</w:t>
            </w:r>
          </w:p>
        </w:tc>
      </w:tr>
      <w:tr>
        <w:tc>
          <w:tcPr>
            <w:tcW w:type="dxa" w:w="2880"/>
            <w:shd w:val="clear" w:color="auto" w:fill="F2F4F8"/>
          </w:tcPr>
          <w:p>
            <w:pPr>
              <w:spacing w:after="0" w:before="0"/>
            </w:pPr>
            <w:r/>
            <w:r>
              <w:rPr>
                <w:b w:val="0"/>
                <w:i w:val="0"/>
                <w:sz w:val="15"/>
              </w:rPr>
              <w:t>Waena BESS (Maui)</w:t>
            </w:r>
          </w:p>
        </w:tc>
        <w:tc>
          <w:tcPr>
            <w:tcW w:type="dxa" w:w="720"/>
            <w:shd w:val="clear" w:color="auto" w:fill="F2F4F8"/>
          </w:tcPr>
          <w:p>
            <w:pPr>
              <w:spacing w:after="0" w:before="0"/>
            </w:pPr>
            <w:r/>
            <w:r>
              <w:rPr>
                <w:b w:val="0"/>
                <w:i w:val="0"/>
                <w:sz w:val="15"/>
              </w:rPr>
              <w:t>HI</w:t>
            </w:r>
          </w:p>
        </w:tc>
        <w:tc>
          <w:tcPr>
            <w:tcW w:type="dxa" w:w="576"/>
            <w:shd w:val="clear" w:color="auto" w:fill="F2F4F8"/>
          </w:tcPr>
          <w:p>
            <w:pPr>
              <w:spacing w:after="0" w:before="0"/>
              <w:jc w:val="right"/>
            </w:pPr>
            <w:r/>
            <w:r>
              <w:rPr>
                <w:b w:val="0"/>
                <w:i w:val="0"/>
                <w:sz w:val="15"/>
              </w:rPr>
              <w:t>40</w:t>
            </w:r>
          </w:p>
        </w:tc>
        <w:tc>
          <w:tcPr>
            <w:tcW w:type="dxa" w:w="648"/>
            <w:shd w:val="clear" w:color="auto" w:fill="F2F4F8"/>
          </w:tcPr>
          <w:p>
            <w:pPr>
              <w:spacing w:after="0" w:before="0"/>
              <w:jc w:val="right"/>
            </w:pPr>
            <w:r/>
            <w:r>
              <w:rPr>
                <w:b w:val="0"/>
                <w:i w:val="0"/>
                <w:sz w:val="15"/>
              </w:rPr>
              <w:t>160</w:t>
            </w:r>
          </w:p>
        </w:tc>
        <w:tc>
          <w:tcPr>
            <w:tcW w:type="dxa" w:w="648"/>
            <w:shd w:val="clear" w:color="auto" w:fill="F2F4F8"/>
          </w:tcPr>
          <w:p>
            <w:pPr>
              <w:spacing w:after="0" w:before="0"/>
              <w:jc w:val="right"/>
            </w:pPr>
            <w:r/>
            <w:r>
              <w:rPr>
                <w:b w:val="0"/>
                <w:i w:val="0"/>
                <w:sz w:val="15"/>
              </w:rPr>
              <w:t>2027</w:t>
            </w:r>
          </w:p>
        </w:tc>
        <w:tc>
          <w:tcPr>
            <w:tcW w:type="dxa" w:w="1008"/>
            <w:shd w:val="clear" w:color="auto" w:fill="F2F4F8"/>
          </w:tcPr>
          <w:p>
            <w:pPr>
              <w:spacing w:after="0" w:before="0"/>
              <w:jc w:val="right"/>
            </w:pPr>
            <w:r/>
            <w:r>
              <w:rPr>
                <w:b w:val="0"/>
                <w:i w:val="0"/>
                <w:sz w:val="15"/>
              </w:rPr>
              <w:t>$82.1M</w:t>
            </w:r>
          </w:p>
        </w:tc>
        <w:tc>
          <w:tcPr>
            <w:tcW w:type="dxa" w:w="864"/>
            <w:shd w:val="clear" w:color="auto" w:fill="F2F4F8"/>
          </w:tcPr>
          <w:p>
            <w:pPr>
              <w:spacing w:after="0" w:before="0"/>
              <w:jc w:val="right"/>
            </w:pPr>
            <w:r/>
            <w:r>
              <w:rPr>
                <w:b w:val="0"/>
                <w:i w:val="0"/>
                <w:sz w:val="15"/>
              </w:rPr>
              <w:t>$513</w:t>
            </w:r>
          </w:p>
        </w:tc>
        <w:tc>
          <w:tcPr>
            <w:tcW w:type="dxa" w:w="1944"/>
            <w:shd w:val="clear" w:color="auto" w:fill="F2F4F8"/>
          </w:tcPr>
          <w:p>
            <w:pPr>
              <w:spacing w:after="0" w:before="0"/>
            </w:pPr>
            <w:r/>
            <w:r>
              <w:rPr>
                <w:b w:val="0"/>
                <w:i w:val="0"/>
                <w:sz w:val="15"/>
              </w:rPr>
              <w:t>approved budget/estimate (HPUC Dec</w:t>
            </w:r>
          </w:p>
        </w:tc>
        <w:tc>
          <w:tcPr>
            <w:tcW w:type="dxa" w:w="936"/>
            <w:shd w:val="clear" w:color="auto" w:fill="F2F4F8"/>
          </w:tcPr>
          <w:p>
            <w:pPr>
              <w:spacing w:after="0" w:before="0"/>
            </w:pPr>
            <w:r/>
            <w:r>
              <w:rPr>
                <w:b w:val="0"/>
                <w:i w:val="0"/>
                <w:sz w:val="15"/>
              </w:rPr>
              <w:t>High</w:t>
            </w:r>
          </w:p>
        </w:tc>
      </w:tr>
      <w:tr>
        <w:tc>
          <w:tcPr>
            <w:tcW w:type="dxa" w:w="2880"/>
          </w:tcPr>
          <w:p>
            <w:pPr>
              <w:spacing w:after="0" w:before="0"/>
            </w:pPr>
            <w:r/>
            <w:r>
              <w:rPr>
                <w:b w:val="0"/>
                <w:i w:val="0"/>
                <w:sz w:val="15"/>
              </w:rPr>
              <w:t>Kwinana BESS Stage 1 [AUSTRALIA]</w:t>
            </w:r>
          </w:p>
        </w:tc>
        <w:tc>
          <w:tcPr>
            <w:tcW w:type="dxa" w:w="720"/>
          </w:tcPr>
          <w:p>
            <w:pPr>
              <w:spacing w:after="0" w:before="0"/>
            </w:pPr>
            <w:r/>
            <w:r>
              <w:rPr>
                <w:b w:val="0"/>
                <w:i w:val="0"/>
                <w:sz w:val="15"/>
              </w:rPr>
              <w:t>WA (Australia)</w:t>
            </w:r>
          </w:p>
        </w:tc>
        <w:tc>
          <w:tcPr>
            <w:tcW w:type="dxa" w:w="576"/>
          </w:tcPr>
          <w:p>
            <w:pPr>
              <w:spacing w:after="0" w:before="0"/>
              <w:jc w:val="right"/>
            </w:pPr>
            <w:r/>
            <w:r>
              <w:rPr>
                <w:b w:val="0"/>
                <w:i w:val="0"/>
                <w:sz w:val="15"/>
              </w:rPr>
              <w:t>100</w:t>
            </w:r>
          </w:p>
        </w:tc>
        <w:tc>
          <w:tcPr>
            <w:tcW w:type="dxa" w:w="648"/>
          </w:tcPr>
          <w:p>
            <w:pPr>
              <w:spacing w:after="0" w:before="0"/>
              <w:jc w:val="right"/>
            </w:pPr>
            <w:r/>
            <w:r>
              <w:rPr>
                <w:b w:val="0"/>
                <w:i w:val="0"/>
                <w:sz w:val="15"/>
              </w:rPr>
              <w:t>200</w:t>
            </w:r>
          </w:p>
        </w:tc>
        <w:tc>
          <w:tcPr>
            <w:tcW w:type="dxa" w:w="648"/>
          </w:tcPr>
          <w:p>
            <w:pPr>
              <w:spacing w:after="0" w:before="0"/>
              <w:jc w:val="right"/>
            </w:pPr>
            <w:r/>
            <w:r>
              <w:rPr>
                <w:b w:val="0"/>
                <w:i w:val="0"/>
                <w:sz w:val="15"/>
              </w:rPr>
              <w:t>2023</w:t>
            </w:r>
          </w:p>
        </w:tc>
        <w:tc>
          <w:tcPr>
            <w:tcW w:type="dxa" w:w="1008"/>
          </w:tcPr>
          <w:p>
            <w:pPr>
              <w:spacing w:after="0" w:before="0"/>
              <w:jc w:val="right"/>
            </w:pPr>
            <w:r/>
            <w:r>
              <w:rPr>
                <w:b w:val="0"/>
                <w:i w:val="0"/>
                <w:sz w:val="15"/>
              </w:rPr>
              <w:t>$103.5M</w:t>
            </w:r>
          </w:p>
        </w:tc>
        <w:tc>
          <w:tcPr>
            <w:tcW w:type="dxa" w:w="864"/>
          </w:tcPr>
          <w:p>
            <w:pPr>
              <w:spacing w:after="0" w:before="0"/>
              <w:jc w:val="right"/>
            </w:pPr>
            <w:r/>
            <w:r>
              <w:rPr>
                <w:b w:val="0"/>
                <w:i w:val="0"/>
                <w:sz w:val="15"/>
              </w:rPr>
              <w:t>$518</w:t>
            </w:r>
          </w:p>
        </w:tc>
        <w:tc>
          <w:tcPr>
            <w:tcW w:type="dxa" w:w="1944"/>
          </w:tcPr>
          <w:p>
            <w:pPr>
              <w:spacing w:after="0" w:before="0"/>
            </w:pPr>
            <w:r/>
            <w:r>
              <w:rPr>
                <w:b w:val="0"/>
                <w:i w:val="0"/>
                <w:sz w:val="15"/>
              </w:rPr>
              <w:t>final (as reported)</w:t>
            </w:r>
          </w:p>
        </w:tc>
        <w:tc>
          <w:tcPr>
            <w:tcW w:type="dxa" w:w="936"/>
          </w:tcPr>
          <w:p>
            <w:pPr>
              <w:spacing w:after="0" w:before="0"/>
            </w:pPr>
            <w:r/>
            <w:r>
              <w:rPr>
                <w:b w:val="0"/>
                <w:i w:val="0"/>
                <w:sz w:val="15"/>
              </w:rPr>
              <w:t>Medium</w:t>
            </w:r>
          </w:p>
        </w:tc>
      </w:tr>
      <w:tr>
        <w:tc>
          <w:tcPr>
            <w:tcW w:type="dxa" w:w="2880"/>
            <w:shd w:val="clear" w:color="auto" w:fill="F2F4F8"/>
          </w:tcPr>
          <w:p>
            <w:pPr>
              <w:spacing w:after="0" w:before="0"/>
            </w:pPr>
            <w:r/>
            <w:r>
              <w:rPr>
                <w:b w:val="0"/>
                <w:i w:val="0"/>
                <w:sz w:val="15"/>
              </w:rPr>
              <w:t>Constable (Evergreen) BESS</w:t>
            </w:r>
          </w:p>
        </w:tc>
        <w:tc>
          <w:tcPr>
            <w:tcW w:type="dxa" w:w="720"/>
            <w:shd w:val="clear" w:color="auto" w:fill="F2F4F8"/>
          </w:tcPr>
          <w:p>
            <w:pPr>
              <w:spacing w:after="0" w:before="0"/>
            </w:pPr>
            <w:r/>
            <w:r>
              <w:rPr>
                <w:b w:val="0"/>
                <w:i w:val="0"/>
                <w:sz w:val="15"/>
              </w:rPr>
              <w:t>OR</w:t>
            </w:r>
          </w:p>
        </w:tc>
        <w:tc>
          <w:tcPr>
            <w:tcW w:type="dxa" w:w="576"/>
            <w:shd w:val="clear" w:color="auto" w:fill="F2F4F8"/>
          </w:tcPr>
          <w:p>
            <w:pPr>
              <w:spacing w:after="0" w:before="0"/>
              <w:jc w:val="right"/>
            </w:pPr>
            <w:r/>
            <w:r>
              <w:rPr>
                <w:b w:val="0"/>
                <w:i w:val="0"/>
                <w:sz w:val="15"/>
              </w:rPr>
              <w:t>75</w:t>
            </w:r>
          </w:p>
        </w:tc>
        <w:tc>
          <w:tcPr>
            <w:tcW w:type="dxa" w:w="648"/>
            <w:shd w:val="clear" w:color="auto" w:fill="F2F4F8"/>
          </w:tcPr>
          <w:p>
            <w:pPr>
              <w:spacing w:after="0" w:before="0"/>
              <w:jc w:val="right"/>
            </w:pPr>
            <w:r/>
            <w:r>
              <w:rPr>
                <w:b w:val="0"/>
                <w:i w:val="0"/>
                <w:sz w:val="15"/>
              </w:rPr>
              <w:t>300</w:t>
            </w:r>
          </w:p>
        </w:tc>
        <w:tc>
          <w:tcPr>
            <w:tcW w:type="dxa" w:w="648"/>
            <w:shd w:val="clear" w:color="auto" w:fill="F2F4F8"/>
          </w:tcPr>
          <w:p>
            <w:pPr>
              <w:spacing w:after="0" w:before="0"/>
              <w:jc w:val="right"/>
            </w:pPr>
            <w:r/>
            <w:r>
              <w:rPr>
                <w:b w:val="0"/>
                <w:i w:val="0"/>
                <w:sz w:val="15"/>
              </w:rPr>
              <w:t>2024</w:t>
            </w:r>
          </w:p>
        </w:tc>
        <w:tc>
          <w:tcPr>
            <w:tcW w:type="dxa" w:w="1008"/>
            <w:shd w:val="clear" w:color="auto" w:fill="F2F4F8"/>
          </w:tcPr>
          <w:p>
            <w:pPr>
              <w:spacing w:after="0" w:before="0"/>
              <w:jc w:val="right"/>
            </w:pPr>
            <w:r/>
            <w:r>
              <w:rPr>
                <w:b w:val="0"/>
                <w:i w:val="0"/>
                <w:sz w:val="15"/>
              </w:rPr>
              <w:t>$156.0M</w:t>
            </w:r>
          </w:p>
        </w:tc>
        <w:tc>
          <w:tcPr>
            <w:tcW w:type="dxa" w:w="864"/>
            <w:shd w:val="clear" w:color="auto" w:fill="F2F4F8"/>
          </w:tcPr>
          <w:p>
            <w:pPr>
              <w:spacing w:after="0" w:before="0"/>
              <w:jc w:val="right"/>
            </w:pPr>
            <w:r/>
            <w:r>
              <w:rPr>
                <w:b w:val="0"/>
                <w:i w:val="0"/>
                <w:sz w:val="15"/>
              </w:rPr>
              <w:t>$520</w:t>
            </w:r>
          </w:p>
        </w:tc>
        <w:tc>
          <w:tcPr>
            <w:tcW w:type="dxa" w:w="1944"/>
            <w:shd w:val="clear" w:color="auto" w:fill="F2F4F8"/>
          </w:tcPr>
          <w:p>
            <w:pPr>
              <w:spacing w:after="0" w:before="0"/>
            </w:pPr>
            <w:r/>
            <w:r>
              <w:rPr>
                <w:b w:val="0"/>
                <w:i w:val="0"/>
                <w:sz w:val="15"/>
              </w:rPr>
              <w:t>final/actual (Electric Utility Pla</w:t>
            </w:r>
          </w:p>
        </w:tc>
        <w:tc>
          <w:tcPr>
            <w:tcW w:type="dxa" w:w="936"/>
            <w:shd w:val="clear" w:color="auto" w:fill="F2F4F8"/>
          </w:tcPr>
          <w:p>
            <w:pPr>
              <w:spacing w:after="0" w:before="0"/>
            </w:pPr>
            <w:r/>
            <w:r>
              <w:rPr>
                <w:b w:val="0"/>
                <w:i w:val="0"/>
                <w:sz w:val="15"/>
              </w:rPr>
              <w:t>High</w:t>
            </w:r>
          </w:p>
        </w:tc>
      </w:tr>
      <w:tr>
        <w:tc>
          <w:tcPr>
            <w:tcW w:type="dxa" w:w="2880"/>
          </w:tcPr>
          <w:p>
            <w:pPr>
              <w:spacing w:after="0" w:before="0"/>
            </w:pPr>
            <w:r/>
            <w:r>
              <w:rPr>
                <w:b w:val="0"/>
                <w:i w:val="0"/>
                <w:sz w:val="15"/>
              </w:rPr>
              <w:t>Reid Gardner BESS</w:t>
            </w:r>
          </w:p>
        </w:tc>
        <w:tc>
          <w:tcPr>
            <w:tcW w:type="dxa" w:w="720"/>
          </w:tcPr>
          <w:p>
            <w:pPr>
              <w:spacing w:after="0" w:before="0"/>
            </w:pPr>
            <w:r/>
            <w:r>
              <w:rPr>
                <w:b w:val="0"/>
                <w:i w:val="0"/>
                <w:sz w:val="15"/>
              </w:rPr>
              <w:t>NV</w:t>
            </w:r>
          </w:p>
        </w:tc>
        <w:tc>
          <w:tcPr>
            <w:tcW w:type="dxa" w:w="576"/>
          </w:tcPr>
          <w:p>
            <w:pPr>
              <w:spacing w:after="0" w:before="0"/>
              <w:jc w:val="right"/>
            </w:pPr>
            <w:r/>
            <w:r>
              <w:rPr>
                <w:b w:val="0"/>
                <w:i w:val="0"/>
                <w:sz w:val="15"/>
              </w:rPr>
              <w:t>220</w:t>
            </w:r>
          </w:p>
        </w:tc>
        <w:tc>
          <w:tcPr>
            <w:tcW w:type="dxa" w:w="648"/>
          </w:tcPr>
          <w:p>
            <w:pPr>
              <w:spacing w:after="0" w:before="0"/>
              <w:jc w:val="right"/>
            </w:pPr>
            <w:r/>
            <w:r>
              <w:rPr>
                <w:b w:val="0"/>
                <w:i w:val="0"/>
                <w:sz w:val="15"/>
              </w:rPr>
              <w:t>440</w:t>
            </w:r>
          </w:p>
        </w:tc>
        <w:tc>
          <w:tcPr>
            <w:tcW w:type="dxa" w:w="648"/>
          </w:tcPr>
          <w:p>
            <w:pPr>
              <w:spacing w:after="0" w:before="0"/>
              <w:jc w:val="right"/>
            </w:pPr>
            <w:r/>
            <w:r>
              <w:rPr>
                <w:b w:val="0"/>
                <w:i w:val="0"/>
                <w:sz w:val="15"/>
              </w:rPr>
              <w:t>2023</w:t>
            </w:r>
          </w:p>
        </w:tc>
        <w:tc>
          <w:tcPr>
            <w:tcW w:type="dxa" w:w="1008"/>
          </w:tcPr>
          <w:p>
            <w:pPr>
              <w:spacing w:after="0" w:before="0"/>
              <w:jc w:val="right"/>
            </w:pPr>
            <w:r/>
            <w:r>
              <w:rPr>
                <w:b w:val="0"/>
                <w:i w:val="0"/>
                <w:sz w:val="15"/>
              </w:rPr>
              <w:t>$257.0M</w:t>
            </w:r>
          </w:p>
        </w:tc>
        <w:tc>
          <w:tcPr>
            <w:tcW w:type="dxa" w:w="864"/>
          </w:tcPr>
          <w:p>
            <w:pPr>
              <w:spacing w:after="0" w:before="0"/>
              <w:jc w:val="right"/>
            </w:pPr>
            <w:r/>
            <w:r>
              <w:rPr>
                <w:b w:val="0"/>
                <w:i w:val="0"/>
                <w:sz w:val="15"/>
              </w:rPr>
              <w:t>$584</w:t>
            </w:r>
          </w:p>
        </w:tc>
        <w:tc>
          <w:tcPr>
            <w:tcW w:type="dxa" w:w="1944"/>
          </w:tcPr>
          <w:p>
            <w:pPr>
              <w:spacing w:after="0" w:before="0"/>
            </w:pPr>
            <w:r/>
            <w:r>
              <w:rPr>
                <w:b w:val="0"/>
                <w:i w:val="0"/>
                <w:sz w:val="15"/>
              </w:rPr>
              <w:t>final/actual (as reported)</w:t>
            </w:r>
          </w:p>
        </w:tc>
        <w:tc>
          <w:tcPr>
            <w:tcW w:type="dxa" w:w="936"/>
          </w:tcPr>
          <w:p>
            <w:pPr>
              <w:spacing w:after="0" w:before="0"/>
            </w:pPr>
            <w:r/>
            <w:r>
              <w:rPr>
                <w:b w:val="0"/>
                <w:i w:val="0"/>
                <w:sz w:val="15"/>
              </w:rPr>
              <w:t>Medium</w:t>
            </w:r>
          </w:p>
        </w:tc>
      </w:tr>
      <w:tr>
        <w:tc>
          <w:tcPr>
            <w:tcW w:type="dxa" w:w="2880"/>
            <w:shd w:val="clear" w:color="auto" w:fill="F2F4F8"/>
          </w:tcPr>
          <w:p>
            <w:pPr>
              <w:spacing w:after="0" w:before="0"/>
            </w:pPr>
            <w:r/>
            <w:r>
              <w:rPr>
                <w:b w:val="0"/>
                <w:i w:val="0"/>
                <w:sz w:val="15"/>
              </w:rPr>
              <w:t>Nova Scotia BESS portfolio (Bridgewater, Wav</w:t>
            </w:r>
          </w:p>
        </w:tc>
        <w:tc>
          <w:tcPr>
            <w:tcW w:type="dxa" w:w="720"/>
            <w:shd w:val="clear" w:color="auto" w:fill="F2F4F8"/>
          </w:tcPr>
          <w:p>
            <w:pPr>
              <w:spacing w:after="0" w:before="0"/>
            </w:pPr>
            <w:r/>
            <w:r>
              <w:rPr>
                <w:b w:val="0"/>
                <w:i w:val="0"/>
                <w:sz w:val="15"/>
              </w:rPr>
              <w:t>NS (Canada)</w:t>
            </w:r>
          </w:p>
        </w:tc>
        <w:tc>
          <w:tcPr>
            <w:tcW w:type="dxa" w:w="576"/>
            <w:shd w:val="clear" w:color="auto" w:fill="F2F4F8"/>
          </w:tcPr>
          <w:p>
            <w:pPr>
              <w:spacing w:after="0" w:before="0"/>
              <w:jc w:val="right"/>
            </w:pPr>
            <w:r/>
            <w:r>
              <w:rPr>
                <w:b w:val="0"/>
                <w:i w:val="0"/>
                <w:sz w:val="15"/>
              </w:rPr>
              <w:t>150</w:t>
            </w:r>
          </w:p>
        </w:tc>
        <w:tc>
          <w:tcPr>
            <w:tcW w:type="dxa" w:w="648"/>
            <w:shd w:val="clear" w:color="auto" w:fill="F2F4F8"/>
          </w:tcPr>
          <w:p>
            <w:pPr>
              <w:spacing w:after="0" w:before="0"/>
              <w:jc w:val="right"/>
            </w:pPr>
            <w:r/>
            <w:r>
              <w:rPr>
                <w:b w:val="0"/>
                <w:i w:val="0"/>
                <w:sz w:val="15"/>
              </w:rPr>
              <w:t>600</w:t>
            </w:r>
          </w:p>
        </w:tc>
        <w:tc>
          <w:tcPr>
            <w:tcW w:type="dxa" w:w="648"/>
            <w:shd w:val="clear" w:color="auto" w:fill="F2F4F8"/>
          </w:tcPr>
          <w:p>
            <w:pPr>
              <w:spacing w:after="0" w:before="0"/>
              <w:jc w:val="right"/>
            </w:pPr>
            <w:r/>
            <w:r>
              <w:rPr>
                <w:b w:val="0"/>
                <w:i w:val="0"/>
                <w:sz w:val="15"/>
              </w:rPr>
              <w:t>2026</w:t>
            </w:r>
          </w:p>
        </w:tc>
        <w:tc>
          <w:tcPr>
            <w:tcW w:type="dxa" w:w="1008"/>
            <w:shd w:val="clear" w:color="auto" w:fill="F2F4F8"/>
          </w:tcPr>
          <w:p>
            <w:pPr>
              <w:spacing w:after="0" w:before="0"/>
              <w:jc w:val="right"/>
            </w:pPr>
            <w:r/>
            <w:r>
              <w:rPr>
                <w:b w:val="0"/>
                <w:i w:val="0"/>
                <w:sz w:val="15"/>
              </w:rPr>
              <w:t>$258.0M</w:t>
            </w:r>
          </w:p>
        </w:tc>
        <w:tc>
          <w:tcPr>
            <w:tcW w:type="dxa" w:w="864"/>
            <w:shd w:val="clear" w:color="auto" w:fill="F2F4F8"/>
          </w:tcPr>
          <w:p>
            <w:pPr>
              <w:spacing w:after="0" w:before="0"/>
              <w:jc w:val="right"/>
            </w:pPr>
            <w:r/>
            <w:r>
              <w:rPr>
                <w:b w:val="0"/>
                <w:i w:val="0"/>
                <w:sz w:val="15"/>
              </w:rPr>
              <w:t>$430</w:t>
            </w:r>
          </w:p>
        </w:tc>
        <w:tc>
          <w:tcPr>
            <w:tcW w:type="dxa" w:w="1944"/>
            <w:shd w:val="clear" w:color="auto" w:fill="F2F4F8"/>
          </w:tcPr>
          <w:p>
            <w:pPr>
              <w:spacing w:after="0" w:before="0"/>
            </w:pPr>
            <w:r/>
            <w:r>
              <w:rPr>
                <w:b w:val="0"/>
                <w:i w:val="0"/>
                <w:sz w:val="15"/>
              </w:rPr>
              <w:t>approved budget (NSUARB) incl. AFU</w:t>
            </w:r>
          </w:p>
        </w:tc>
        <w:tc>
          <w:tcPr>
            <w:tcW w:type="dxa" w:w="936"/>
            <w:shd w:val="clear" w:color="auto" w:fill="F2F4F8"/>
          </w:tcPr>
          <w:p>
            <w:pPr>
              <w:spacing w:after="0" w:before="0"/>
            </w:pPr>
            <w:r/>
            <w:r>
              <w:rPr>
                <w:b w:val="0"/>
                <w:i w:val="0"/>
                <w:sz w:val="15"/>
              </w:rPr>
              <w:t>High</w:t>
            </w:r>
          </w:p>
        </w:tc>
      </w:tr>
      <w:tr>
        <w:tc>
          <w:tcPr>
            <w:tcW w:type="dxa" w:w="2880"/>
          </w:tcPr>
          <w:p>
            <w:pPr>
              <w:spacing w:after="0" w:before="0"/>
            </w:pPr>
            <w:r/>
            <w:r>
              <w:rPr>
                <w:b w:val="0"/>
                <w:i w:val="0"/>
                <w:sz w:val="15"/>
              </w:rPr>
              <w:t>Seaside BESS</w:t>
            </w:r>
          </w:p>
        </w:tc>
        <w:tc>
          <w:tcPr>
            <w:tcW w:type="dxa" w:w="720"/>
          </w:tcPr>
          <w:p>
            <w:pPr>
              <w:spacing w:after="0" w:before="0"/>
            </w:pPr>
            <w:r/>
            <w:r>
              <w:rPr>
                <w:b w:val="0"/>
                <w:i w:val="0"/>
                <w:sz w:val="15"/>
              </w:rPr>
              <w:t>OR</w:t>
            </w:r>
          </w:p>
        </w:tc>
        <w:tc>
          <w:tcPr>
            <w:tcW w:type="dxa" w:w="576"/>
          </w:tcPr>
          <w:p>
            <w:pPr>
              <w:spacing w:after="0" w:before="0"/>
              <w:jc w:val="right"/>
            </w:pPr>
            <w:r/>
            <w:r>
              <w:rPr>
                <w:b w:val="0"/>
                <w:i w:val="0"/>
                <w:sz w:val="15"/>
              </w:rPr>
              <w:t>200</w:t>
            </w:r>
          </w:p>
        </w:tc>
        <w:tc>
          <w:tcPr>
            <w:tcW w:type="dxa" w:w="648"/>
          </w:tcPr>
          <w:p>
            <w:pPr>
              <w:spacing w:after="0" w:before="0"/>
              <w:jc w:val="right"/>
            </w:pPr>
            <w:r/>
            <w:r>
              <w:rPr>
                <w:b w:val="0"/>
                <w:i w:val="0"/>
                <w:sz w:val="15"/>
              </w:rPr>
              <w:t>800</w:t>
            </w:r>
          </w:p>
        </w:tc>
        <w:tc>
          <w:tcPr>
            <w:tcW w:type="dxa" w:w="648"/>
          </w:tcPr>
          <w:p>
            <w:pPr>
              <w:spacing w:after="0" w:before="0"/>
              <w:jc w:val="right"/>
            </w:pPr>
            <w:r/>
            <w:r>
              <w:rPr>
                <w:b w:val="0"/>
                <w:i w:val="0"/>
                <w:sz w:val="15"/>
              </w:rPr>
              <w:t>2025</w:t>
            </w:r>
          </w:p>
        </w:tc>
        <w:tc>
          <w:tcPr>
            <w:tcW w:type="dxa" w:w="1008"/>
          </w:tcPr>
          <w:p>
            <w:pPr>
              <w:spacing w:after="0" w:before="0"/>
              <w:jc w:val="right"/>
            </w:pPr>
            <w:r/>
            <w:r>
              <w:rPr>
                <w:b w:val="0"/>
                <w:i w:val="0"/>
                <w:sz w:val="15"/>
              </w:rPr>
              <w:t>$360.0M</w:t>
            </w:r>
          </w:p>
        </w:tc>
        <w:tc>
          <w:tcPr>
            <w:tcW w:type="dxa" w:w="864"/>
          </w:tcPr>
          <w:p>
            <w:pPr>
              <w:spacing w:after="0" w:before="0"/>
              <w:jc w:val="right"/>
            </w:pPr>
            <w:r/>
            <w:r>
              <w:rPr>
                <w:b w:val="0"/>
                <w:i w:val="0"/>
                <w:sz w:val="15"/>
              </w:rPr>
              <w:t>$450</w:t>
            </w:r>
          </w:p>
        </w:tc>
        <w:tc>
          <w:tcPr>
            <w:tcW w:type="dxa" w:w="1944"/>
          </w:tcPr>
          <w:p>
            <w:pPr>
              <w:spacing w:after="0" w:before="0"/>
            </w:pPr>
            <w:r/>
            <w:r>
              <w:rPr>
                <w:b w:val="0"/>
                <w:i w:val="0"/>
                <w:sz w:val="15"/>
              </w:rPr>
              <w:t>contract price (fixed-cost build-t</w:t>
            </w:r>
          </w:p>
        </w:tc>
        <w:tc>
          <w:tcPr>
            <w:tcW w:type="dxa" w:w="936"/>
          </w:tcPr>
          <w:p>
            <w:pPr>
              <w:spacing w:after="0" w:before="0"/>
            </w:pPr>
            <w:r/>
            <w:r>
              <w:rPr>
                <w:b w:val="0"/>
                <w:i w:val="0"/>
                <w:sz w:val="15"/>
              </w:rPr>
              <w:t>High</w:t>
            </w:r>
          </w:p>
        </w:tc>
      </w:tr>
      <w:tr>
        <w:tc>
          <w:tcPr>
            <w:tcW w:type="dxa" w:w="2880"/>
            <w:shd w:val="clear" w:color="auto" w:fill="F2F4F8"/>
          </w:tcPr>
          <w:p>
            <w:pPr>
              <w:spacing w:after="0" w:before="0"/>
            </w:pPr>
            <w:r/>
            <w:r>
              <w:rPr>
                <w:b w:val="0"/>
                <w:i w:val="0"/>
                <w:sz w:val="15"/>
              </w:rPr>
              <w:t>Roadrunner Reserve (Phase 1)</w:t>
            </w:r>
          </w:p>
        </w:tc>
        <w:tc>
          <w:tcPr>
            <w:tcW w:type="dxa" w:w="720"/>
            <w:shd w:val="clear" w:color="auto" w:fill="F2F4F8"/>
          </w:tcPr>
          <w:p>
            <w:pPr>
              <w:spacing w:after="0" w:before="0"/>
            </w:pPr>
            <w:r/>
            <w:r>
              <w:rPr>
                <w:b w:val="0"/>
                <w:i w:val="0"/>
                <w:sz w:val="15"/>
              </w:rPr>
              <w:t>AZ</w:t>
            </w:r>
          </w:p>
        </w:tc>
        <w:tc>
          <w:tcPr>
            <w:tcW w:type="dxa" w:w="576"/>
            <w:shd w:val="clear" w:color="auto" w:fill="F2F4F8"/>
          </w:tcPr>
          <w:p>
            <w:pPr>
              <w:spacing w:after="0" w:before="0"/>
              <w:jc w:val="right"/>
            </w:pPr>
            <w:r/>
            <w:r>
              <w:rPr>
                <w:b w:val="0"/>
                <w:i w:val="0"/>
                <w:sz w:val="15"/>
              </w:rPr>
              <w:t>200</w:t>
            </w:r>
          </w:p>
        </w:tc>
        <w:tc>
          <w:tcPr>
            <w:tcW w:type="dxa" w:w="648"/>
            <w:shd w:val="clear" w:color="auto" w:fill="F2F4F8"/>
          </w:tcPr>
          <w:p>
            <w:pPr>
              <w:spacing w:after="0" w:before="0"/>
              <w:jc w:val="right"/>
            </w:pPr>
            <w:r/>
            <w:r>
              <w:rPr>
                <w:b w:val="0"/>
                <w:i w:val="0"/>
                <w:sz w:val="15"/>
              </w:rPr>
              <w:t>800</w:t>
            </w:r>
          </w:p>
        </w:tc>
        <w:tc>
          <w:tcPr>
            <w:tcW w:type="dxa" w:w="648"/>
            <w:shd w:val="clear" w:color="auto" w:fill="F2F4F8"/>
          </w:tcPr>
          <w:p>
            <w:pPr>
              <w:spacing w:after="0" w:before="0"/>
              <w:jc w:val="right"/>
            </w:pPr>
            <w:r/>
            <w:r>
              <w:rPr>
                <w:b w:val="0"/>
                <w:i w:val="0"/>
                <w:sz w:val="15"/>
              </w:rPr>
              <w:t>2025</w:t>
            </w:r>
          </w:p>
        </w:tc>
        <w:tc>
          <w:tcPr>
            <w:tcW w:type="dxa" w:w="1008"/>
            <w:shd w:val="clear" w:color="auto" w:fill="F2F4F8"/>
          </w:tcPr>
          <w:p>
            <w:pPr>
              <w:spacing w:after="0" w:before="0"/>
              <w:jc w:val="right"/>
            </w:pPr>
            <w:r/>
            <w:r>
              <w:rPr>
                <w:b w:val="0"/>
                <w:i w:val="0"/>
                <w:sz w:val="15"/>
              </w:rPr>
              <w:t>$294.0M</w:t>
            </w:r>
          </w:p>
        </w:tc>
        <w:tc>
          <w:tcPr>
            <w:tcW w:type="dxa" w:w="864"/>
            <w:shd w:val="clear" w:color="auto" w:fill="F2F4F8"/>
          </w:tcPr>
          <w:p>
            <w:pPr>
              <w:spacing w:after="0" w:before="0"/>
              <w:jc w:val="right"/>
            </w:pPr>
            <w:r/>
            <w:r>
              <w:rPr>
                <w:b w:val="0"/>
                <w:i w:val="0"/>
                <w:sz w:val="15"/>
              </w:rPr>
              <w:t>$368</w:t>
            </w:r>
          </w:p>
        </w:tc>
        <w:tc>
          <w:tcPr>
            <w:tcW w:type="dxa" w:w="1944"/>
            <w:shd w:val="clear" w:color="auto" w:fill="F2F4F8"/>
          </w:tcPr>
          <w:p>
            <w:pPr>
              <w:spacing w:after="0" w:before="0"/>
            </w:pPr>
            <w:r/>
            <w:r>
              <w:rPr>
                <w:b w:val="0"/>
                <w:i w:val="0"/>
                <w:sz w:val="15"/>
              </w:rPr>
              <w:t>estimate at announcement (2023)</w:t>
            </w:r>
          </w:p>
        </w:tc>
        <w:tc>
          <w:tcPr>
            <w:tcW w:type="dxa" w:w="936"/>
            <w:shd w:val="clear" w:color="auto" w:fill="F2F4F8"/>
          </w:tcPr>
          <w:p>
            <w:pPr>
              <w:spacing w:after="0" w:before="0"/>
            </w:pPr>
            <w:r/>
            <w:r>
              <w:rPr>
                <w:b w:val="0"/>
                <w:i w:val="0"/>
                <w:sz w:val="15"/>
              </w:rPr>
              <w:t>Medium</w:t>
            </w:r>
          </w:p>
        </w:tc>
      </w:tr>
      <w:tr>
        <w:tc>
          <w:tcPr>
            <w:tcW w:type="dxa" w:w="2880"/>
          </w:tcPr>
          <w:p>
            <w:pPr>
              <w:spacing w:after="0" w:before="0"/>
            </w:pPr>
            <w:r/>
            <w:r>
              <w:rPr>
                <w:b w:val="0"/>
                <w:i w:val="0"/>
                <w:sz w:val="15"/>
              </w:rPr>
              <w:t>Roadrunner Reserve 2 (Phase 2)</w:t>
            </w:r>
          </w:p>
        </w:tc>
        <w:tc>
          <w:tcPr>
            <w:tcW w:type="dxa" w:w="720"/>
          </w:tcPr>
          <w:p>
            <w:pPr>
              <w:spacing w:after="0" w:before="0"/>
            </w:pPr>
            <w:r/>
            <w:r>
              <w:rPr>
                <w:b w:val="0"/>
                <w:i w:val="0"/>
                <w:sz w:val="15"/>
              </w:rPr>
              <w:t>AZ</w:t>
            </w:r>
          </w:p>
        </w:tc>
        <w:tc>
          <w:tcPr>
            <w:tcW w:type="dxa" w:w="576"/>
          </w:tcPr>
          <w:p>
            <w:pPr>
              <w:spacing w:after="0" w:before="0"/>
              <w:jc w:val="right"/>
            </w:pPr>
            <w:r/>
            <w:r>
              <w:rPr>
                <w:b w:val="0"/>
                <w:i w:val="0"/>
                <w:sz w:val="15"/>
              </w:rPr>
              <w:t>200</w:t>
            </w:r>
          </w:p>
        </w:tc>
        <w:tc>
          <w:tcPr>
            <w:tcW w:type="dxa" w:w="648"/>
          </w:tcPr>
          <w:p>
            <w:pPr>
              <w:spacing w:after="0" w:before="0"/>
              <w:jc w:val="right"/>
            </w:pPr>
            <w:r/>
            <w:r>
              <w:rPr>
                <w:b w:val="0"/>
                <w:i w:val="0"/>
                <w:sz w:val="15"/>
              </w:rPr>
              <w:t>800</w:t>
            </w:r>
          </w:p>
        </w:tc>
        <w:tc>
          <w:tcPr>
            <w:tcW w:type="dxa" w:w="648"/>
          </w:tcPr>
          <w:p>
            <w:pPr>
              <w:spacing w:after="0" w:before="0"/>
              <w:jc w:val="right"/>
            </w:pPr>
            <w:r/>
            <w:r>
              <w:rPr>
                <w:b w:val="0"/>
                <w:i w:val="0"/>
                <w:sz w:val="15"/>
              </w:rPr>
              <w:t>2026</w:t>
            </w:r>
          </w:p>
        </w:tc>
        <w:tc>
          <w:tcPr>
            <w:tcW w:type="dxa" w:w="1008"/>
          </w:tcPr>
          <w:p>
            <w:pPr>
              <w:spacing w:after="0" w:before="0"/>
              <w:jc w:val="right"/>
            </w:pPr>
            <w:r/>
            <w:r>
              <w:rPr>
                <w:b w:val="0"/>
                <w:i w:val="0"/>
                <w:sz w:val="15"/>
              </w:rPr>
              <w:t>$350.0M</w:t>
            </w:r>
          </w:p>
        </w:tc>
        <w:tc>
          <w:tcPr>
            <w:tcW w:type="dxa" w:w="864"/>
          </w:tcPr>
          <w:p>
            <w:pPr>
              <w:spacing w:after="0" w:before="0"/>
              <w:jc w:val="right"/>
            </w:pPr>
            <w:r/>
            <w:r>
              <w:rPr>
                <w:b w:val="0"/>
                <w:i w:val="0"/>
                <w:sz w:val="15"/>
              </w:rPr>
              <w:t>$438</w:t>
            </w:r>
          </w:p>
        </w:tc>
        <w:tc>
          <w:tcPr>
            <w:tcW w:type="dxa" w:w="1944"/>
          </w:tcPr>
          <w:p>
            <w:pPr>
              <w:spacing w:after="0" w:before="0"/>
            </w:pPr>
            <w:r/>
            <w:r>
              <w:rPr>
                <w:b w:val="0"/>
                <w:i w:val="0"/>
                <w:sz w:val="15"/>
              </w:rPr>
              <w:t>estimate (utility statement)</w:t>
            </w:r>
          </w:p>
        </w:tc>
        <w:tc>
          <w:tcPr>
            <w:tcW w:type="dxa" w:w="936"/>
          </w:tcPr>
          <w:p>
            <w:pPr>
              <w:spacing w:after="0" w:before="0"/>
            </w:pPr>
            <w:r/>
            <w:r>
              <w:rPr>
                <w:b w:val="0"/>
                <w:i w:val="0"/>
                <w:sz w:val="15"/>
              </w:rPr>
              <w:t>Medium</w:t>
            </w:r>
          </w:p>
        </w:tc>
      </w:tr>
      <w:tr>
        <w:tc>
          <w:tcPr>
            <w:tcW w:type="dxa" w:w="2880"/>
            <w:shd w:val="clear" w:color="auto" w:fill="F2F4F8"/>
          </w:tcPr>
          <w:p>
            <w:pPr>
              <w:spacing w:after="0" w:before="0"/>
            </w:pPr>
            <w:r/>
            <w:r>
              <w:rPr>
                <w:b w:val="0"/>
                <w:i w:val="0"/>
                <w:sz w:val="15"/>
              </w:rPr>
              <w:t>Trenton Channel Energy Center BESS</w:t>
            </w:r>
          </w:p>
        </w:tc>
        <w:tc>
          <w:tcPr>
            <w:tcW w:type="dxa" w:w="720"/>
            <w:shd w:val="clear" w:color="auto" w:fill="F2F4F8"/>
          </w:tcPr>
          <w:p>
            <w:pPr>
              <w:spacing w:after="0" w:before="0"/>
            </w:pPr>
            <w:r/>
            <w:r>
              <w:rPr>
                <w:b w:val="0"/>
                <w:i w:val="0"/>
                <w:sz w:val="15"/>
              </w:rPr>
              <w:t>MI</w:t>
            </w:r>
          </w:p>
        </w:tc>
        <w:tc>
          <w:tcPr>
            <w:tcW w:type="dxa" w:w="576"/>
            <w:shd w:val="clear" w:color="auto" w:fill="F2F4F8"/>
          </w:tcPr>
          <w:p>
            <w:pPr>
              <w:spacing w:after="0" w:before="0"/>
              <w:jc w:val="right"/>
            </w:pPr>
            <w:r/>
            <w:r>
              <w:rPr>
                <w:b w:val="0"/>
                <w:i w:val="0"/>
                <w:sz w:val="15"/>
              </w:rPr>
              <w:t>220</w:t>
            </w:r>
          </w:p>
        </w:tc>
        <w:tc>
          <w:tcPr>
            <w:tcW w:type="dxa" w:w="648"/>
            <w:shd w:val="clear" w:color="auto" w:fill="F2F4F8"/>
          </w:tcPr>
          <w:p>
            <w:pPr>
              <w:spacing w:after="0" w:before="0"/>
              <w:jc w:val="right"/>
            </w:pPr>
            <w:r/>
            <w:r>
              <w:rPr>
                <w:b w:val="0"/>
                <w:i w:val="0"/>
                <w:sz w:val="15"/>
              </w:rPr>
              <w:t>880</w:t>
            </w:r>
          </w:p>
        </w:tc>
        <w:tc>
          <w:tcPr>
            <w:tcW w:type="dxa" w:w="648"/>
            <w:shd w:val="clear" w:color="auto" w:fill="F2F4F8"/>
          </w:tcPr>
          <w:p>
            <w:pPr>
              <w:spacing w:after="0" w:before="0"/>
              <w:jc w:val="right"/>
            </w:pPr>
            <w:r/>
            <w:r>
              <w:rPr>
                <w:b w:val="0"/>
                <w:i w:val="0"/>
                <w:sz w:val="15"/>
              </w:rPr>
              <w:t>2026</w:t>
            </w:r>
          </w:p>
        </w:tc>
        <w:tc>
          <w:tcPr>
            <w:tcW w:type="dxa" w:w="1008"/>
            <w:shd w:val="clear" w:color="auto" w:fill="F2F4F8"/>
          </w:tcPr>
          <w:p>
            <w:pPr>
              <w:spacing w:after="0" w:before="0"/>
              <w:jc w:val="right"/>
            </w:pPr>
            <w:r/>
            <w:r>
              <w:rPr>
                <w:b w:val="0"/>
                <w:i w:val="0"/>
                <w:sz w:val="15"/>
              </w:rPr>
              <w:t>$460.0M</w:t>
            </w:r>
          </w:p>
        </w:tc>
        <w:tc>
          <w:tcPr>
            <w:tcW w:type="dxa" w:w="864"/>
            <w:shd w:val="clear" w:color="auto" w:fill="F2F4F8"/>
          </w:tcPr>
          <w:p>
            <w:pPr>
              <w:spacing w:after="0" w:before="0"/>
              <w:jc w:val="right"/>
            </w:pPr>
            <w:r/>
            <w:r>
              <w:rPr>
                <w:b w:val="0"/>
                <w:i w:val="0"/>
                <w:sz w:val="15"/>
              </w:rPr>
              <w:t>$523</w:t>
            </w:r>
          </w:p>
        </w:tc>
        <w:tc>
          <w:tcPr>
            <w:tcW w:type="dxa" w:w="1944"/>
            <w:shd w:val="clear" w:color="auto" w:fill="F2F4F8"/>
          </w:tcPr>
          <w:p>
            <w:pPr>
              <w:spacing w:after="0" w:before="0"/>
            </w:pPr>
            <w:r/>
            <w:r>
              <w:rPr>
                <w:b w:val="0"/>
                <w:i w:val="0"/>
                <w:sz w:val="15"/>
              </w:rPr>
              <w:t>approved estimate (MPSC, 2024)</w:t>
            </w:r>
          </w:p>
        </w:tc>
        <w:tc>
          <w:tcPr>
            <w:tcW w:type="dxa" w:w="936"/>
            <w:shd w:val="clear" w:color="auto" w:fill="F2F4F8"/>
          </w:tcPr>
          <w:p>
            <w:pPr>
              <w:spacing w:after="0" w:before="0"/>
            </w:pPr>
            <w:r/>
            <w:r>
              <w:rPr>
                <w:b w:val="0"/>
                <w:i w:val="0"/>
                <w:sz w:val="15"/>
              </w:rPr>
              <w:t>Medium</w:t>
            </w:r>
          </w:p>
        </w:tc>
      </w:tr>
      <w:tr>
        <w:tc>
          <w:tcPr>
            <w:tcW w:type="dxa" w:w="2880"/>
          </w:tcPr>
          <w:p>
            <w:pPr>
              <w:spacing w:after="0" w:before="0"/>
            </w:pPr>
            <w:r/>
            <w:r>
              <w:rPr>
                <w:b w:val="0"/>
                <w:i w:val="0"/>
                <w:sz w:val="15"/>
              </w:rPr>
              <w:t>Oneida Energy Storage [CANADA]</w:t>
            </w:r>
          </w:p>
        </w:tc>
        <w:tc>
          <w:tcPr>
            <w:tcW w:type="dxa" w:w="720"/>
          </w:tcPr>
          <w:p>
            <w:pPr>
              <w:spacing w:after="0" w:before="0"/>
            </w:pPr>
            <w:r/>
            <w:r>
              <w:rPr>
                <w:b w:val="0"/>
                <w:i w:val="0"/>
                <w:sz w:val="15"/>
              </w:rPr>
              <w:t>ON (Canada)</w:t>
            </w:r>
          </w:p>
        </w:tc>
        <w:tc>
          <w:tcPr>
            <w:tcW w:type="dxa" w:w="576"/>
          </w:tcPr>
          <w:p>
            <w:pPr>
              <w:spacing w:after="0" w:before="0"/>
              <w:jc w:val="right"/>
            </w:pPr>
            <w:r/>
            <w:r>
              <w:rPr>
                <w:b w:val="0"/>
                <w:i w:val="0"/>
                <w:sz w:val="15"/>
              </w:rPr>
              <w:t>250</w:t>
            </w:r>
          </w:p>
        </w:tc>
        <w:tc>
          <w:tcPr>
            <w:tcW w:type="dxa" w:w="648"/>
          </w:tcPr>
          <w:p>
            <w:pPr>
              <w:spacing w:after="0" w:before="0"/>
              <w:jc w:val="right"/>
            </w:pPr>
            <w:r/>
            <w:r>
              <w:rPr>
                <w:b w:val="0"/>
                <w:i w:val="0"/>
                <w:sz w:val="15"/>
              </w:rPr>
              <w:t>1000</w:t>
            </w:r>
          </w:p>
        </w:tc>
        <w:tc>
          <w:tcPr>
            <w:tcW w:type="dxa" w:w="648"/>
          </w:tcPr>
          <w:p>
            <w:pPr>
              <w:spacing w:after="0" w:before="0"/>
              <w:jc w:val="right"/>
            </w:pPr>
            <w:r/>
            <w:r>
              <w:rPr>
                <w:b w:val="0"/>
                <w:i w:val="0"/>
                <w:sz w:val="15"/>
              </w:rPr>
              <w:t>2025</w:t>
            </w:r>
          </w:p>
        </w:tc>
        <w:tc>
          <w:tcPr>
            <w:tcW w:type="dxa" w:w="1008"/>
          </w:tcPr>
          <w:p>
            <w:pPr>
              <w:spacing w:after="0" w:before="0"/>
              <w:jc w:val="right"/>
            </w:pPr>
            <w:r/>
            <w:r>
              <w:rPr>
                <w:b w:val="0"/>
                <w:i w:val="0"/>
                <w:sz w:val="15"/>
              </w:rPr>
              <w:t>$511.0M</w:t>
            </w:r>
          </w:p>
        </w:tc>
        <w:tc>
          <w:tcPr>
            <w:tcW w:type="dxa" w:w="864"/>
          </w:tcPr>
          <w:p>
            <w:pPr>
              <w:spacing w:after="0" w:before="0"/>
              <w:jc w:val="right"/>
            </w:pPr>
            <w:r/>
            <w:r>
              <w:rPr>
                <w:b w:val="0"/>
                <w:i w:val="0"/>
                <w:sz w:val="15"/>
              </w:rPr>
              <w:t>$511</w:t>
            </w:r>
          </w:p>
        </w:tc>
        <w:tc>
          <w:tcPr>
            <w:tcW w:type="dxa" w:w="1944"/>
          </w:tcPr>
          <w:p>
            <w:pPr>
              <w:spacing w:after="0" w:before="0"/>
            </w:pPr>
            <w:r/>
            <w:r>
              <w:rPr>
                <w:b w:val="0"/>
                <w:i w:val="0"/>
                <w:sz w:val="15"/>
              </w:rPr>
              <w:t xml:space="preserve">final/actual (reported ~C$700M vs </w:t>
            </w:r>
          </w:p>
        </w:tc>
        <w:tc>
          <w:tcPr>
            <w:tcW w:type="dxa" w:w="936"/>
          </w:tcPr>
          <w:p>
            <w:pPr>
              <w:spacing w:after="0" w:before="0"/>
            </w:pPr>
            <w:r/>
            <w:r>
              <w:rPr>
                <w:b w:val="0"/>
                <w:i w:val="0"/>
                <w:sz w:val="15"/>
              </w:rPr>
              <w:t>High</w:t>
            </w:r>
          </w:p>
        </w:tc>
      </w:tr>
      <w:tr>
        <w:tc>
          <w:tcPr>
            <w:tcW w:type="dxa" w:w="2880"/>
            <w:shd w:val="clear" w:color="auto" w:fill="F2F4F8"/>
          </w:tcPr>
          <w:p>
            <w:pPr>
              <w:spacing w:after="0" w:before="0"/>
            </w:pPr>
            <w:r/>
            <w:r>
              <w:rPr>
                <w:b w:val="0"/>
                <w:i w:val="0"/>
                <w:sz w:val="15"/>
              </w:rPr>
              <w:t>SCE substation BESS portfolio (Springvale 22</w:t>
            </w:r>
          </w:p>
        </w:tc>
        <w:tc>
          <w:tcPr>
            <w:tcW w:type="dxa" w:w="720"/>
            <w:shd w:val="clear" w:color="auto" w:fill="F2F4F8"/>
          </w:tcPr>
          <w:p>
            <w:pPr>
              <w:spacing w:after="0" w:before="0"/>
            </w:pPr>
            <w:r/>
            <w:r>
              <w:rPr>
                <w:b w:val="0"/>
                <w:i w:val="0"/>
                <w:sz w:val="15"/>
              </w:rPr>
              <w:t>CA</w:t>
            </w:r>
          </w:p>
        </w:tc>
        <w:tc>
          <w:tcPr>
            <w:tcW w:type="dxa" w:w="576"/>
            <w:shd w:val="clear" w:color="auto" w:fill="F2F4F8"/>
          </w:tcPr>
          <w:p>
            <w:pPr>
              <w:spacing w:after="0" w:before="0"/>
              <w:jc w:val="right"/>
            </w:pPr>
            <w:r/>
            <w:r>
              <w:rPr>
                <w:b w:val="0"/>
                <w:i w:val="0"/>
                <w:sz w:val="15"/>
              </w:rPr>
              <w:t>537</w:t>
            </w:r>
          </w:p>
        </w:tc>
        <w:tc>
          <w:tcPr>
            <w:tcW w:type="dxa" w:w="648"/>
            <w:shd w:val="clear" w:color="auto" w:fill="F2F4F8"/>
          </w:tcPr>
          <w:p>
            <w:pPr>
              <w:spacing w:after="0" w:before="0"/>
              <w:jc w:val="right"/>
            </w:pPr>
            <w:r/>
            <w:r>
              <w:rPr>
                <w:b w:val="0"/>
                <w:i w:val="0"/>
                <w:sz w:val="15"/>
              </w:rPr>
              <w:t>2150</w:t>
            </w:r>
          </w:p>
        </w:tc>
        <w:tc>
          <w:tcPr>
            <w:tcW w:type="dxa" w:w="648"/>
            <w:shd w:val="clear" w:color="auto" w:fill="F2F4F8"/>
          </w:tcPr>
          <w:p>
            <w:pPr>
              <w:spacing w:after="0" w:before="0"/>
              <w:jc w:val="right"/>
            </w:pPr>
            <w:r/>
            <w:r>
              <w:rPr>
                <w:b w:val="0"/>
                <w:i w:val="0"/>
                <w:sz w:val="15"/>
              </w:rPr>
              <w:t>2022</w:t>
            </w:r>
          </w:p>
        </w:tc>
        <w:tc>
          <w:tcPr>
            <w:tcW w:type="dxa" w:w="1008"/>
            <w:shd w:val="clear" w:color="auto" w:fill="F2F4F8"/>
          </w:tcPr>
          <w:p>
            <w:pPr>
              <w:spacing w:after="0" w:before="0"/>
              <w:jc w:val="right"/>
            </w:pPr>
            <w:r/>
            <w:r>
              <w:rPr>
                <w:b w:val="0"/>
                <w:i w:val="0"/>
                <w:sz w:val="15"/>
              </w:rPr>
              <w:t>$1,226.0M</w:t>
            </w:r>
          </w:p>
        </w:tc>
        <w:tc>
          <w:tcPr>
            <w:tcW w:type="dxa" w:w="864"/>
            <w:shd w:val="clear" w:color="auto" w:fill="F2F4F8"/>
          </w:tcPr>
          <w:p>
            <w:pPr>
              <w:spacing w:after="0" w:before="0"/>
              <w:jc w:val="right"/>
            </w:pPr>
            <w:r/>
            <w:r>
              <w:rPr>
                <w:b w:val="0"/>
                <w:i w:val="0"/>
                <w:sz w:val="15"/>
              </w:rPr>
              <w:t>$570</w:t>
            </w:r>
          </w:p>
        </w:tc>
        <w:tc>
          <w:tcPr>
            <w:tcW w:type="dxa" w:w="1944"/>
            <w:shd w:val="clear" w:color="auto" w:fill="F2F4F8"/>
          </w:tcPr>
          <w:p>
            <w:pPr>
              <w:spacing w:after="0" w:before="0"/>
            </w:pPr>
            <w:r/>
            <w:r>
              <w:rPr>
                <w:b w:val="0"/>
                <w:i w:val="0"/>
                <w:sz w:val="15"/>
              </w:rPr>
              <w:t>contract price (EPCM contract, CPU</w:t>
            </w:r>
          </w:p>
        </w:tc>
        <w:tc>
          <w:tcPr>
            <w:tcW w:type="dxa" w:w="936"/>
            <w:shd w:val="clear" w:color="auto" w:fill="F2F4F8"/>
          </w:tcPr>
          <w:p>
            <w:pPr>
              <w:spacing w:after="0" w:before="0"/>
            </w:pPr>
            <w:r/>
            <w:r>
              <w:rPr>
                <w:b w:val="0"/>
                <w:i w:val="0"/>
                <w:sz w:val="15"/>
              </w:rPr>
              <w:t>High</w:t>
            </w:r>
          </w:p>
        </w:tc>
      </w:tr>
    </w:tbl>
    <w:p>
      <w:pPr>
        <w:spacing w:after="40"/>
      </w:pPr>
    </w:p>
    <w:p>
      <w:pPr>
        <w:pStyle w:val="Heading1"/>
      </w:pPr>
      <w:r>
        <w:t>3. Reference class: utility-owned projects at or below 100 MWh</w:t>
      </w:r>
    </w:p>
    <w:p>
      <w:pPr>
        <w:spacing w:after="120"/>
      </w:pPr>
      <w:r>
        <w:rPr>
          <w:b w:val="0"/>
          <w:i w:val="0"/>
        </w:rPr>
        <w:t>Thirteen projects meet the class definition. The median is $1,235/kWh, the interquartile range $750 to $1,289/kWh, and the full range $438 (Martha's Vineyard Phase 2, a 2019 estimate for a 6.5-hour system that was never built) to $2,775 (Dalrymple, a 30 MW / 8 MWh grid-support unit in South Australia). Hyde Park's installed battery at $833/kWh ranks at the 38% percentile, its station-complete direct cost at $1,483/kWh at the 77% percentile, and its approval level at $2,862/kWh above the maximum. Three members of the class are the most instructive comparables because they are recent, IOU-owned, substation-sited and cost-disclosed to a regulator: BGE Fairhaven (2.5 MW / 9.7 MWh, 2023, $1,659/kWh actual against $1,010/kWh estimated), NYPA Chateaugay (20 MW / 20 MWh, 2023, $1,490/kWh approved), and Eversource Provincetown (25 MW / 38 MWh, 2022, $1,289/kWh final, with microgrid controls and fiber bundled). Hyde Park's direct cost sits among those three; what lifts it above them is the loader stack and the two interconnection scopes.</w:t>
      </w:r>
    </w:p>
    <w:p>
      <w:r>
        <w:drawing>
          <wp:inline xmlns:a="http://schemas.openxmlformats.org/drawingml/2006/main" xmlns:pic="http://schemas.openxmlformats.org/drawingml/2006/picture">
            <wp:extent cx="5943600" cy="2033337"/>
            <wp:docPr id="1" name="Picture 1"/>
            <wp:cNvGraphicFramePr>
              <a:graphicFrameLocks noChangeAspect="1"/>
            </wp:cNvGraphicFramePr>
            <a:graphic>
              <a:graphicData uri="http://schemas.openxmlformats.org/drawingml/2006/picture">
                <pic:pic>
                  <pic:nvPicPr>
                    <pic:cNvPr id="0" name="stats_refclass.png"/>
                    <pic:cNvPicPr/>
                  </pic:nvPicPr>
                  <pic:blipFill>
                    <a:blip r:embed="rId9"/>
                    <a:stretch>
                      <a:fillRect/>
                    </a:stretch>
                  </pic:blipFill>
                  <pic:spPr>
                    <a:xfrm>
                      <a:off x="0" y="0"/>
                      <a:ext cx="5943600" cy="2033337"/>
                    </a:xfrm>
                    <a:prstGeom prst="rect"/>
                  </pic:spPr>
                </pic:pic>
              </a:graphicData>
            </a:graphic>
          </wp:inline>
        </w:drawing>
      </w:r>
    </w:p>
    <w:p>
      <w:pPr>
        <w:pStyle w:val="Heading2"/>
      </w:pPr>
      <w:r>
        <w:t>3.1 Dollar-year adjustment (added 2 October 2026)</w:t>
      </w:r>
    </w:p>
    <w:p>
      <w:pPr>
        <w:spacing w:after="120"/>
      </w:pPr>
      <w:r>
        <w:rPr>
          <w:b w:val="0"/>
          <w:i w:val="0"/>
        </w:rPr>
        <w:t>The reference class above is in nominal dollars of the year each cost was reported, and nine of its thirteen members entered service between 2015 and 2019. A reviewer asked whether that understates the gap, given that battery prices were several times higher in 2018. The answer depends on which price is meant. BloombergNEF's pack survey is 1.6 times its 2018 level and 3.4 times its 2015 level; installed systems moved less (EIA's reported all-in for 2018 installs was $625 per kWh against LBNL's $458 for 2024, a factor of 1.4); and Lazard's Levelized Cost of Storage, which some reviewers cite, is roughly flat, down 24 percent from 2019 to 2025 and up 31 percent from 2020 to 2026 on the midpoint of its unsubsidized 100 MW, four-hour range. LCOS is in any case a $/MWh figure that bundles charging energy, operations, augmentation, financing and tax credits with capital cost, and is not a capital-cost deflator.</w:t>
      </w:r>
    </w:p>
    <w:p>
      <w:pPr>
        <w:spacing w:after="120"/>
      </w:pPr>
      <w:r>
        <w:rPr>
          <w:b w:val="0"/>
          <w:i w:val="0"/>
        </w:rPr>
        <w:t>Each comparable was re-based to 2026 with a two-component model: the battery share of its cost (40 percent, with 30 and 50 percent as sensitivities) deflated along a battery index, and the remainder (station, civil, labor, interconnection, overheads) escalated at 3.5 percent a year as a proxy for an ENR-class construction index. Under the installed all-in index the median moves from $1,235 to $1,187 per kWh; under the pack index to $1,225; under BNEF's turnkey series (available from 2022 only) to $1,074; under the LCOS midpoint to $1,466; and with construction escalation alone to $1,480. Every member moves between 0.95 and 1.09 times its nominal value at the installed index. Hyde Park's station-complete direct cost ($1,483) stays at the 77th percentile under the first three indices and falls to the 54th under LCOS; the approval level ($2,862) stays at or above the top under all five. Deflating a comparable's whole cost at the battery rate, which is the arithmetic behind the challenge, gives a median of $575 and treats a 2019 project's switchgear, civil works and interconnection as if they were lithium cells. The formulas are on the workbook tab '2026$ Adjustment'.</w:t>
      </w:r>
    </w:p>
    <w:p>
      <w:pPr>
        <w:pStyle w:val="Heading2"/>
      </w:pPr>
      <w:r>
        <w:t>3.2 New York distribution-scale cohort</w:t>
      </w:r>
    </w:p>
    <w:p>
      <w:pPr>
        <w:spacing w:after="120"/>
      </w:pPr>
      <w:r>
        <w:rPr>
          <w:b w:val="0"/>
          <w:i w:val="0"/>
        </w:rPr>
        <w:t>A second review comment noted that New York has built many more projects of this size, most of them by NineDot Energy. NineDot reports eleven operating projects at six New York City sites (39 MW, September 2026) and closed $431 million of construction, tax-credit bridge and letter-of-credit financing in February 2026 for 28 further sites totaling 124 MW and 494 MWh. Three New York City Industrial Development Agency filings disclose all-in project costs: NineDot's Arthur Kill Road site (9.8 MW, 39.1 MWh, $43.4 million, $1,110 per kWh, $4,427 per kW), Elevate Renewables' Victory Boulevard site at an existing generation property (15.1 MW, 60.4 MWh, $31.65 million, $524 per kWh) and Soltage's Maspeth site (5 MW, $16.1 million, $805 per kWh on an assumed four-hour duration). NYSERDA's 6 GW Roadmap reports average total installed costs for its retail-tier (5 MW and below) projects of $464 per kWh for 2020-21 installations and $567 for 2022-23. These are developer-owned, four-hour, distribution-connected sites on leased lots with VDER revenue, a NYSERDA incentive and the investment tax credit; none carries a utility switching station, a landfill platform, a siting case, utility indirects or AFUDC, and none of the figures nets the incentives. On a dollar-per-kW basis NineDot's own filed budget is 77 percent of Hyde Park's approval level and 1.5 times its station-complete direct cost. The cohort also illustrates the interconnection point: NY-BEST and NYSEIA told the Public Service Commission on 11 March 2026 (Case 24-E-0621) that Con Edison's two-part interconnection test had raised upgrade costs about fourteen-fold on 34 distributed projects totaling 161 MW, an average of about $21 million per project. The cohort is shown on deck slide 13 and on the workbook tab; it was not added to the regression, which was not re-run.</w:t>
      </w:r>
    </w:p>
    <w:p>
      <w:pPr>
        <w:pStyle w:val="Heading1"/>
      </w:pPr>
      <w:r>
        <w:t>4. Regression: size, duration and year</w:t>
      </w:r>
    </w:p>
    <w:p>
      <w:pPr>
        <w:spacing w:after="120"/>
      </w:pPr>
      <w:r>
        <w:rPr>
          <w:b w:val="0"/>
          <w:i w:val="0"/>
        </w:rPr>
        <w:t>A log-log ordinary least squares model was fitted with heteroskedasticity-robust standard errors: ln($/kWh) on ln(MWh), ln(duration in hours) and calendar year. Results for the 26 projects: R-squared 0.65 (adjusted 0.60); size elasticity -0.17 (p = 0.012), so a tenfold increase in MWh lowers $/kWh by about 33 percent; duration elasticity -0.29 (p = 0.016), so doubling duration lowers $/kWh by about 18 percent, close to the 38 percent that Modo Energy's September 2026 survey reports for two-hour versus four-hour systems; and a year effect that is not distinguishable from zero (p = 0.68), which is what one expects when falling pack prices and rising installation, interconnection and tariff costs offset over the period. Adding ownership and Northeast dummies changes nothing of substance (R-squared 0.66, both p above 0.5), so the parsimonious model is used. The residual standard deviation of 0.36 in log terms means that a project of given size and duration lands within a factor of about 1.43 of the fitted value two times in three.</w:t>
      </w:r>
    </w:p>
    <w:p>
      <w:pPr>
        <w:spacing w:after="120"/>
      </w:pPr>
      <w:r>
        <w:rPr>
          <w:b w:val="0"/>
          <w:i w:val="0"/>
        </w:rPr>
        <w:t>For a 20 MWh, two-hour project in 2028 the fitted value is $1,116/kWh and the 80 percent prediction interval is $611 to $2,037/kWh. Hyde Park's boundaries fall at the following percentiles of that predictive distribution: vendor contract 10%, installed battery 27%, station complete direct 73%, approval level 98%. The reading is direct. The battery is priced below what the population would predict for a project this small and this short. The station, complete and unloaded, is a high-normal outcome. The approval level is an outlier against public disclosures, and the memo's position is that the outlier is explained by scope that the disclosures do not carry rather than by pricing.</w:t>
      </w:r>
    </w:p>
    <w:p>
      <w:r>
        <w:drawing>
          <wp:inline xmlns:a="http://schemas.openxmlformats.org/drawingml/2006/main" xmlns:pic="http://schemas.openxmlformats.org/drawingml/2006/picture">
            <wp:extent cx="5943600" cy="3441032"/>
            <wp:docPr id="2" name="Picture 2"/>
            <wp:cNvGraphicFramePr>
              <a:graphicFrameLocks noChangeAspect="1"/>
            </wp:cNvGraphicFramePr>
            <a:graphic>
              <a:graphicData uri="http://schemas.openxmlformats.org/drawingml/2006/picture">
                <pic:pic>
                  <pic:nvPicPr>
                    <pic:cNvPr id="0" name="stats_scatter.png"/>
                    <pic:cNvPicPr/>
                  </pic:nvPicPr>
                  <pic:blipFill>
                    <a:blip r:embed="rId10"/>
                    <a:stretch>
                      <a:fillRect/>
                    </a:stretch>
                  </pic:blipFill>
                  <pic:spPr>
                    <a:xfrm>
                      <a:off x="0" y="0"/>
                      <a:ext cx="5943600" cy="3441032"/>
                    </a:xfrm>
                    <a:prstGeom prst="rect"/>
                  </pic:spPr>
                </pic:pic>
              </a:graphicData>
            </a:graphic>
          </wp:inline>
        </w:drawing>
      </w:r>
    </w:p>
    <w:p>
      <w:pPr>
        <w:pStyle w:val="Heading1"/>
      </w:pPr>
      <w:r>
        <w:t>5. Monte Carlo on the estimate's own layers</w:t>
      </w:r>
    </w:p>
    <w:p>
      <w:pPr>
        <w:spacing w:after="120"/>
      </w:pPr>
      <w:r>
        <w:rPr>
          <w:b w:val="0"/>
          <w:i w:val="0"/>
        </w:rPr>
        <w:t>The layered extraction makes a defensible simulation possible, because each layer has a known basis and a known maturity. A PERT distribution was assigned to each of the nine direct layers of Station 360, the Station 496 estimate was treated as a single layer, indirects were scaled with directs, and AFUDC was scaled with directs and with a schedule factor for up to twelve months of siting slip. The risk register and contingency were deliberately not added on top, because the layer ranges already model the outcomes the register is meant to fund; adding both would count the same exposure twice. Twenty thousand trials, fixed seed, no correlation between layers (a conservative simplification that narrows the tails; a positive correlation between the site, station and engineering layers would widen them). Two calibrations were run: base ranges from the specific evidence on each layer, and a wide calibration that stretches every upside by 60 percent to approximate an AACE Class 5 maturity.</w:t>
      </w:r>
    </w:p>
    <w:tbl>
      <w:tblPr>
        <w:tblStyle w:val="TableGrid"/>
        <w:tblW w:type="auto" w:w="0"/>
        <w:jc w:val="center"/>
        <w:tblLayout w:type="fixed"/>
        <w:tblLook w:firstColumn="1" w:firstRow="1" w:lastColumn="0" w:lastRow="0" w:noHBand="0" w:noVBand="1" w:val="04A0"/>
      </w:tblPr>
      <w:tblGrid>
        <w:gridCol w:w="2160"/>
        <w:gridCol w:w="1152"/>
        <w:gridCol w:w="2160"/>
        <w:gridCol w:w="4608"/>
      </w:tblGrid>
      <w:tr>
        <w:tc>
          <w:tcPr>
            <w:tcW w:type="dxa" w:w="2160"/>
            <w:shd w:val="clear" w:color="auto" w:fill="001E60"/>
          </w:tcPr>
          <w:p>
            <w:pPr>
              <w:spacing w:after="0" w:before="0"/>
            </w:pPr>
            <w:r/>
            <w:r>
              <w:rPr>
                <w:b/>
                <w:i w:val="0"/>
                <w:color w:val="FFFFFF"/>
                <w:sz w:val="16"/>
              </w:rPr>
              <w:t>Layer</w:t>
            </w:r>
          </w:p>
        </w:tc>
        <w:tc>
          <w:tcPr>
            <w:tcW w:type="dxa" w:w="1152"/>
            <w:shd w:val="clear" w:color="auto" w:fill="001E60"/>
          </w:tcPr>
          <w:p>
            <w:pPr>
              <w:spacing w:after="0" w:before="0"/>
            </w:pPr>
            <w:r/>
            <w:r>
              <w:rPr>
                <w:b/>
                <w:i w:val="0"/>
                <w:color w:val="FFFFFF"/>
                <w:sz w:val="16"/>
              </w:rPr>
              <w:t>Rev 3 direct</w:t>
            </w:r>
          </w:p>
        </w:tc>
        <w:tc>
          <w:tcPr>
            <w:tcW w:type="dxa" w:w="2160"/>
            <w:shd w:val="clear" w:color="auto" w:fill="001E60"/>
          </w:tcPr>
          <w:p>
            <w:pPr>
              <w:spacing w:after="0" w:before="0"/>
            </w:pPr>
            <w:r/>
            <w:r>
              <w:rPr>
                <w:b/>
                <w:i w:val="0"/>
                <w:color w:val="FFFFFF"/>
                <w:sz w:val="16"/>
              </w:rPr>
              <w:t>PERT low / mode / high</w:t>
            </w:r>
          </w:p>
        </w:tc>
        <w:tc>
          <w:tcPr>
            <w:tcW w:type="dxa" w:w="4608"/>
            <w:shd w:val="clear" w:color="auto" w:fill="001E60"/>
          </w:tcPr>
          <w:p>
            <w:pPr>
              <w:spacing w:after="0" w:before="0"/>
            </w:pPr>
            <w:r/>
            <w:r>
              <w:rPr>
                <w:b/>
                <w:i w:val="0"/>
                <w:color w:val="FFFFFF"/>
                <w:sz w:val="16"/>
              </w:rPr>
              <w:t>Basis for the range</w:t>
            </w:r>
          </w:p>
        </w:tc>
      </w:tr>
      <w:tr>
        <w:tc>
          <w:tcPr>
            <w:tcW w:type="dxa" w:w="2160"/>
          </w:tcPr>
          <w:p>
            <w:pPr>
              <w:spacing w:after="0" w:before="0"/>
            </w:pPr>
            <w:r/>
            <w:r>
              <w:rPr>
                <w:b w:val="0"/>
                <w:i w:val="0"/>
                <w:sz w:val="16"/>
              </w:rPr>
              <w:t>A Battery contract</w:t>
            </w:r>
          </w:p>
        </w:tc>
        <w:tc>
          <w:tcPr>
            <w:tcW w:type="dxa" w:w="1152"/>
          </w:tcPr>
          <w:p>
            <w:pPr>
              <w:spacing w:after="0" w:before="0"/>
            </w:pPr>
            <w:r/>
            <w:r>
              <w:rPr>
                <w:b w:val="0"/>
                <w:i w:val="0"/>
                <w:sz w:val="16"/>
              </w:rPr>
              <w:t>$12.99M</w:t>
            </w:r>
          </w:p>
        </w:tc>
        <w:tc>
          <w:tcPr>
            <w:tcW w:type="dxa" w:w="2160"/>
          </w:tcPr>
          <w:p>
            <w:pPr>
              <w:spacing w:after="0" w:before="0"/>
            </w:pPr>
            <w:r/>
            <w:r>
              <w:rPr>
                <w:b w:val="0"/>
                <w:i w:val="0"/>
                <w:sz w:val="16"/>
              </w:rPr>
              <w:t>1.00 / 1.02 / 1.08 of contract</w:t>
            </w:r>
          </w:p>
        </w:tc>
        <w:tc>
          <w:tcPr>
            <w:tcW w:type="dxa" w:w="4608"/>
          </w:tcPr>
          <w:p>
            <w:pPr>
              <w:spacing w:after="0" w:before="0"/>
            </w:pPr>
            <w:r/>
            <w:r>
              <w:rPr>
                <w:b w:val="0"/>
                <w:i w:val="0"/>
                <w:sz w:val="16"/>
              </w:rPr>
              <w:t>Fixed price; change orders and LD exposure only. Escalation on the balance is a decision, not a risk.</w:t>
            </w:r>
          </w:p>
        </w:tc>
      </w:tr>
      <w:tr>
        <w:tc>
          <w:tcPr>
            <w:tcW w:type="dxa" w:w="2160"/>
            <w:shd w:val="clear" w:color="auto" w:fill="F2F4F8"/>
          </w:tcPr>
          <w:p>
            <w:pPr>
              <w:spacing w:after="0" w:before="0"/>
            </w:pPr>
            <w:r/>
            <w:r>
              <w:rPr>
                <w:b w:val="0"/>
                <w:i w:val="0"/>
                <w:sz w:val="16"/>
              </w:rPr>
              <w:t>B Battery installation</w:t>
            </w:r>
          </w:p>
        </w:tc>
        <w:tc>
          <w:tcPr>
            <w:tcW w:type="dxa" w:w="1152"/>
            <w:shd w:val="clear" w:color="auto" w:fill="F2F4F8"/>
          </w:tcPr>
          <w:p>
            <w:pPr>
              <w:spacing w:after="0" w:before="0"/>
            </w:pPr>
            <w:r/>
            <w:r>
              <w:rPr>
                <w:b w:val="0"/>
                <w:i w:val="0"/>
                <w:sz w:val="16"/>
              </w:rPr>
              <w:t>$1.73M</w:t>
            </w:r>
          </w:p>
        </w:tc>
        <w:tc>
          <w:tcPr>
            <w:tcW w:type="dxa" w:w="2160"/>
            <w:shd w:val="clear" w:color="auto" w:fill="F2F4F8"/>
          </w:tcPr>
          <w:p>
            <w:pPr>
              <w:spacing w:after="0" w:before="0"/>
            </w:pPr>
            <w:r/>
            <w:r>
              <w:rPr>
                <w:b w:val="0"/>
                <w:i w:val="0"/>
                <w:sz w:val="16"/>
              </w:rPr>
              <w:t>0.80 / 1.00 / 1.90</w:t>
            </w:r>
          </w:p>
        </w:tc>
        <w:tc>
          <w:tcPr>
            <w:tcW w:type="dxa" w:w="4608"/>
            <w:shd w:val="clear" w:color="auto" w:fill="F2F4F8"/>
          </w:tcPr>
          <w:p>
            <w:pPr>
              <w:spacing w:after="0" w:before="0"/>
            </w:pPr>
            <w:r/>
            <w:r>
              <w:rPr>
                <w:b w:val="0"/>
                <w:i w:val="0"/>
                <w:sz w:val="16"/>
              </w:rPr>
              <w:t>Labor basis is 25% of a 2023 site total; Rev 2 used 50%.</w:t>
            </w:r>
          </w:p>
        </w:tc>
      </w:tr>
      <w:tr>
        <w:tc>
          <w:tcPr>
            <w:tcW w:type="dxa" w:w="2160"/>
          </w:tcPr>
          <w:p>
            <w:pPr>
              <w:spacing w:after="0" w:before="0"/>
            </w:pPr>
            <w:r/>
            <w:r>
              <w:rPr>
                <w:b w:val="0"/>
                <w:i w:val="0"/>
                <w:sz w:val="16"/>
              </w:rPr>
              <w:t>C GSUs, EMS, aux power</w:t>
            </w:r>
          </w:p>
        </w:tc>
        <w:tc>
          <w:tcPr>
            <w:tcW w:type="dxa" w:w="1152"/>
          </w:tcPr>
          <w:p>
            <w:pPr>
              <w:spacing w:after="0" w:before="0"/>
            </w:pPr>
            <w:r/>
            <w:r>
              <w:rPr>
                <w:b w:val="0"/>
                <w:i w:val="0"/>
                <w:sz w:val="16"/>
              </w:rPr>
              <w:t>$1.93M</w:t>
            </w:r>
          </w:p>
        </w:tc>
        <w:tc>
          <w:tcPr>
            <w:tcW w:type="dxa" w:w="2160"/>
          </w:tcPr>
          <w:p>
            <w:pPr>
              <w:spacing w:after="0" w:before="0"/>
            </w:pPr>
            <w:r/>
            <w:r>
              <w:rPr>
                <w:b w:val="0"/>
                <w:i w:val="0"/>
                <w:sz w:val="16"/>
              </w:rPr>
              <w:t>0.85 / 1.00 / 1.35</w:t>
            </w:r>
          </w:p>
        </w:tc>
        <w:tc>
          <w:tcPr>
            <w:tcW w:type="dxa" w:w="4608"/>
          </w:tcPr>
          <w:p>
            <w:pPr>
              <w:spacing w:after="0" w:before="0"/>
            </w:pPr>
            <w:r/>
            <w:r>
              <w:rPr>
                <w:b w:val="0"/>
                <w:i w:val="0"/>
                <w:sz w:val="16"/>
              </w:rPr>
              <w:t>2023 bidder list plus 3%/yr; GSU count 4 vs 12 on the 25 Aug one-line.</w:t>
            </w:r>
          </w:p>
        </w:tc>
      </w:tr>
      <w:tr>
        <w:tc>
          <w:tcPr>
            <w:tcW w:type="dxa" w:w="2160"/>
            <w:shd w:val="clear" w:color="auto" w:fill="F2F4F8"/>
          </w:tcPr>
          <w:p>
            <w:pPr>
              <w:spacing w:after="0" w:before="0"/>
            </w:pPr>
            <w:r/>
            <w:r>
              <w:rPr>
                <w:b w:val="0"/>
                <w:i w:val="0"/>
                <w:sz w:val="16"/>
              </w:rPr>
              <w:t>D Station 360 switching</w:t>
            </w:r>
          </w:p>
        </w:tc>
        <w:tc>
          <w:tcPr>
            <w:tcW w:type="dxa" w:w="1152"/>
            <w:shd w:val="clear" w:color="auto" w:fill="F2F4F8"/>
          </w:tcPr>
          <w:p>
            <w:pPr>
              <w:spacing w:after="0" w:before="0"/>
            </w:pPr>
            <w:r/>
            <w:r>
              <w:rPr>
                <w:b w:val="0"/>
                <w:i w:val="0"/>
                <w:sz w:val="16"/>
              </w:rPr>
              <w:t>$3.85M</w:t>
            </w:r>
          </w:p>
        </w:tc>
        <w:tc>
          <w:tcPr>
            <w:tcW w:type="dxa" w:w="2160"/>
            <w:shd w:val="clear" w:color="auto" w:fill="F2F4F8"/>
          </w:tcPr>
          <w:p>
            <w:pPr>
              <w:spacing w:after="0" w:before="0"/>
            </w:pPr>
            <w:r/>
            <w:r>
              <w:rPr>
                <w:b w:val="0"/>
                <w:i w:val="0"/>
                <w:sz w:val="16"/>
              </w:rPr>
              <w:t>0.80 / 1.00 / 1.45</w:t>
            </w:r>
          </w:p>
        </w:tc>
        <w:tc>
          <w:tcPr>
            <w:tcW w:type="dxa" w:w="4608"/>
            <w:shd w:val="clear" w:color="auto" w:fill="F2F4F8"/>
          </w:tcPr>
          <w:p>
            <w:pPr>
              <w:spacing w:after="0" w:before="0"/>
            </w:pPr>
            <w:r/>
            <w:r>
              <w:rPr>
                <w:b w:val="0"/>
                <w:i w:val="0"/>
                <w:sz w:val="16"/>
              </w:rPr>
              <w:t>Siemens budgetary +/-30% on breakers; balance from unit library at conceptual maturity.</w:t>
            </w:r>
          </w:p>
        </w:tc>
      </w:tr>
      <w:tr>
        <w:tc>
          <w:tcPr>
            <w:tcW w:type="dxa" w:w="2160"/>
          </w:tcPr>
          <w:p>
            <w:pPr>
              <w:spacing w:after="0" w:before="0"/>
            </w:pPr>
            <w:r/>
            <w:r>
              <w:rPr>
                <w:b w:val="0"/>
                <w:i w:val="0"/>
                <w:sz w:val="16"/>
              </w:rPr>
              <w:t>E Landfill site platform</w:t>
            </w:r>
          </w:p>
        </w:tc>
        <w:tc>
          <w:tcPr>
            <w:tcW w:type="dxa" w:w="1152"/>
          </w:tcPr>
          <w:p>
            <w:pPr>
              <w:spacing w:after="0" w:before="0"/>
            </w:pPr>
            <w:r/>
            <w:r>
              <w:rPr>
                <w:b w:val="0"/>
                <w:i w:val="0"/>
                <w:sz w:val="16"/>
              </w:rPr>
              <w:t>$2.69M</w:t>
            </w:r>
          </w:p>
        </w:tc>
        <w:tc>
          <w:tcPr>
            <w:tcW w:type="dxa" w:w="2160"/>
          </w:tcPr>
          <w:p>
            <w:pPr>
              <w:spacing w:after="0" w:before="0"/>
            </w:pPr>
            <w:r/>
            <w:r>
              <w:rPr>
                <w:b w:val="0"/>
                <w:i w:val="0"/>
                <w:sz w:val="16"/>
              </w:rPr>
              <w:t>0.60 / 1.00 / 2.60</w:t>
            </w:r>
          </w:p>
        </w:tc>
        <w:tc>
          <w:tcPr>
            <w:tcW w:type="dxa" w:w="4608"/>
          </w:tcPr>
          <w:p>
            <w:pPr>
              <w:spacing w:after="0" w:before="0"/>
            </w:pPr>
            <w:r/>
            <w:r>
              <w:rPr>
                <w:b w:val="0"/>
                <w:i w:val="0"/>
                <w:sz w:val="16"/>
              </w:rPr>
              <w:t>Haugland deducts ($1.47M confirmable) against geotechnical exposure ($0.6M / $1.6M / $3.5M) and soil ($0.4M to $2.6M).</w:t>
            </w:r>
          </w:p>
        </w:tc>
      </w:tr>
      <w:tr>
        <w:tc>
          <w:tcPr>
            <w:tcW w:type="dxa" w:w="2160"/>
            <w:shd w:val="clear" w:color="auto" w:fill="F2F4F8"/>
          </w:tcPr>
          <w:p>
            <w:pPr>
              <w:spacing w:after="0" w:before="0"/>
            </w:pPr>
            <w:r/>
            <w:r>
              <w:rPr>
                <w:b w:val="0"/>
                <w:i w:val="0"/>
                <w:sz w:val="16"/>
              </w:rPr>
              <w:t>F Station 496 protection</w:t>
            </w:r>
          </w:p>
        </w:tc>
        <w:tc>
          <w:tcPr>
            <w:tcW w:type="dxa" w:w="1152"/>
            <w:shd w:val="clear" w:color="auto" w:fill="F2F4F8"/>
          </w:tcPr>
          <w:p>
            <w:pPr>
              <w:spacing w:after="0" w:before="0"/>
            </w:pPr>
            <w:r/>
            <w:r>
              <w:rPr>
                <w:b w:val="0"/>
                <w:i w:val="0"/>
                <w:sz w:val="16"/>
              </w:rPr>
              <w:t>$7.25M</w:t>
            </w:r>
          </w:p>
        </w:tc>
        <w:tc>
          <w:tcPr>
            <w:tcW w:type="dxa" w:w="2160"/>
            <w:shd w:val="clear" w:color="auto" w:fill="F2F4F8"/>
          </w:tcPr>
          <w:p>
            <w:pPr>
              <w:spacing w:after="0" w:before="0"/>
            </w:pPr>
            <w:r/>
            <w:r>
              <w:rPr>
                <w:b w:val="0"/>
                <w:i w:val="0"/>
                <w:sz w:val="16"/>
              </w:rPr>
              <w:t>0.80 / 1.00 / 1.40</w:t>
            </w:r>
          </w:p>
        </w:tc>
        <w:tc>
          <w:tcPr>
            <w:tcW w:type="dxa" w:w="4608"/>
            <w:shd w:val="clear" w:color="auto" w:fill="F2F4F8"/>
          </w:tcPr>
          <w:p>
            <w:pPr>
              <w:spacing w:after="0" w:before="0"/>
            </w:pPr>
            <w:r/>
            <w:r>
              <w:rPr>
                <w:b w:val="0"/>
                <w:i w:val="0"/>
                <w:sz w:val="16"/>
              </w:rPr>
              <w:t>Own conceptual estimate incl. loaders.</w:t>
            </w:r>
          </w:p>
        </w:tc>
      </w:tr>
      <w:tr>
        <w:tc>
          <w:tcPr>
            <w:tcW w:type="dxa" w:w="2160"/>
          </w:tcPr>
          <w:p>
            <w:pPr>
              <w:spacing w:after="0" w:before="0"/>
            </w:pPr>
            <w:r/>
            <w:r>
              <w:rPr>
                <w:b w:val="0"/>
                <w:i w:val="0"/>
                <w:sz w:val="16"/>
              </w:rPr>
              <w:t>G Testing and commissioning</w:t>
            </w:r>
          </w:p>
        </w:tc>
        <w:tc>
          <w:tcPr>
            <w:tcW w:type="dxa" w:w="1152"/>
          </w:tcPr>
          <w:p>
            <w:pPr>
              <w:spacing w:after="0" w:before="0"/>
            </w:pPr>
            <w:r/>
            <w:r>
              <w:rPr>
                <w:b w:val="0"/>
                <w:i w:val="0"/>
                <w:sz w:val="16"/>
              </w:rPr>
              <w:t>$1.26M</w:t>
            </w:r>
          </w:p>
        </w:tc>
        <w:tc>
          <w:tcPr>
            <w:tcW w:type="dxa" w:w="2160"/>
          </w:tcPr>
          <w:p>
            <w:pPr>
              <w:spacing w:after="0" w:before="0"/>
            </w:pPr>
            <w:r/>
            <w:r>
              <w:rPr>
                <w:b w:val="0"/>
                <w:i w:val="0"/>
                <w:sz w:val="16"/>
              </w:rPr>
              <w:t>0.80 / 1.00 / 1.50</w:t>
            </w:r>
          </w:p>
        </w:tc>
        <w:tc>
          <w:tcPr>
            <w:tcW w:type="dxa" w:w="4608"/>
          </w:tcPr>
          <w:p>
            <w:pPr>
              <w:spacing w:after="0" w:before="0"/>
            </w:pPr>
            <w:r/>
            <w:r>
              <w:rPr>
                <w:b w:val="0"/>
                <w:i w:val="0"/>
                <w:sz w:val="16"/>
              </w:rPr>
              <w:t>Hours from E-23-373; 63-day commissioning window ownership open.</w:t>
            </w:r>
          </w:p>
        </w:tc>
      </w:tr>
      <w:tr>
        <w:tc>
          <w:tcPr>
            <w:tcW w:type="dxa" w:w="2160"/>
            <w:shd w:val="clear" w:color="auto" w:fill="F2F4F8"/>
          </w:tcPr>
          <w:p>
            <w:pPr>
              <w:spacing w:after="0" w:before="0"/>
            </w:pPr>
            <w:r/>
            <w:r>
              <w:rPr>
                <w:b w:val="0"/>
                <w:i w:val="0"/>
                <w:sz w:val="16"/>
              </w:rPr>
              <w:t>H Engineering, siting, PM</w:t>
            </w:r>
          </w:p>
        </w:tc>
        <w:tc>
          <w:tcPr>
            <w:tcW w:type="dxa" w:w="1152"/>
            <w:shd w:val="clear" w:color="auto" w:fill="F2F4F8"/>
          </w:tcPr>
          <w:p>
            <w:pPr>
              <w:spacing w:after="0" w:before="0"/>
            </w:pPr>
            <w:r/>
            <w:r>
              <w:rPr>
                <w:b w:val="0"/>
                <w:i w:val="0"/>
                <w:sz w:val="16"/>
              </w:rPr>
              <w:t>$4.42M</w:t>
            </w:r>
          </w:p>
        </w:tc>
        <w:tc>
          <w:tcPr>
            <w:tcW w:type="dxa" w:w="2160"/>
            <w:shd w:val="clear" w:color="auto" w:fill="F2F4F8"/>
          </w:tcPr>
          <w:p>
            <w:pPr>
              <w:spacing w:after="0" w:before="0"/>
            </w:pPr>
            <w:r/>
            <w:r>
              <w:rPr>
                <w:b w:val="0"/>
                <w:i w:val="0"/>
                <w:sz w:val="16"/>
              </w:rPr>
              <w:t>0.90 / 1.00 / 1.60</w:t>
            </w:r>
          </w:p>
        </w:tc>
        <w:tc>
          <w:tcPr>
            <w:tcW w:type="dxa" w:w="4608"/>
            <w:shd w:val="clear" w:color="auto" w:fill="F2F4F8"/>
          </w:tcPr>
          <w:p>
            <w:pPr>
              <w:spacing w:after="0" w:before="0"/>
            </w:pPr>
            <w:r/>
            <w:r>
              <w:rPr>
                <w:b w:val="0"/>
                <w:i w:val="0"/>
                <w:sz w:val="16"/>
              </w:rPr>
              <w:t>Engineering at 1.6% of total; EFSB fallback adds 18 to 24 months of legal and PM.</w:t>
            </w:r>
          </w:p>
        </w:tc>
      </w:tr>
      <w:tr>
        <w:tc>
          <w:tcPr>
            <w:tcW w:type="dxa" w:w="2160"/>
          </w:tcPr>
          <w:p>
            <w:pPr>
              <w:spacing w:after="0" w:before="0"/>
            </w:pPr>
            <w:r/>
            <w:r>
              <w:rPr>
                <w:b w:val="0"/>
                <w:i w:val="0"/>
                <w:sz w:val="16"/>
              </w:rPr>
              <w:t>I Taxes, CWIP, BAR</w:t>
            </w:r>
          </w:p>
        </w:tc>
        <w:tc>
          <w:tcPr>
            <w:tcW w:type="dxa" w:w="1152"/>
          </w:tcPr>
          <w:p>
            <w:pPr>
              <w:spacing w:after="0" w:before="0"/>
            </w:pPr>
            <w:r/>
            <w:r>
              <w:rPr>
                <w:b w:val="0"/>
                <w:i w:val="0"/>
                <w:sz w:val="16"/>
              </w:rPr>
              <w:t>$0.79M</w:t>
            </w:r>
          </w:p>
        </w:tc>
        <w:tc>
          <w:tcPr>
            <w:tcW w:type="dxa" w:w="2160"/>
          </w:tcPr>
          <w:p>
            <w:pPr>
              <w:spacing w:after="0" w:before="0"/>
            </w:pPr>
            <w:r/>
            <w:r>
              <w:rPr>
                <w:b w:val="0"/>
                <w:i w:val="0"/>
                <w:sz w:val="16"/>
              </w:rPr>
              <w:t>0.90 / 1.00 / 1.20</w:t>
            </w:r>
          </w:p>
        </w:tc>
        <w:tc>
          <w:tcPr>
            <w:tcW w:type="dxa" w:w="4608"/>
          </w:tcPr>
          <w:p>
            <w:pPr>
              <w:spacing w:after="0" w:before="0"/>
            </w:pPr>
            <w:r/>
            <w:r>
              <w:rPr>
                <w:b w:val="0"/>
                <w:i w:val="0"/>
                <w:sz w:val="16"/>
              </w:rPr>
              <w:t>Follows the base.</w:t>
            </w:r>
          </w:p>
        </w:tc>
      </w:tr>
      <w:tr>
        <w:tc>
          <w:tcPr>
            <w:tcW w:type="dxa" w:w="2160"/>
            <w:shd w:val="clear" w:color="auto" w:fill="F2F4F8"/>
          </w:tcPr>
          <w:p>
            <w:pPr>
              <w:spacing w:after="0" w:before="0"/>
            </w:pPr>
            <w:r/>
            <w:r>
              <w:rPr>
                <w:b w:val="0"/>
                <w:i w:val="0"/>
                <w:sz w:val="16"/>
              </w:rPr>
              <w:t>AFUDC schedule factor</w:t>
            </w:r>
          </w:p>
        </w:tc>
        <w:tc>
          <w:tcPr>
            <w:tcW w:type="dxa" w:w="1152"/>
            <w:shd w:val="clear" w:color="auto" w:fill="F2F4F8"/>
          </w:tcPr>
          <w:p>
            <w:pPr>
              <w:spacing w:after="0" w:before="0"/>
            </w:pPr>
            <w:r/>
            <w:r>
              <w:rPr>
                <w:b w:val="0"/>
                <w:i w:val="0"/>
                <w:sz w:val="16"/>
              </w:rPr>
              <w:t>$4.68M</w:t>
            </w:r>
          </w:p>
        </w:tc>
        <w:tc>
          <w:tcPr>
            <w:tcW w:type="dxa" w:w="2160"/>
            <w:shd w:val="clear" w:color="auto" w:fill="F2F4F8"/>
          </w:tcPr>
          <w:p>
            <w:pPr>
              <w:spacing w:after="0" w:before="0"/>
            </w:pPr>
            <w:r/>
            <w:r>
              <w:rPr>
                <w:b w:val="0"/>
                <w:i w:val="0"/>
                <w:sz w:val="16"/>
              </w:rPr>
              <w:t>0.95 / 1.00 / 1.35</w:t>
            </w:r>
          </w:p>
        </w:tc>
        <w:tc>
          <w:tcPr>
            <w:tcW w:type="dxa" w:w="4608"/>
            <w:shd w:val="clear" w:color="auto" w:fill="F2F4F8"/>
          </w:tcPr>
          <w:p>
            <w:pPr>
              <w:spacing w:after="0" w:before="0"/>
            </w:pPr>
            <w:r/>
            <w:r>
              <w:rPr>
                <w:b w:val="0"/>
                <w:i w:val="0"/>
                <w:sz w:val="16"/>
              </w:rPr>
              <w:t>Zero to twelve months of siting slip after the February 2028 determination.</w:t>
            </w:r>
          </w:p>
        </w:tc>
      </w:tr>
    </w:tbl>
    <w:p>
      <w:pPr>
        <w:spacing w:after="40"/>
      </w:pPr>
    </w:p>
    <w:p>
      <w:pPr>
        <w:spacing w:after="120"/>
      </w:pPr>
      <w:r>
        <w:rPr>
          <w:b w:val="0"/>
          <w:i w:val="0"/>
        </w:rPr>
        <w:t>Results. On base ranges the total is P10 $48.9M, P50 $51.3M, P80 $53.0M and P90 $54.0M, against a deterministic base of $49.7M without risk or contingency and an approval level of $57.2M with them. The reserve needed to reach P80 is $3.4M; the estimate carries $7.6M. On wide ranges the P80 is $55.9M and the P80 reserve is $6.2M, and the probability that the total exceeds the approval level is 10%. The uncertainty is concentrated in three layers: the landfill platform (standard deviation $0.93M base, $1.31M wide), Station 496 ($0.80M and $1.08M) and the owner soft costs ($0.51M and $0.74M). The battery contract contributes almost nothing to the spread. That is the statistical form of the whitepaper's argument: the money at risk is in the ground, the station and the process, not in the battery.</w:t>
      </w:r>
    </w:p>
    <w:p>
      <w:r>
        <w:drawing>
          <wp:inline xmlns:a="http://schemas.openxmlformats.org/drawingml/2006/main" xmlns:pic="http://schemas.openxmlformats.org/drawingml/2006/picture">
            <wp:extent cx="5943600" cy="2658979"/>
            <wp:docPr id="3" name="Picture 3"/>
            <wp:cNvGraphicFramePr>
              <a:graphicFrameLocks noChangeAspect="1"/>
            </wp:cNvGraphicFramePr>
            <a:graphic>
              <a:graphicData uri="http://schemas.openxmlformats.org/drawingml/2006/picture">
                <pic:pic>
                  <pic:nvPicPr>
                    <pic:cNvPr id="0" name="mc_hist.png"/>
                    <pic:cNvPicPr/>
                  </pic:nvPicPr>
                  <pic:blipFill>
                    <a:blip r:embed="rId11"/>
                    <a:stretch>
                      <a:fillRect/>
                    </a:stretch>
                  </pic:blipFill>
                  <pic:spPr>
                    <a:xfrm>
                      <a:off x="0" y="0"/>
                      <a:ext cx="5943600" cy="2658979"/>
                    </a:xfrm>
                    <a:prstGeom prst="rect"/>
                  </pic:spPr>
                </pic:pic>
              </a:graphicData>
            </a:graphic>
          </wp:inline>
        </w:drawing>
      </w:r>
    </w:p>
    <w:p>
      <w:r>
        <w:drawing>
          <wp:inline xmlns:a="http://schemas.openxmlformats.org/drawingml/2006/main" xmlns:pic="http://schemas.openxmlformats.org/drawingml/2006/picture">
            <wp:extent cx="5943600" cy="2346158"/>
            <wp:docPr id="4" name="Picture 4"/>
            <wp:cNvGraphicFramePr>
              <a:graphicFrameLocks noChangeAspect="1"/>
            </wp:cNvGraphicFramePr>
            <a:graphic>
              <a:graphicData uri="http://schemas.openxmlformats.org/drawingml/2006/picture">
                <pic:pic>
                  <pic:nvPicPr>
                    <pic:cNvPr id="0" name="mc_tornado.png"/>
                    <pic:cNvPicPr/>
                  </pic:nvPicPr>
                  <pic:blipFill>
                    <a:blip r:embed="rId12"/>
                    <a:stretch>
                      <a:fillRect/>
                    </a:stretch>
                  </pic:blipFill>
                  <pic:spPr>
                    <a:xfrm>
                      <a:off x="0" y="0"/>
                      <a:ext cx="5943600" cy="2346158"/>
                    </a:xfrm>
                    <a:prstGeom prst="rect"/>
                  </pic:spPr>
                </pic:pic>
              </a:graphicData>
            </a:graphic>
          </wp:inline>
        </w:drawing>
      </w:r>
    </w:p>
    <w:p>
      <w:pPr>
        <w:pStyle w:val="Heading1"/>
      </w:pPr>
      <w:r>
        <w:t>6. Estimate-to-actual uplift on comparable projects</w:t>
      </w:r>
    </w:p>
    <w:p>
      <w:pPr>
        <w:spacing w:after="120"/>
      </w:pPr>
      <w:r>
        <w:rPr>
          <w:b w:val="0"/>
          <w:i w:val="0"/>
        </w:rPr>
        <w:t>A second, smaller reference class answers a different question: how far have conceptual or approved figures for small utility-owned batteries moved by completion? The dataset contains five observations. BGE Fairhaven went from $9.84M estimated to $16.16M actual (+64%). Eversource Provincetown was approved at $35M to $45M and closed at $49M (+9% to +40%). Hawaiian Electric Waena moved from about $60M estimated to an $82.1M approved cap (+37%) with a further increase requested for tariffs. SaskPower Regina rose from C$26M to C$34M (+31%). Hyde Park's own September cycle moved from $47.2M to $57.2M (+21%) as the battery line caught up to the contract. Five points do not make a distribution, but their median of about +31% is consistent with Flyvbjerg's finding that fewer than half of projects finish on budget and with Sovacool and Ryu's 2025 mean of +41% across 662 electricity projects, and it is well above the +1% to +13% that those authors report for solar, wind and transmission. Against that, the 17.9% risk-plus-contingency carried on Rev 3 is not generous. It is the reserve of a project that expects to hold its number, on a site and with an interconnection scope where the comparables did not.</w:t>
      </w:r>
    </w:p>
    <w:p>
      <w:pPr>
        <w:pStyle w:val="Heading1"/>
      </w:pPr>
      <w:r>
        <w:t>7. Interconnection cost references from the ISO literature</w:t>
      </w:r>
    </w:p>
    <w:p>
      <w:pPr>
        <w:spacing w:after="120"/>
      </w:pPr>
      <w:r>
        <w:rPr>
          <w:b w:val="0"/>
          <w:i w:val="0"/>
        </w:rPr>
        <w:t>Lawrence Berkeley National Laboratory's interconnection cost series gives the only systematic public data on what it costs to connect storage. In ISO New England, the storage median rose from $3/kW for studies in 2010 to 2017 to $148/kW for 2018 to 2021, with an all-status mean near $230/kW; network upgrades were 3 to 31 percent of completed projects' cost and 58 percent of active ones. The June 2026 interim results of ISO-NE's Transitional Cluster Study put average interconnection cost for 23 transmission-connected projects at about $664/kW, over $1,000/kW in western Massachusetts and about $177/kW in southeastern Massachusetts, and 21 of the 26 requests were batteries; one 500 MW / 2,000 MWh Section 83E winner withdrew citing those costs. NYISO is the only ISO where LBNL reports storage cost by size: $76/kW for 1 to 50 MW requests against $32/kW above 250 MW. Hyde Park is distribution-connected and avoids the ISO queue, but the point of comparison holds: its Station 360 and Station 496 layers, loaded, are $1,374/kW, which is the cost of building a dedicated switching station and reprotecting four feeders rather than tapping an existing bus. A transmission-connected 10 MW project in ISO-NE today would face interconnection costs of the same order before it built anything of its own.</w:t>
      </w:r>
    </w:p>
    <w:p>
      <w:pPr>
        <w:pStyle w:val="Heading1"/>
      </w:pPr>
      <w:r>
        <w:t>8. How to use this in the argument</w:t>
      </w:r>
    </w:p>
    <w:p>
      <w:pPr>
        <w:pStyle w:val="ListBullet"/>
        <w:spacing w:after="60"/>
      </w:pPr>
      <w:r>
        <w:rPr>
          <w:b/>
        </w:rPr>
        <w:t xml:space="preserve">Lead with the reference class, not the regression. </w:t>
      </w:r>
      <w:r>
        <w:t>Thirteen named projects with named costs are more persuasive to a non-statistician than a fitted line, and the placement of Hyde Park's direct cost among Fairhaven, Chateaugay and Provincetown is the single most useful fact this memo produces.</w:t>
      </w:r>
    </w:p>
    <w:p>
      <w:pPr>
        <w:pStyle w:val="ListBullet"/>
        <w:spacing w:after="60"/>
      </w:pPr>
      <w:r>
        <w:rPr>
          <w:b/>
        </w:rPr>
        <w:t xml:space="preserve">Quote the regression as a bracket. </w:t>
      </w:r>
      <w:r>
        <w:t>'Public disclosures imply $600 to $2,000 per kWh for a project of this size and duration; our direct cost is $1,483 and our approval level, which carries $23.7M of loaders that disclosures rarely include, is $2,862.' Do not quote a percentile to a regulator without the interval beside it.</w:t>
      </w:r>
    </w:p>
    <w:p>
      <w:pPr>
        <w:pStyle w:val="ListBullet"/>
        <w:spacing w:after="60"/>
      </w:pPr>
      <w:r>
        <w:rPr>
          <w:b/>
        </w:rPr>
        <w:t xml:space="preserve">Use the Monte Carlo to defend the reserve, and rebuild it with the team. </w:t>
      </w:r>
      <w:r>
        <w:t>The distributions here are the analyst's reading of the evidence. Before full funding, run a two-hour range-estimating session (AACE 41R-08) with Substation Engineering, Civil, P&amp;C, Siting and Haugland, replace each range with the room's, and add correlation between the site, station and engineering layers. The result will be a P50 and P80 that the project team owns.</w:t>
      </w:r>
    </w:p>
    <w:p>
      <w:pPr>
        <w:pStyle w:val="ListBullet"/>
        <w:spacing w:after="60"/>
      </w:pPr>
      <w:r>
        <w:rPr>
          <w:b/>
        </w:rPr>
        <w:t xml:space="preserve">Verify the ten highest-priority public figures at source. </w:t>
      </w:r>
      <w:r>
        <w:t>Mass.gov utility-owned BESS page, the MD PSC pilot report, PGE's 2024 10-K, HEI's 10-Q, the CPUC SCE resolution, the NYPA and O&amp;R releases, and the LBNL ISO-NE brief. Until then every external use of these numbers carries the retrieval caveat.</w:t>
      </w:r>
    </w:p>
    <w:p>
      <w:pPr>
        <w:pStyle w:val="ListBullet"/>
        <w:spacing w:after="60"/>
      </w:pPr>
      <w:r>
        <w:rPr>
          <w:b/>
        </w:rPr>
        <w:t xml:space="preserve">Keep the layered view as the frame. </w:t>
      </w:r>
      <w:r>
        <w:t>Every statistical result above is only interpretable because the estimate was first separated into layers with definitions that match the benchmarks. The statistics bolster the argument; the extraction is the argument.</w:t>
      </w:r>
    </w:p>
    <w:p>
      <w:pPr>
        <w:pStyle w:val="Heading1"/>
      </w:pPr>
      <w:r>
        <w:t>Appendix. Sources and methods</w:t>
      </w:r>
    </w:p>
    <w:p>
      <w:pPr>
        <w:pStyle w:val="ListBullet"/>
        <w:spacing w:after="60"/>
      </w:pPr>
      <w:r>
        <w:t>Dataset: bess_projects.csv (44 rows) and bess_projects_notes.md, compiled 29 Sep 2026 from regulator orders, utility releases, 10-K filings and trade press; per-project quotes and known data problems in the notes file.</w:t>
      </w:r>
    </w:p>
    <w:p>
      <w:pPr>
        <w:pStyle w:val="ListBullet"/>
        <w:spacing w:after="60"/>
      </w:pPr>
      <w:r>
        <w:t>ISO, FERC and state references: iso_ferc_refs.md, 29 Sep 2026 (LBNL interconnection series for ISO-NE, PJM, MISO, NYISO, SPP; ISO-NE Transitional Cluster Study interim results, June 2026; FERC Order 898 storage accounts; MA DPU 17-05 and 17-13; NY PSC 18-E-0130 and NYSERDA State of Storage 2025; CPUC, HI PUC, CT PURA and NJ BPU program data).</w:t>
      </w:r>
    </w:p>
    <w:p>
      <w:pPr>
        <w:pStyle w:val="ListBullet"/>
        <w:spacing w:after="60"/>
      </w:pPr>
      <w:r>
        <w:t>Methods: AACE International RPs 17R-97 and 96R-18 (classification), 40R-08 (contingency principles), 41R-08 (range estimating), 42R-08 (parametric), 57R-09 (Monte Carlo), 66R-11 (distribution selection), PGD-02 (quantitative risk analysis guide); Flyvbjerg and Gardner, How Big Things Get Done (2023); Sovacool and Ryu (2025), Energy Research and Social Science.</w:t>
      </w:r>
    </w:p>
    <w:p>
      <w:pPr>
        <w:pStyle w:val="ListBullet"/>
        <w:spacing w:after="60"/>
      </w:pPr>
      <w:r>
        <w:t>Model code: stats_model.py (statsmodels 0.15 OLS, HC1 errors; prediction intervals at 80%) and mc_model.py (numpy, 20,000 trials, seed 21334, PERT via beta with lambda 4). Both in the build folder with the results JSON files.</w:t>
      </w:r>
    </w:p>
    <w:sectPr w:rsidR="00FC693F" w:rsidRPr="0006063C" w:rsidSect="00034616">
      <w:footerReference w:type="default" r:id="rId13"/>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Eversource Energy | Cost Estimating Center of Excellence | Hyde Park BESS statistical benchmarking memo | 29 Sep 2026 | Internal, contains vendor-confidential pricing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eastAsia="Georgia"/>
      <w:b/>
      <w:bCs/>
      <w:color w:val="001E6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eastAsia="Georgia"/>
      <w:b/>
      <w:bCs/>
      <w:color w:val="001E6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eastAsia="Georgia"/>
      <w:b/>
      <w:bCs/>
      <w:color w:val="001E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