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6E1F2E"/>
          <w:sz w:val="16"/>
        </w:rPr>
        <w:t>HYDE PARK BATTERY ENERGY STORAGE SYSTEM  |  PROJECT 21334  |  10 MW / 20 MWh</w:t>
      </w:r>
    </w:p>
    <w:p>
      <w:pPr>
        <w:spacing w:after="20"/>
      </w:pPr>
      <w:r>
        <w:rPr>
          <w:b/>
          <w:i w:val="0"/>
          <w:color w:val="001E60"/>
          <w:sz w:val="38"/>
        </w:rPr>
        <w:t>One project, seven cost boundaries</w:t>
      </w:r>
    </w:p>
    <w:p>
      <w:pPr>
        <w:spacing w:after="80"/>
      </w:pPr>
      <w:r>
        <w:rPr>
          <w:b w:val="0"/>
          <w:i w:val="0"/>
          <w:sz w:val="19"/>
        </w:rPr>
        <w:t>The battery supply contract is $12.1 million. The project that puts it into service is $57.2 million. Both figures are correct; they describe different scopes. The table shows the same project at each boundary where a cost can be quoted, so that any published benchmark can be set beside the row that shares its definition.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035040" cy="1810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105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440"/>
        <w:gridCol w:w="792"/>
        <w:gridCol w:w="864"/>
        <w:gridCol w:w="576"/>
        <w:gridCol w:w="4608"/>
      </w:tblGrid>
      <w:tr>
        <w:tc>
          <w:tcPr>
            <w:tcW w:type="dxa" w:w="2088"/>
            <w:shd w:val="clear" w:color="auto" w:fill="001E60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Boundary</w:t>
            </w:r>
          </w:p>
        </w:tc>
        <w:tc>
          <w:tcPr>
            <w:tcW w:type="dxa" w:w="1440"/>
            <w:shd w:val="clear" w:color="auto" w:fill="001E60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Total</w:t>
            </w:r>
          </w:p>
        </w:tc>
        <w:tc>
          <w:tcPr>
            <w:tcW w:type="dxa" w:w="792"/>
            <w:shd w:val="clear" w:color="auto" w:fill="001E60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$/kW</w:t>
            </w:r>
          </w:p>
        </w:tc>
        <w:tc>
          <w:tcPr>
            <w:tcW w:type="dxa" w:w="864"/>
            <w:shd w:val="clear" w:color="auto" w:fill="001E60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$/kWh</w:t>
            </w:r>
          </w:p>
        </w:tc>
        <w:tc>
          <w:tcPr>
            <w:tcW w:type="dxa" w:w="576"/>
            <w:shd w:val="clear" w:color="auto" w:fill="001E60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x</w:t>
            </w:r>
          </w:p>
        </w:tc>
        <w:tc>
          <w:tcPr>
            <w:tcW w:type="dxa" w:w="4608"/>
            <w:shd w:val="clear" w:color="auto" w:fill="001E60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6"/>
              </w:rPr>
              <w:t>What this boundary adds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1  Vendor contract as quoted</w:t>
            </w:r>
          </w:p>
        </w:tc>
        <w:tc>
          <w:tcPr>
            <w:tcW w:type="dxa" w:w="1440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$12,106,850</w:t>
            </w:r>
          </w:p>
        </w:tc>
        <w:tc>
          <w:tcPr>
            <w:tcW w:type="dxa" w:w="792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$1,211</w:t>
            </w:r>
          </w:p>
        </w:tc>
        <w:tc>
          <w:tcPr>
            <w:tcW w:type="dxa" w:w="864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$605</w:t>
            </w:r>
          </w:p>
        </w:tc>
        <w:tc>
          <w:tcPr>
            <w:tcW w:type="dxa" w:w="576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1.0x</w:t>
            </w:r>
          </w:p>
        </w:tc>
        <w:tc>
          <w:tcPr>
            <w:tcW w:type="dxa" w:w="460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Twelve LFP units, PCS, BMS, fire protection, 10-yr warranty, spares, support, supervision. Fixed price (Nomad, 10 Mar 2026).</w:t>
            </w:r>
          </w:p>
        </w:tc>
      </w:tr>
      <w:tr>
        <w:tc>
          <w:tcPr>
            <w:tcW w:type="dxa" w:w="2088"/>
            <w:shd w:val="clear" w:color="auto" w:fill="F2F4F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2  Battery as carried in estimate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$12,991,104</w:t>
            </w:r>
          </w:p>
        </w:tc>
        <w:tc>
          <w:tcPr>
            <w:tcW w:type="dxa" w:w="792"/>
            <w:shd w:val="clear" w:color="auto" w:fill="F2F4F8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$1,299</w:t>
            </w:r>
          </w:p>
        </w:tc>
        <w:tc>
          <w:tcPr>
            <w:tcW w:type="dxa" w:w="864"/>
            <w:shd w:val="clear" w:color="auto" w:fill="F2F4F8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$650</w:t>
            </w:r>
          </w:p>
        </w:tc>
        <w:tc>
          <w:tcPr>
            <w:tcW w:type="dxa" w:w="576"/>
            <w:shd w:val="clear" w:color="auto" w:fill="F2F4F8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1.1x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Adds $1.13M escalation on the unpaid balance.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3  Battery installed</w:t>
            </w:r>
          </w:p>
        </w:tc>
        <w:tc>
          <w:tcPr>
            <w:tcW w:type="dxa" w:w="1440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$16,657,252</w:t>
            </w:r>
          </w:p>
        </w:tc>
        <w:tc>
          <w:tcPr>
            <w:tcW w:type="dxa" w:w="792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$1,666</w:t>
            </w:r>
          </w:p>
        </w:tc>
        <w:tc>
          <w:tcPr>
            <w:tcW w:type="dxa" w:w="864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$833</w:t>
            </w:r>
          </w:p>
        </w:tc>
        <w:tc>
          <w:tcPr>
            <w:tcW w:type="dxa" w:w="576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1.4x</w:t>
            </w:r>
          </w:p>
        </w:tc>
        <w:tc>
          <w:tcPr>
            <w:tcW w:type="dxa" w:w="460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Adds installation labor, foundation pads, fire suppression, four 3 MVA step-up transformers, EMS, auxiliary power.</w:t>
            </w:r>
          </w:p>
        </w:tc>
      </w:tr>
      <w:tr>
        <w:tc>
          <w:tcPr>
            <w:tcW w:type="dxa" w:w="2088"/>
            <w:shd w:val="clear" w:color="auto" w:fill="F2F4F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4  Station complete, direct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$29,665,294</w:t>
            </w:r>
          </w:p>
        </w:tc>
        <w:tc>
          <w:tcPr>
            <w:tcW w:type="dxa" w:w="792"/>
            <w:shd w:val="clear" w:color="auto" w:fill="F2F4F8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$2,967</w:t>
            </w:r>
          </w:p>
        </w:tc>
        <w:tc>
          <w:tcPr>
            <w:tcW w:type="dxa" w:w="864"/>
            <w:shd w:val="clear" w:color="auto" w:fill="F2F4F8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$1,483</w:t>
            </w:r>
          </w:p>
        </w:tc>
        <w:tc>
          <w:tcPr>
            <w:tcW w:type="dxa" w:w="576"/>
            <w:shd w:val="clear" w:color="auto" w:fill="F2F4F8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2.5x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Adds the 13.8 kV switching station (four breaker skids, metering, cable, duct bank, ground grid), landfill site development, testing, engineering, Article 80 siting, outreach, project management, taxes.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5  Station 360 approval level</w:t>
            </w:r>
          </w:p>
        </w:tc>
        <w:tc>
          <w:tcPr>
            <w:tcW w:type="dxa" w:w="1440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$49,994,200</w:t>
            </w:r>
          </w:p>
        </w:tc>
        <w:tc>
          <w:tcPr>
            <w:tcW w:type="dxa" w:w="792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$4,999</w:t>
            </w:r>
          </w:p>
        </w:tc>
        <w:tc>
          <w:tcPr>
            <w:tcW w:type="dxa" w:w="864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$2,500</w:t>
            </w:r>
          </w:p>
        </w:tc>
        <w:tc>
          <w:tcPr>
            <w:tcW w:type="dxa" w:w="576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4.1x</w:t>
            </w:r>
          </w:p>
        </w:tc>
        <w:tc>
          <w:tcPr>
            <w:tcW w:type="dxa" w:w="460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Adds risk register, contingency, corporate indirects, AFUDC.</w:t>
            </w:r>
          </w:p>
        </w:tc>
      </w:tr>
      <w:tr>
        <w:tc>
          <w:tcPr>
            <w:tcW w:type="dxa" w:w="2088"/>
            <w:shd w:val="clear" w:color="auto" w:fill="F2F4F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6  Project 21334 approval level</w:t>
            </w:r>
          </w:p>
        </w:tc>
        <w:tc>
          <w:tcPr>
            <w:tcW w:type="dxa" w:w="1440"/>
            <w:shd w:val="clear" w:color="auto" w:fill="F2F4F8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$57,247,300</w:t>
            </w:r>
          </w:p>
        </w:tc>
        <w:tc>
          <w:tcPr>
            <w:tcW w:type="dxa" w:w="792"/>
            <w:shd w:val="clear" w:color="auto" w:fill="F2F4F8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$5,725</w:t>
            </w:r>
          </w:p>
        </w:tc>
        <w:tc>
          <w:tcPr>
            <w:tcW w:type="dxa" w:w="864"/>
            <w:shd w:val="clear" w:color="auto" w:fill="F2F4F8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$2,862</w:t>
            </w:r>
          </w:p>
        </w:tc>
        <w:tc>
          <w:tcPr>
            <w:tcW w:type="dxa" w:w="576"/>
            <w:shd w:val="clear" w:color="auto" w:fill="F2F4F8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4.7x</w:t>
            </w:r>
          </w:p>
        </w:tc>
        <w:tc>
          <w:tcPr>
            <w:tcW w:type="dxa" w:w="4608"/>
            <w:shd w:val="clear" w:color="auto" w:fill="F2F4F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Adds Station 496 feeder protection: 20 relays, transfer trip, RTU, testing ($7.25M).</w:t>
            </w:r>
          </w:p>
        </w:tc>
      </w:tr>
      <w:tr>
        <w:tc>
          <w:tcPr>
            <w:tcW w:type="dxa" w:w="208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7  All-in incl. D-Line (memo)</w:t>
            </w:r>
          </w:p>
        </w:tc>
        <w:tc>
          <w:tcPr>
            <w:tcW w:type="dxa" w:w="1440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$62,040,300</w:t>
            </w:r>
          </w:p>
        </w:tc>
        <w:tc>
          <w:tcPr>
            <w:tcW w:type="dxa" w:w="792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$6,204</w:t>
            </w:r>
          </w:p>
        </w:tc>
        <w:tc>
          <w:tcPr>
            <w:tcW w:type="dxa" w:w="864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$3,102</w:t>
            </w:r>
          </w:p>
        </w:tc>
        <w:tc>
          <w:tcPr>
            <w:tcW w:type="dxa" w:w="576"/>
          </w:tcPr>
          <w:p>
            <w:pPr>
              <w:spacing w:after="0" w:before="0"/>
              <w:jc w:val="right"/>
            </w:pPr>
            <w:r/>
            <w:r>
              <w:rPr>
                <w:b w:val="0"/>
                <w:i w:val="0"/>
                <w:sz w:val="16"/>
              </w:rPr>
              <w:t>5.1x</w:t>
            </w:r>
          </w:p>
        </w:tc>
        <w:tc>
          <w:tcPr>
            <w:tcW w:type="dxa" w:w="4608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6"/>
              </w:rPr>
              <w:t>Adds the 5,465 ft circuit extension under project 24211 ($4.79M, Feb 2024 conceptual, not re-based).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Where the other 79 percent sits (loaded, i.e. with risk, contingency, indirects and AFUDC spread across Station 360 layers): station and feeder interconnection facilities $18.3M (32%); battery installation and balance of plant $6.2M (11%); engineering, siting, outreach, project management, testing and taxes $10.9M (19%); battery supply contract $21.9M (38%).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FFF3CC"/>
          </w:tcPr>
          <w:p>
            <w:pPr>
              <w:spacing w:after="40"/>
            </w:pPr>
            <w:r/>
            <w:r>
              <w:rPr>
                <w:b/>
                <w:color w:val="001E60"/>
                <w:sz w:val="20"/>
              </w:rPr>
              <w:t xml:space="preserve">Reading a benchmark against this table. </w:t>
            </w:r>
            <w:r>
              <w:rPr>
                <w:sz w:val="20"/>
              </w:rPr>
              <w:t>A published $/kWh figure belongs beside the boundary that shares its scope. Pack and cell prices (BloombergNEF, $70 to $108/kWh in 2025) stop at the factory door and compare to nothing here. Turnkey system prices (BloombergNEF US $219/kWh, 2025; Anza distribution-scale $203/kWh, Q1 2026) stop at the fence and compare to boundary 3, after adjusting a four-hour, 100 MW reference to two hours and 10 MW. All-in developer benchmarks (NREL $334/kWh, EIA and Sargent &amp; Lundy $436/kWh, LBNL $458/kWh, all four-hour, 60 to 150 MW) compare to boundary 4, less a developer's margin. Disclosed utility-owned projects (Eversource Provincetown $1,289/kWh, 1.5-hour, 2022; NV Energy Reid Gardner $584/kWh, 2-hour, 220 MW on an existing switchyard) are the only family that carries a utility's scope, and none carries a separate switching station, a feeder protection program at the source substation, or AFUDC. Five attributes must travel with every figure quoted: boundary, duration, size, dollar year and what is inside the fence.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  <w:color w:val="595959"/>
          <w:sz w:val="15"/>
        </w:rPr>
        <w:t>Basis: ESF Total Rev 3, 24 Sep 2026 (Conceptual, -25%/+50%); Nomad cover agreement Exhibit C, 10 Mar 2026; SSF Feb 2024 for the D-Line memo. All 292 estimate lines are assigned to thirteen layers in the companion workbook and reconcile to the $57,247,544 unrounded total. Benchmarks are from published sources as retrieved 29 Sep 2026 with confidence tags in the whitepaper; verify against primary documents before external filing. Prepared by the Cost Estimating Center of Excellence, Eversource Energy, 29 Sep 2026. Internal; contains vendor-confidential pricing.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01E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01E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01E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