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22x31snszanz" w:id="0"/>
      <w:bookmarkEnd w:id="0"/>
      <w:r w:rsidDel="00000000" w:rsidR="00000000" w:rsidRPr="00000000">
        <w:rPr>
          <w:rtl w:val="0"/>
        </w:rPr>
        <w:t xml:space="preserve">Preparación Absorbente Mössbauer de Marcela Fernández van Raap</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Material: Micropipeta azul 100-1000 uL. </w:t>
      </w:r>
    </w:p>
    <w:p w:rsidR="00000000" w:rsidDel="00000000" w:rsidP="00000000" w:rsidRDefault="00000000" w:rsidRPr="00000000" w14:paraId="00000004">
      <w:pPr>
        <w:pageBreakBefore w:val="0"/>
        <w:rPr/>
      </w:pPr>
      <w:r w:rsidDel="00000000" w:rsidR="00000000" w:rsidRPr="00000000">
        <w:rPr>
          <w:rtl w:val="0"/>
        </w:rPr>
        <w:t xml:space="preserve">Papel de filtro de 200um.</w:t>
      </w:r>
    </w:p>
    <w:p w:rsidR="00000000" w:rsidDel="00000000" w:rsidP="00000000" w:rsidRDefault="00000000" w:rsidRPr="00000000" w14:paraId="00000005">
      <w:pPr>
        <w:pageBreakBefore w:val="0"/>
        <w:rPr/>
      </w:pPr>
      <w:r w:rsidDel="00000000" w:rsidR="00000000" w:rsidRPr="00000000">
        <w:rPr>
          <w:rtl w:val="0"/>
        </w:rPr>
        <w:t xml:space="preserve">Muestra Ferrofluido </w:t>
      </w:r>
      <w:r w:rsidDel="00000000" w:rsidR="00000000" w:rsidRPr="00000000">
        <w:rPr>
          <w:b w:val="1"/>
          <w:rtl w:val="0"/>
        </w:rPr>
        <w:t xml:space="preserve">NC191212</w:t>
      </w:r>
      <w:r w:rsidDel="00000000" w:rsidR="00000000" w:rsidRPr="00000000">
        <w:rPr>
          <w:rtl w:val="0"/>
        </w:rPr>
        <w:t xml:space="preserve">.</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El Falcón está rotulado “NC 191212 (Eli/Lu) 5.72 mgFe/mL”</w:t>
      </w:r>
    </w:p>
    <w:p w:rsidR="00000000" w:rsidDel="00000000" w:rsidP="00000000" w:rsidRDefault="00000000" w:rsidRPr="00000000" w14:paraId="00000008">
      <w:pPr>
        <w:pageBreakBefore w:val="0"/>
        <w:rPr/>
      </w:pPr>
      <w:r w:rsidDel="00000000" w:rsidR="00000000" w:rsidRPr="00000000">
        <w:rPr>
          <w:rtl w:val="0"/>
        </w:rPr>
        <w:t xml:space="preserve">Está guardado en heladera. Se saca y se vuelve a guardar en heladera cada vez que se necesita una carga de muestra. Esos 5.72 mg de Fe corresponden a 8 mg de magnetita por mL. </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t xml:space="preserve">Inicialmente, se tomó un papel de filtro de los que se usan para filtrar muestra por succión. Son unos filtros circulares que solíamos usar en el Sincrotrón para preparar muestras. Se recorta de manera de que entre dentro de una de las tapitas de portamuestra Mössbauer.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Se pesa la tapa con el papel. Se registra el peso (tres pesadas sucesivas). Se agita el Falcón a mano durante 20 segundos y se carga 1 mL con la micropipeta. Se descarga en el interior de la tapita. Se pesa la tapita con el FF. Se registra el peso (solo una medida). Se coloca la tapita a secar en la estufa a 36.5 ºC. Se guarda correctamente el Falcón con Ferrofluido en la heladera.</w:t>
      </w:r>
    </w:p>
    <w:p w:rsidR="00000000" w:rsidDel="00000000" w:rsidP="00000000" w:rsidRDefault="00000000" w:rsidRPr="00000000" w14:paraId="0000000D">
      <w:pPr>
        <w:pageBreakBefore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911349"/>
                  <wp:effectExtent b="0" l="0" r="0" t="0"/>
                  <wp:docPr id="4" name="image6.png"/>
                  <a:graphic>
                    <a:graphicData uri="http://schemas.openxmlformats.org/drawingml/2006/picture">
                      <pic:pic>
                        <pic:nvPicPr>
                          <pic:cNvPr id="0" name="image6.png"/>
                          <pic:cNvPicPr preferRelativeResize="0"/>
                        </pic:nvPicPr>
                        <pic:blipFill>
                          <a:blip r:embed="rId6"/>
                          <a:srcRect b="4566" l="0" r="0" t="7912"/>
                          <a:stretch>
                            <a:fillRect/>
                          </a:stretch>
                        </pic:blipFill>
                        <pic:spPr>
                          <a:xfrm>
                            <a:off x="0" y="0"/>
                            <a:ext cx="1285875" cy="9113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920874"/>
                  <wp:effectExtent b="0" l="0" r="0" t="0"/>
                  <wp:docPr id="3" name="image2.png"/>
                  <a:graphic>
                    <a:graphicData uri="http://schemas.openxmlformats.org/drawingml/2006/picture">
                      <pic:pic>
                        <pic:nvPicPr>
                          <pic:cNvPr id="0" name="image2.png"/>
                          <pic:cNvPicPr preferRelativeResize="0"/>
                        </pic:nvPicPr>
                        <pic:blipFill>
                          <a:blip r:embed="rId7"/>
                          <a:srcRect b="7924" l="0" r="0" t="0"/>
                          <a:stretch>
                            <a:fillRect/>
                          </a:stretch>
                        </pic:blipFill>
                        <pic:spPr>
                          <a:xfrm>
                            <a:off x="0" y="0"/>
                            <a:ext cx="1285875" cy="9208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9271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285875" cy="927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85875" cy="9652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285875" cy="965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tbl>
      <w:tblPr>
        <w:tblStyle w:val="Table2"/>
        <w:tblW w:w="9022.34858681022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3485868102289"/>
        <w:gridCol w:w="990"/>
        <w:gridCol w:w="1260"/>
        <w:gridCol w:w="765"/>
        <w:gridCol w:w="1095"/>
        <w:gridCol w:w="915"/>
        <w:gridCol w:w="1590"/>
        <w:gridCol w:w="1350"/>
        <w:tblGridChange w:id="0">
          <w:tblGrid>
            <w:gridCol w:w="1057.3485868102289"/>
            <w:gridCol w:w="990"/>
            <w:gridCol w:w="1260"/>
            <w:gridCol w:w="765"/>
            <w:gridCol w:w="1095"/>
            <w:gridCol w:w="915"/>
            <w:gridCol w:w="1590"/>
            <w:gridCol w:w="135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sz w:val="18"/>
                <w:szCs w:val="18"/>
              </w:rPr>
            </w:pPr>
            <w:r w:rsidDel="00000000" w:rsidR="00000000" w:rsidRPr="00000000">
              <w:rPr>
                <w:sz w:val="18"/>
                <w:szCs w:val="18"/>
                <w:rtl w:val="0"/>
              </w:rPr>
              <w:t xml:space="preserve">Peso 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peso después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masa NP</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masa seca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depositada</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(mg)</w:t>
            </w:r>
          </w:p>
        </w:tc>
      </w:tr>
      <w:tr>
        <w:trPr>
          <w:cantSplit w:val="0"/>
          <w:trHeight w:val="30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sz w:val="18"/>
                <w:szCs w:val="18"/>
              </w:rPr>
            </w:pPr>
            <w:r w:rsidDel="00000000" w:rsidR="00000000" w:rsidRPr="00000000">
              <w:rPr>
                <w:sz w:val="18"/>
                <w:szCs w:val="18"/>
                <w:rtl w:val="0"/>
              </w:rPr>
              <w:t xml:space="preserve">0.50957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sz w:val="18"/>
                <w:szCs w:val="18"/>
              </w:rPr>
            </w:pPr>
            <w:r w:rsidDel="00000000" w:rsidR="00000000" w:rsidRPr="00000000">
              <w:rPr>
                <w:sz w:val="18"/>
                <w:szCs w:val="18"/>
                <w:rtl w:val="0"/>
              </w:rPr>
              <w:t xml:space="preserve">0.5290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0.5478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58.6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0.5676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21/4/2021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0.5895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80.5</w:t>
            </w:r>
          </w:p>
        </w:tc>
      </w:tr>
      <w:tr>
        <w:trPr>
          <w:cantSplit w:val="0"/>
          <w:trHeight w:val="38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se agrega un papel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21/4/2021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23/4/2021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0.6226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0.0163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26/4/2021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0.0172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0.6820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0.0211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157.1</w:t>
            </w:r>
          </w:p>
        </w:tc>
      </w:tr>
    </w:tbl>
    <w:p w:rsidR="00000000" w:rsidDel="00000000" w:rsidP="00000000" w:rsidRDefault="00000000" w:rsidRPr="00000000" w14:paraId="00000077">
      <w:pPr>
        <w:pageBreakBefore w:val="0"/>
        <w:rPr/>
      </w:pPr>
      <w:r w:rsidDel="00000000" w:rsidR="00000000" w:rsidRPr="00000000">
        <w:rPr>
          <w:rtl w:val="0"/>
        </w:rPr>
        <w:t xml:space="preserve">Día: en que se carga muestra. “Peso antes”: peso que tiene la muestra antes de la carga del día. “diff”: diferencia con el valor que tenía antes de la carga anterior. Esta mas es la masa de muestra seca debido a la carga anterior.”carga”: volumen cargado. “Peso después”: peso inmediatamente después de cargar,.. no siempre se registra. “masa NP (mg)”: masa de Fe3O4 muestra según la titulación.  “masa seca depositada (mg)”: masa de muestra total seca. </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ageBreakBefore w:val="0"/>
        <w:rPr/>
      </w:pPr>
      <w:r w:rsidDel="00000000" w:rsidR="00000000" w:rsidRPr="00000000">
        <w:rPr>
          <w:rtl w:val="0"/>
        </w:rPr>
        <w:t xml:space="preserve">Al finalizar se prepara un sistema para poder medir la muestra en ausencia de humedad ambiente.  </w:t>
      </w:r>
    </w:p>
    <w:p w:rsidR="00000000" w:rsidDel="00000000" w:rsidP="00000000" w:rsidRDefault="00000000" w:rsidRPr="00000000" w14:paraId="0000007A">
      <w:pPr>
        <w:pageBreakBefore w:val="0"/>
        <w:rPr/>
      </w:pPr>
      <w:r w:rsidDel="00000000" w:rsidR="00000000" w:rsidRPr="00000000">
        <w:rPr>
          <w:rtl w:val="0"/>
        </w:rPr>
        <w:t xml:space="preserve">La muestra se saca de la estufa, se pesa y se le pone la tapita superior Mössbaure. </w:t>
      </w:r>
    </w:p>
    <w:p w:rsidR="00000000" w:rsidDel="00000000" w:rsidP="00000000" w:rsidRDefault="00000000" w:rsidRPr="00000000" w14:paraId="0000007B">
      <w:pPr>
        <w:pageBreakBefore w:val="0"/>
        <w:rPr/>
      </w:pPr>
      <w:r w:rsidDel="00000000" w:rsidR="00000000" w:rsidRPr="00000000">
        <w:rPr/>
        <w:drawing>
          <wp:inline distB="114300" distT="114300" distL="114300" distR="114300">
            <wp:extent cx="1524000" cy="1647825"/>
            <wp:effectExtent b="0" l="0" r="0" t="0"/>
            <wp:docPr id="1" name="image3.png"/>
            <a:graphic>
              <a:graphicData uri="http://schemas.openxmlformats.org/drawingml/2006/picture">
                <pic:pic>
                  <pic:nvPicPr>
                    <pic:cNvPr id="0" name="image3.png"/>
                    <pic:cNvPicPr preferRelativeResize="0"/>
                  </pic:nvPicPr>
                  <pic:blipFill>
                    <a:blip r:embed="rId10"/>
                    <a:srcRect b="0" l="0" r="33884" t="0"/>
                    <a:stretch>
                      <a:fillRect/>
                    </a:stretch>
                  </pic:blipFill>
                  <pic:spPr>
                    <a:xfrm>
                      <a:off x="0" y="0"/>
                      <a:ext cx="1524000" cy="1647825"/>
                    </a:xfrm>
                    <a:prstGeom prst="rect"/>
                    <a:ln/>
                  </pic:spPr>
                </pic:pic>
              </a:graphicData>
            </a:graphic>
          </wp:inline>
        </w:drawing>
      </w:r>
      <w:r w:rsidDel="00000000" w:rsidR="00000000" w:rsidRPr="00000000">
        <w:rPr/>
        <w:drawing>
          <wp:inline distB="114300" distT="114300" distL="114300" distR="114300">
            <wp:extent cx="1662113" cy="164267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662113" cy="164267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Se recorta una bandejita de pesada de manera de colocar la tapita Mössbauer y no incorporar material que opaque la radiación. La bandeja es incorporada dentro de una bolsita de ziplock junto con piedras silica gel, parcialmente secas. La bolsita se cierra y se coloca todo el sistema en el portamuestra de acrílico y plomo. Se agrega un colimador para asegurar que los gammas solo pasen por la muestra. Se verifica que no haya silica gel tocando la muestra. </w:t>
      </w:r>
    </w:p>
    <w:p w:rsidR="00000000" w:rsidDel="00000000" w:rsidP="00000000" w:rsidRDefault="00000000" w:rsidRPr="00000000" w14:paraId="0000007D">
      <w:pPr>
        <w:pStyle w:val="Heading2"/>
        <w:pageBreakBefore w:val="0"/>
        <w:rPr/>
      </w:pPr>
      <w:bookmarkStart w:colFirst="0" w:colLast="0" w:name="_jjillfe4cztg" w:id="1"/>
      <w:bookmarkEnd w:id="1"/>
      <w:r w:rsidDel="00000000" w:rsidR="00000000" w:rsidRPr="00000000">
        <w:rPr>
          <w:rtl w:val="0"/>
        </w:rPr>
        <w:t xml:space="preserve">Segundo absorbente</w:t>
      </w:r>
    </w:p>
    <w:p w:rsidR="00000000" w:rsidDel="00000000" w:rsidP="00000000" w:rsidRDefault="00000000" w:rsidRPr="00000000" w14:paraId="0000007E">
      <w:pPr>
        <w:pageBreakBefore w:val="0"/>
        <w:rPr/>
      </w:pPr>
      <w:r w:rsidDel="00000000" w:rsidR="00000000" w:rsidRPr="00000000">
        <w:rPr>
          <w:rtl w:val="0"/>
        </w:rPr>
        <w:t xml:space="preserve">“NC191114 la concentración es [x]= 2,80 +- 0,02  </w:t>
      </w:r>
      <w:r w:rsidDel="00000000" w:rsidR="00000000" w:rsidRPr="00000000">
        <w:rPr>
          <w:b w:val="1"/>
          <w:color w:val="ff0000"/>
          <w:rtl w:val="0"/>
        </w:rPr>
        <w:t xml:space="preserve">mgFe/ml</w:t>
      </w:r>
      <w:r w:rsidDel="00000000" w:rsidR="00000000" w:rsidRPr="00000000">
        <w:rPr>
          <w:rtl w:val="0"/>
        </w:rPr>
        <w:t xml:space="preserve"> es el coloide que tenemos en uso y que ha formado las nanoflores (NF) de NPM cristalograficamente orientadas.”</w:t>
      </w:r>
    </w:p>
    <w:tbl>
      <w:tblPr>
        <w:tblStyle w:val="Table3"/>
        <w:tblW w:w="9022.348586810229"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7.3485868102289"/>
        <w:gridCol w:w="990"/>
        <w:gridCol w:w="1260"/>
        <w:gridCol w:w="765"/>
        <w:gridCol w:w="1095"/>
        <w:gridCol w:w="915"/>
        <w:gridCol w:w="1590"/>
        <w:gridCol w:w="1350"/>
        <w:tblGridChange w:id="0">
          <w:tblGrid>
            <w:gridCol w:w="1057.3485868102289"/>
            <w:gridCol w:w="990"/>
            <w:gridCol w:w="1260"/>
            <w:gridCol w:w="765"/>
            <w:gridCol w:w="1095"/>
            <w:gridCol w:w="915"/>
            <w:gridCol w:w="1590"/>
            <w:gridCol w:w="1350"/>
          </w:tblGrid>
        </w:tblGridChange>
      </w:tblGrid>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sz w:val="18"/>
                <w:szCs w:val="18"/>
              </w:rPr>
            </w:pPr>
            <w:r w:rsidDel="00000000" w:rsidR="00000000" w:rsidRPr="00000000">
              <w:rPr>
                <w:sz w:val="18"/>
                <w:szCs w:val="18"/>
                <w:rtl w:val="0"/>
              </w:rPr>
              <w:t xml:space="preserve">Día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sz w:val="18"/>
                <w:szCs w:val="18"/>
              </w:rPr>
            </w:pPr>
            <w:r w:rsidDel="00000000" w:rsidR="00000000" w:rsidRPr="00000000">
              <w:rPr>
                <w:sz w:val="18"/>
                <w:szCs w:val="18"/>
                <w:rtl w:val="0"/>
              </w:rPr>
              <w:t xml:space="preserve">Peso 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sz w:val="18"/>
                <w:szCs w:val="18"/>
              </w:rPr>
            </w:pPr>
            <w:r w:rsidDel="00000000" w:rsidR="00000000" w:rsidRPr="00000000">
              <w:rPr>
                <w:sz w:val="18"/>
                <w:szCs w:val="18"/>
                <w:rtl w:val="0"/>
              </w:rPr>
              <w:t xml:space="preserve">diff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sz w:val="18"/>
                <w:szCs w:val="18"/>
              </w:rPr>
            </w:pPr>
            <w:r w:rsidDel="00000000" w:rsidR="00000000" w:rsidRPr="00000000">
              <w:rPr>
                <w:sz w:val="18"/>
                <w:szCs w:val="18"/>
                <w:rtl w:val="0"/>
              </w:rPr>
              <w:t xml:space="preserve">carga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sz w:val="18"/>
                <w:szCs w:val="18"/>
              </w:rPr>
            </w:pPr>
            <w:r w:rsidDel="00000000" w:rsidR="00000000" w:rsidRPr="00000000">
              <w:rPr>
                <w:sz w:val="18"/>
                <w:szCs w:val="18"/>
                <w:rtl w:val="0"/>
              </w:rPr>
              <w:t xml:space="preserve">peso después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sz w:val="18"/>
                <w:szCs w:val="18"/>
              </w:rPr>
            </w:pPr>
            <w:r w:rsidDel="00000000" w:rsidR="00000000" w:rsidRPr="00000000">
              <w:rPr>
                <w:sz w:val="18"/>
                <w:szCs w:val="18"/>
                <w:rtl w:val="0"/>
              </w:rPr>
              <w:t xml:space="preserve">diff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sz w:val="18"/>
                <w:szCs w:val="18"/>
              </w:rPr>
            </w:pPr>
            <w:r w:rsidDel="00000000" w:rsidR="00000000" w:rsidRPr="00000000">
              <w:rPr>
                <w:sz w:val="18"/>
                <w:szCs w:val="18"/>
                <w:rtl w:val="0"/>
              </w:rPr>
              <w:t xml:space="preserve">masa NP</w:t>
            </w:r>
          </w:p>
          <w:p w:rsidR="00000000" w:rsidDel="00000000" w:rsidP="00000000" w:rsidRDefault="00000000" w:rsidRPr="00000000" w14:paraId="00000086">
            <w:pPr>
              <w:pageBreakBefore w:val="0"/>
              <w:widowControl w:val="0"/>
              <w:spacing w:line="240" w:lineRule="auto"/>
              <w:rPr>
                <w:sz w:val="18"/>
                <w:szCs w:val="18"/>
              </w:rPr>
            </w:pPr>
            <w:r w:rsidDel="00000000" w:rsidR="00000000" w:rsidRPr="00000000">
              <w:rPr>
                <w:sz w:val="18"/>
                <w:szCs w:val="18"/>
                <w:rtl w:val="0"/>
              </w:rPr>
              <w:t xml:space="preserve">(mg)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sz w:val="18"/>
                <w:szCs w:val="18"/>
              </w:rPr>
            </w:pPr>
            <w:r w:rsidDel="00000000" w:rsidR="00000000" w:rsidRPr="00000000">
              <w:rPr>
                <w:sz w:val="18"/>
                <w:szCs w:val="18"/>
                <w:rtl w:val="0"/>
              </w:rPr>
              <w:t xml:space="preserve">masa seca </w:t>
            </w:r>
          </w:p>
          <w:p w:rsidR="00000000" w:rsidDel="00000000" w:rsidP="00000000" w:rsidRDefault="00000000" w:rsidRPr="00000000" w14:paraId="00000088">
            <w:pPr>
              <w:pageBreakBefore w:val="0"/>
              <w:widowControl w:val="0"/>
              <w:spacing w:line="240" w:lineRule="auto"/>
              <w:rPr>
                <w:sz w:val="18"/>
                <w:szCs w:val="18"/>
              </w:rPr>
            </w:pPr>
            <w:r w:rsidDel="00000000" w:rsidR="00000000" w:rsidRPr="00000000">
              <w:rPr>
                <w:sz w:val="18"/>
                <w:szCs w:val="18"/>
                <w:rtl w:val="0"/>
              </w:rPr>
              <w:t xml:space="preserve">depositada</w:t>
            </w:r>
          </w:p>
          <w:p w:rsidR="00000000" w:rsidDel="00000000" w:rsidP="00000000" w:rsidRDefault="00000000" w:rsidRPr="00000000" w14:paraId="00000089">
            <w:pPr>
              <w:pageBreakBefore w:val="0"/>
              <w:widowControl w:val="0"/>
              <w:spacing w:line="240" w:lineRule="auto"/>
              <w:rPr>
                <w:sz w:val="18"/>
                <w:szCs w:val="18"/>
              </w:rPr>
            </w:pPr>
            <w:r w:rsidDel="00000000" w:rsidR="00000000" w:rsidRPr="00000000">
              <w:rPr>
                <w:sz w:val="18"/>
                <w:szCs w:val="18"/>
                <w:rtl w:val="0"/>
              </w:rPr>
              <w:t xml:space="preserve">(mg)</w:t>
            </w:r>
          </w:p>
        </w:tc>
      </w:tr>
      <w:tr>
        <w:trPr>
          <w:cantSplit w:val="0"/>
          <w:trHeight w:val="30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sz w:val="18"/>
                <w:szCs w:val="18"/>
              </w:rPr>
            </w:pPr>
            <w:r w:rsidDel="00000000" w:rsidR="00000000" w:rsidRPr="00000000">
              <w:rPr>
                <w:sz w:val="18"/>
                <w:szCs w:val="18"/>
                <w:rtl w:val="0"/>
              </w:rPr>
              <w:t xml:space="preserve">?/5/2021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sz w:val="18"/>
                <w:szCs w:val="18"/>
              </w:rPr>
            </w:pPr>
            <w:r w:rsidDel="00000000" w:rsidR="00000000" w:rsidRPr="00000000">
              <w:rPr>
                <w:sz w:val="18"/>
                <w:szCs w:val="18"/>
                <w:rtl w:val="0"/>
              </w:rPr>
              <w:t xml:space="preserve">0.5249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sz w:val="18"/>
                <w:szCs w:val="18"/>
              </w:rPr>
            </w:pPr>
            <w:r w:rsidDel="00000000" w:rsidR="00000000" w:rsidRPr="00000000">
              <w:rPr>
                <w:sz w:val="18"/>
                <w:szCs w:val="18"/>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sz w:val="18"/>
                <w:szCs w:val="18"/>
              </w:rPr>
            </w:pPr>
            <w:r w:rsidDel="00000000" w:rsidR="00000000" w:rsidRPr="00000000">
              <w:rPr>
                <w:sz w:val="18"/>
                <w:szCs w:val="18"/>
                <w:rtl w:val="0"/>
              </w:rPr>
              <w:t xml:space="preserve">17.4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sz w:val="18"/>
                <w:szCs w:val="18"/>
              </w:rPr>
            </w:pPr>
            <w:r w:rsidDel="00000000" w:rsidR="00000000" w:rsidRPr="00000000">
              <w:rPr>
                <w:sz w:val="18"/>
                <w:szCs w:val="18"/>
                <w:rtl w:val="0"/>
              </w:rPr>
              <w:t xml:space="preserve">21/5/2021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sz w:val="18"/>
                <w:szCs w:val="18"/>
              </w:rPr>
            </w:pPr>
            <w:r w:rsidDel="00000000" w:rsidR="00000000" w:rsidRPr="00000000">
              <w:rPr>
                <w:sz w:val="18"/>
                <w:szCs w:val="18"/>
                <w:rtl w:val="0"/>
              </w:rPr>
              <w:t xml:space="preserve">0.5423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sz w:val="18"/>
                <w:szCs w:val="18"/>
              </w:rPr>
            </w:pPr>
            <w:r w:rsidDel="00000000" w:rsidR="00000000" w:rsidRPr="00000000">
              <w:rPr>
                <w:sz w:val="18"/>
                <w:szCs w:val="18"/>
                <w:rtl w:val="0"/>
              </w:rPr>
              <w:t xml:space="preserve">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sz w:val="18"/>
                <w:szCs w:val="18"/>
              </w:rPr>
            </w:pPr>
            <w:r w:rsidDel="00000000" w:rsidR="00000000" w:rsidRPr="00000000">
              <w:rPr>
                <w:sz w:val="18"/>
                <w:szCs w:val="18"/>
                <w:rtl w:val="0"/>
              </w:rPr>
              <w:t xml:space="preserve">1 mL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sz w:val="18"/>
                <w:szCs w:val="18"/>
              </w:rPr>
            </w:pPr>
            <w:r w:rsidDel="00000000" w:rsidR="00000000" w:rsidRPr="00000000">
              <w:rPr>
                <w:sz w:val="18"/>
                <w:szCs w:val="18"/>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sz w:val="18"/>
                <w:szCs w:val="18"/>
              </w:rPr>
            </w:pPr>
            <w:r w:rsidDel="00000000" w:rsidR="00000000" w:rsidRPr="00000000">
              <w:rPr>
                <w:sz w:val="18"/>
                <w:szCs w:val="18"/>
                <w:rtl w:val="0"/>
              </w:rPr>
              <w:t xml:space="preserve">34.1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sz w:val="18"/>
                <w:szCs w:val="18"/>
              </w:rPr>
            </w:pPr>
            <w:r w:rsidDel="00000000" w:rsidR="00000000" w:rsidRPr="00000000">
              <w:rPr>
                <w:sz w:val="18"/>
                <w:szCs w:val="18"/>
                <w:rtl w:val="0"/>
              </w:rPr>
              <w:t xml:space="preserve">28/5/2021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sz w:val="18"/>
                <w:szCs w:val="18"/>
              </w:rPr>
            </w:pPr>
            <w:r w:rsidDel="00000000" w:rsidR="00000000" w:rsidRPr="00000000">
              <w:rPr>
                <w:sz w:val="18"/>
                <w:szCs w:val="18"/>
                <w:rtl w:val="0"/>
              </w:rPr>
              <w:t xml:space="preserve">0.5590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sz w:val="18"/>
                <w:szCs w:val="18"/>
              </w:rPr>
            </w:pPr>
            <w:r w:rsidDel="00000000" w:rsidR="00000000" w:rsidRPr="00000000">
              <w:rPr>
                <w:sz w:val="18"/>
                <w:szCs w:val="18"/>
                <w:rtl w:val="0"/>
              </w:rPr>
              <w:t xml:space="preserve">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sz w:val="18"/>
                <w:szCs w:val="18"/>
              </w:rPr>
            </w:pPr>
            <w:r w:rsidDel="00000000" w:rsidR="00000000" w:rsidRPr="00000000">
              <w:rPr>
                <w:sz w:val="18"/>
                <w:szCs w:val="18"/>
                <w:rtl w:val="0"/>
              </w:rPr>
              <w:t xml:space="preserve">1 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sz w:val="18"/>
                <w:szCs w:val="18"/>
              </w:rPr>
            </w:pPr>
            <w:r w:rsidDel="00000000" w:rsidR="00000000" w:rsidRPr="00000000">
              <w:rPr>
                <w:sz w:val="18"/>
                <w:szCs w:val="18"/>
                <w:rtl w:val="0"/>
              </w:rPr>
              <w:t xml:space="preserve">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sz w:val="18"/>
                <w:szCs w:val="18"/>
              </w:rPr>
            </w:pPr>
            <w:r w:rsidDel="00000000" w:rsidR="00000000" w:rsidRPr="00000000">
              <w:rPr>
                <w:sz w:val="18"/>
                <w:szCs w:val="18"/>
                <w:rtl w:val="0"/>
              </w:rPr>
              <w:t xml:space="preserve">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El viernes 9 de abril se redactó un protocolo de carga para Nicolás Mele, pero puede ser utilizado por cualquier otro en caso de que sea necesario. </w:t>
      </w:r>
    </w:p>
    <w:p w:rsidR="00000000" w:rsidDel="00000000" w:rsidP="00000000" w:rsidRDefault="00000000" w:rsidRPr="00000000" w14:paraId="000000B0">
      <w:pPr>
        <w:pageBreakBefore w:val="0"/>
        <w:rPr/>
      </w:pPr>
      <w:hyperlink r:id="rId12">
        <w:r w:rsidDel="00000000" w:rsidR="00000000" w:rsidRPr="00000000">
          <w:rPr>
            <w:color w:val="1155cc"/>
            <w:u w:val="single"/>
            <w:rtl w:val="0"/>
          </w:rPr>
          <w:t xml:space="preserve">https://docs.google.com/document/d/1CZvhzekNaKNTJTlwFgOfecEtk0dFqYjO5EvLwpjVo7M/edit?usp=sharing</w:t>
        </w:r>
      </w:hyperlink>
      <w:r w:rsidDel="00000000" w:rsidR="00000000" w:rsidRPr="00000000">
        <w:rPr>
          <w:rtl w:val="0"/>
        </w:rPr>
      </w:r>
    </w:p>
    <w:p w:rsidR="00000000" w:rsidDel="00000000" w:rsidP="00000000" w:rsidRDefault="00000000" w:rsidRPr="00000000" w14:paraId="000000B1">
      <w:pPr>
        <w:pageBreakBefore w:val="0"/>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hyperlink" Target="https://docs.google.com/document/d/1CZvhzekNaKNTJTlwFgOfecEtk0dFqYjO5EvLwpjVo7M/edit?usp=sharing"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