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0A7D" w14:textId="77777777" w:rsidR="00707C4E" w:rsidRDefault="00E74979">
      <w:pPr>
        <w:shd w:val="clear" w:color="auto" w:fill="FFFFFF" w:themeFill="background1"/>
        <w:spacing w:before="40" w:after="100" w:line="240" w:lineRule="auto"/>
        <w:jc w:val="center"/>
      </w:pPr>
      <w:r>
        <w:rPr>
          <w:rFonts w:eastAsia="Linux Biolinum" w:cstheme="majorBidi"/>
          <w:b/>
          <w:bCs/>
          <w:sz w:val="36"/>
          <w:szCs w:val="36"/>
        </w:rPr>
        <w:t>Insert Your Capstone Article Title Here</w:t>
      </w:r>
    </w:p>
    <w:p w14:paraId="1B6D38AD" w14:textId="77777777" w:rsidR="00707C4E" w:rsidRDefault="00E74979">
      <w:pPr>
        <w:pStyle w:val="Subtitle"/>
        <w:shd w:val="clear" w:color="auto" w:fill="FFFFFF" w:themeFill="background1"/>
      </w:pPr>
      <w:r w:rsidRPr="436815AE">
        <w:rPr>
          <w:rFonts w:asciiTheme="majorBidi" w:hAnsiTheme="majorBidi" w:cstheme="majorBidi"/>
          <w:sz w:val="28"/>
          <w:szCs w:val="28"/>
        </w:rPr>
        <w:t xml:space="preserve">Insert Subtitle Here (if applicable) </w:t>
      </w:r>
    </w:p>
    <w:p w14:paraId="562F6AB7" w14:textId="42204376" w:rsidR="436815AE" w:rsidRDefault="436815AE" w:rsidP="436815AE"/>
    <w:p w14:paraId="3B091644" w14:textId="36C6B286" w:rsidR="35E002DA" w:rsidRDefault="35E002DA" w:rsidP="436815AE">
      <w:pPr>
        <w:shd w:val="clear" w:color="auto" w:fill="FFFFFF" w:themeFill="background1"/>
        <w:spacing w:line="240" w:lineRule="auto"/>
        <w:jc w:val="center"/>
      </w:pPr>
      <w:r w:rsidRPr="436815AE">
        <w:rPr>
          <w:rFonts w:eastAsia="Linux Libertine" w:cstheme="majorBidi"/>
        </w:rPr>
        <w:t>Gregory Bauer</w:t>
      </w:r>
    </w:p>
    <w:p w14:paraId="716EBD8A" w14:textId="77777777" w:rsidR="35E002DA" w:rsidRDefault="35E002DA" w:rsidP="436815AE">
      <w:pPr>
        <w:shd w:val="clear" w:color="auto" w:fill="FFFFFF" w:themeFill="background1"/>
        <w:spacing w:line="240" w:lineRule="auto"/>
        <w:jc w:val="center"/>
      </w:pPr>
      <w:r w:rsidRPr="436815AE">
        <w:rPr>
          <w:rFonts w:cstheme="majorBidi"/>
        </w:rPr>
        <w:t>Master of Science in Applied Artificial Intelligence</w:t>
      </w:r>
    </w:p>
    <w:p w14:paraId="56272B1D" w14:textId="37F03C59" w:rsidR="35E002DA" w:rsidRDefault="35E002DA" w:rsidP="436815AE">
      <w:pPr>
        <w:shd w:val="clear" w:color="auto" w:fill="FFFFFF" w:themeFill="background1"/>
        <w:spacing w:line="240" w:lineRule="auto"/>
        <w:jc w:val="center"/>
        <w:rPr>
          <w:rFonts w:eastAsia="Linux Libertine" w:cstheme="majorBidi"/>
        </w:rPr>
      </w:pPr>
      <w:r w:rsidRPr="436815AE">
        <w:rPr>
          <w:rFonts w:eastAsia="Linux Libertine" w:cstheme="majorBidi"/>
        </w:rPr>
        <w:t>Shiley Marcos School of Engineering / University of San</w:t>
      </w:r>
      <w:r w:rsidRPr="436815AE">
        <w:rPr>
          <w:rFonts w:cstheme="majorBidi"/>
        </w:rPr>
        <w:t xml:space="preserve"> </w:t>
      </w:r>
      <w:r w:rsidRPr="436815AE">
        <w:rPr>
          <w:rFonts w:eastAsia="Linux Libertine" w:cstheme="majorBidi"/>
        </w:rPr>
        <w:t>Diego</w:t>
      </w:r>
      <w:r>
        <w:br/>
      </w:r>
      <w:r w:rsidRPr="436815AE">
        <w:rPr>
          <w:rFonts w:eastAsia="Linux Libertine" w:cstheme="majorBidi"/>
        </w:rPr>
        <w:t xml:space="preserve"> </w:t>
      </w:r>
      <w:hyperlink r:id="rId9">
        <w:r w:rsidRPr="436815AE">
          <w:rPr>
            <w:rStyle w:val="Hyperlink"/>
            <w:rFonts w:eastAsia="Linux Libertine" w:cstheme="majorBidi"/>
          </w:rPr>
          <w:t>gbauer@sandiego.edu</w:t>
        </w:r>
      </w:hyperlink>
    </w:p>
    <w:p w14:paraId="28590A0C" w14:textId="77777777" w:rsidR="00707C4E" w:rsidRDefault="00707C4E">
      <w:pPr>
        <w:sectPr w:rsidR="00707C4E">
          <w:headerReference w:type="even" r:id="rId10"/>
          <w:headerReference w:type="default" r:id="rId11"/>
          <w:footerReference w:type="even" r:id="rId12"/>
          <w:footerReference w:type="default" r:id="rId13"/>
          <w:headerReference w:type="first" r:id="rId14"/>
          <w:footerReference w:type="first" r:id="rId15"/>
          <w:pgSz w:w="12240" w:h="15840"/>
          <w:pgMar w:top="1500" w:right="1080" w:bottom="1600" w:left="1080" w:header="1080" w:footer="1080" w:gutter="0"/>
          <w:pgNumType w:start="1"/>
          <w:cols w:space="720"/>
          <w:formProt w:val="0"/>
          <w:titlePg/>
          <w:docGrid w:linePitch="100"/>
        </w:sectPr>
      </w:pPr>
    </w:p>
    <w:p w14:paraId="6D31703E" w14:textId="77777777" w:rsidR="00707C4E" w:rsidRDefault="00707C4E">
      <w:pPr>
        <w:shd w:val="clear" w:color="auto" w:fill="FFFFFF" w:themeFill="background1"/>
        <w:spacing w:line="240" w:lineRule="auto"/>
        <w:jc w:val="center"/>
        <w:rPr>
          <w:rFonts w:asciiTheme="majorBidi" w:eastAsia="Linux Libertine" w:hAnsiTheme="majorBidi" w:cstheme="majorBidi"/>
        </w:rPr>
      </w:pPr>
    </w:p>
    <w:p w14:paraId="03F2CBE6" w14:textId="77777777" w:rsidR="00707C4E" w:rsidRDefault="00707C4E">
      <w:pPr>
        <w:sectPr w:rsidR="00707C4E">
          <w:type w:val="continuous"/>
          <w:pgSz w:w="12240" w:h="15840"/>
          <w:pgMar w:top="1500" w:right="1080" w:bottom="1600" w:left="1080" w:header="1080" w:footer="1080" w:gutter="0"/>
          <w:cols w:num="3" w:space="720"/>
          <w:formProt w:val="0"/>
          <w:titlePg/>
          <w:docGrid w:linePitch="100"/>
        </w:sectPr>
      </w:pPr>
    </w:p>
    <w:p w14:paraId="1484DBDF" w14:textId="77777777" w:rsidR="00707C4E" w:rsidRDefault="00E74979">
      <w:pPr>
        <w:pStyle w:val="Heading1"/>
        <w:rPr>
          <w:highlight w:val="yellow"/>
        </w:rPr>
      </w:pPr>
      <w:r>
        <w:rPr>
          <w:highlight w:val="yellow"/>
        </w:rPr>
        <w:t>GENERAL WRITING GUIDELINES</w:t>
      </w:r>
    </w:p>
    <w:p w14:paraId="47F3BF05" w14:textId="77777777" w:rsidR="00707C4E" w:rsidRDefault="00E74979">
      <w:pPr>
        <w:rPr>
          <w:rFonts w:eastAsia="Times New Roman" w:cs="Times New Roman"/>
          <w:highlight w:val="yellow"/>
        </w:rPr>
      </w:pPr>
      <w:r>
        <w:rPr>
          <w:rFonts w:eastAsia="Times New Roman" w:cs="Times New Roman"/>
          <w:highlight w:val="yellow"/>
        </w:rPr>
        <w:t>DELETE THIS SECTION BEFORE FINAL SUBMISSION</w:t>
      </w:r>
    </w:p>
    <w:p w14:paraId="6CF407D1" w14:textId="77777777" w:rsidR="00707C4E" w:rsidRDefault="00E74979">
      <w:r>
        <w:t xml:space="preserve">This report should be written in a formal style, </w:t>
      </w:r>
      <w:proofErr w:type="gramStart"/>
      <w:r>
        <w:t>similar to</w:t>
      </w:r>
      <w:proofErr w:type="gramEnd"/>
      <w:r>
        <w:t xml:space="preserve"> an academic article or a professional white paper. You should write </w:t>
      </w:r>
      <w:proofErr w:type="gramStart"/>
      <w:r>
        <w:t>for</w:t>
      </w:r>
      <w:proofErr w:type="gramEnd"/>
      <w:r>
        <w:t xml:space="preserve"> an audience of semi-technical stakeholders, such as a VP of engineering or a CTO. You can </w:t>
      </w:r>
      <w:proofErr w:type="gramStart"/>
      <w:r>
        <w:t>assume</w:t>
      </w:r>
      <w:proofErr w:type="gramEnd"/>
      <w:r>
        <w:t xml:space="preserve"> some technical </w:t>
      </w:r>
      <w:bookmarkStart w:id="0" w:name="_Int_xnK9Yxka"/>
      <w:proofErr w:type="gramStart"/>
      <w:r>
        <w:t>knowledge, but</w:t>
      </w:r>
      <w:bookmarkEnd w:id="0"/>
      <w:proofErr w:type="gramEnd"/>
      <w:r>
        <w:t xml:space="preserve"> keep the details at a level that would be interesting to this group. For example, in describing your model architecture, you should give details about the number of hidden layers, nodes, and activation functions used, but not the specific lines of code or names of function calls used to build it.</w:t>
      </w:r>
    </w:p>
    <w:p w14:paraId="68DCD76E" w14:textId="77777777" w:rsidR="00707C4E" w:rsidRDefault="00E74979">
      <w:pPr>
        <w:rPr>
          <w:rFonts w:eastAsia="Times New Roman" w:cs="Times New Roman"/>
        </w:rPr>
      </w:pPr>
      <w:r>
        <w:t xml:space="preserve">Under each section of this template, and in the weekly assignment instructions in Canvas, you will find a list of questions that are meant to guide you in terms of what information should be included in each section. </w:t>
      </w:r>
      <w:r>
        <w:rPr>
          <w:highlight w:val="yellow"/>
        </w:rPr>
        <w:t>DO NOT SUBMIT A LIST OF QUESTIONS AND ANSWERS</w:t>
      </w:r>
      <w:r>
        <w:t>. A reader should be able to answer these questions after reading your text if they are relevant to your project; they do not need to be answered explicitly, and you should avoid repeating information in your report just for the sake of answering each question independently.</w:t>
      </w:r>
    </w:p>
    <w:p w14:paraId="7B41968F" w14:textId="77777777" w:rsidR="00707C4E" w:rsidRDefault="00E74979">
      <w:pPr>
        <w:rPr>
          <w:rFonts w:asciiTheme="majorBidi" w:eastAsia="Linux Libertine" w:hAnsiTheme="majorBidi" w:cstheme="majorBidi"/>
        </w:rPr>
      </w:pPr>
      <w:r>
        <w:t>A selection of formatting examples can be found in Section 7 of this document. Please refer to these examples for the proper way to include figures, tables, equations, and in-text citations, along with other general formatting guidelines.</w:t>
      </w:r>
    </w:p>
    <w:p w14:paraId="1E39F8F7" w14:textId="77777777" w:rsidR="00707C4E" w:rsidRDefault="00E74979">
      <w:pPr>
        <w:pStyle w:val="Heading1"/>
        <w:rPr>
          <w:rFonts w:asciiTheme="majorBidi" w:eastAsia="Linux Libertine" w:hAnsiTheme="majorBidi"/>
        </w:rPr>
      </w:pPr>
      <w:r>
        <w:t>ABSTRACT</w:t>
      </w:r>
    </w:p>
    <w:p w14:paraId="3110EFE0" w14:textId="77777777" w:rsidR="00707C4E" w:rsidRDefault="00E74979">
      <w:pPr>
        <w:rPr>
          <w:rFonts w:eastAsia="Times New Roman" w:cs="Times New Roman"/>
        </w:rPr>
      </w:pPr>
      <w:r>
        <w:t>The abstract should be the last piece of your report that you write and will be a 1-2 paragraph overview of your entire project. As a rough guide, you should expect to have 1-2 sentences introducing the problem and your chosen dataset, 3-4 sentences describing your chosen methods, and 1-2 sentences summarizing your project results.</w:t>
      </w:r>
    </w:p>
    <w:p w14:paraId="71CF3D89" w14:textId="77777777" w:rsidR="00707C4E" w:rsidRDefault="00E74979">
      <w:pPr>
        <w:pStyle w:val="Heading1"/>
        <w:rPr>
          <w:rFonts w:asciiTheme="majorBidi" w:eastAsia="Linux Libertine" w:hAnsiTheme="majorBidi"/>
          <w:sz w:val="24"/>
          <w:szCs w:val="24"/>
        </w:rPr>
      </w:pPr>
      <w:r>
        <w:t>KEYWORDS</w:t>
      </w:r>
    </w:p>
    <w:p w14:paraId="3678B6D1" w14:textId="77777777" w:rsidR="00707C4E" w:rsidRDefault="00E74979">
      <w:pPr>
        <w:spacing w:after="60"/>
        <w:rPr>
          <w:rFonts w:asciiTheme="majorBidi" w:eastAsia="Linux Libertine" w:hAnsiTheme="majorBidi" w:cstheme="majorBidi"/>
          <w:color w:val="000000"/>
        </w:rPr>
      </w:pPr>
      <w:r>
        <w:rPr>
          <w:rFonts w:eastAsia="Linux Libertine" w:cstheme="majorBidi"/>
        </w:rPr>
        <w:t xml:space="preserve">Insert Applicable Keywords Here. Insert Applicable Keywords Here.  </w:t>
      </w:r>
    </w:p>
    <w:p w14:paraId="500A481E" w14:textId="77777777" w:rsidR="00707C4E" w:rsidRDefault="00E74979">
      <w:pPr>
        <w:pStyle w:val="Heading1"/>
        <w:rPr>
          <w:rFonts w:asciiTheme="majorBidi" w:eastAsia="Linux Libertine" w:hAnsiTheme="majorBidi"/>
          <w:sz w:val="24"/>
          <w:szCs w:val="24"/>
        </w:rPr>
      </w:pPr>
      <w:r>
        <w:t>1 Introduction</w:t>
      </w:r>
    </w:p>
    <w:p w14:paraId="6CC4E169" w14:textId="77777777" w:rsidR="00707C4E" w:rsidRDefault="0030118F" w:rsidP="00747C82">
      <w:r w:rsidRPr="006D44E4">
        <w:t>Understanding and predicting short</w:t>
      </w:r>
      <w:r w:rsidRPr="006D44E4">
        <w:noBreakHyphen/>
        <w:t>term motion from minimal sensor data is a foundational capability in modern intelligent systems. Many real</w:t>
      </w:r>
      <w:r w:rsidRPr="006D44E4">
        <w:noBreakHyphen/>
        <w:t>world environments rely on GPS as the only consistently available signal, especially in transportation analytics, such as large</w:t>
      </w:r>
      <w:r w:rsidRPr="006D44E4">
        <w:noBreakHyphen/>
        <w:t xml:space="preserve">scale mobility studies that infer movement patterns from raw GPS traces (Zheng et al., 2008), </w:t>
      </w:r>
      <w:r w:rsidRPr="006D44E4">
        <w:lastRenderedPageBreak/>
        <w:t>mobility</w:t>
      </w:r>
      <w:r w:rsidRPr="006D44E4">
        <w:noBreakHyphen/>
        <w:t>as</w:t>
      </w:r>
      <w:r w:rsidRPr="006D44E4">
        <w:noBreakHyphen/>
        <w:t>a</w:t>
      </w:r>
      <w:r w:rsidRPr="006D44E4">
        <w:noBreakHyphen/>
        <w:t>service platforms that depend on smartphone GPS for real</w:t>
      </w:r>
      <w:r w:rsidRPr="006D44E4">
        <w:noBreakHyphen/>
        <w:t>time positioning (Zandbergen &amp; Barbeau, 2011), and safety</w:t>
      </w:r>
      <w:r w:rsidRPr="006D44E4">
        <w:noBreakHyphen/>
        <w:t>critical monitoring systems where continuous geolocation is required to detect abnormal or hazardous motion (Zheng et al., 2010). This project addresses the problem of short</w:t>
      </w:r>
      <w:r w:rsidRPr="006D44E4">
        <w:noBreakHyphen/>
        <w:t xml:space="preserve">horizon trajectory forecasting using only timestamps and GPS coordinates, with the goal of predicting an agent’s future position one to five seconds ahead. The central question guiding this work is: </w:t>
      </w:r>
      <w:r w:rsidRPr="006D44E4">
        <w:rPr>
          <w:i/>
          <w:iCs/>
        </w:rPr>
        <w:t>How accurately can we forecast near</w:t>
      </w:r>
      <w:r w:rsidRPr="006D44E4">
        <w:noBreakHyphen/>
      </w:r>
      <w:r w:rsidRPr="006D44E4">
        <w:rPr>
          <w:i/>
          <w:iCs/>
        </w:rPr>
        <w:t>term motion using only raw latitude, longitude, and time, without access to richer sensor suites such as IMUs, cameras, or wheel</w:t>
      </w:r>
      <w:r w:rsidRPr="006D44E4">
        <w:noBreakHyphen/>
      </w:r>
      <w:r w:rsidRPr="006D44E4">
        <w:rPr>
          <w:i/>
          <w:iCs/>
        </w:rPr>
        <w:t>speed sensors?</w:t>
      </w:r>
    </w:p>
    <w:p w14:paraId="6C2DAFDB" w14:textId="77777777" w:rsidR="00707C4E" w:rsidRDefault="0030118F" w:rsidP="0097413F">
      <w:r w:rsidRPr="00075A58">
        <w:t>This problem is important because many operational systems must function in settings where sensor availability is limited, degraded, or inconsistent. A model capable of inferring short</w:t>
      </w:r>
      <w:r>
        <w:noBreakHyphen/>
      </w:r>
      <w:r w:rsidRPr="00075A58">
        <w:t>term motion from sparse GPS feeds can support downstream tasks such as anomaly detection, collision risk estimation, and real</w:t>
      </w:r>
      <w:r>
        <w:noBreakHyphen/>
      </w:r>
      <w:r w:rsidRPr="00075A58">
        <w:t>time decision support. In practical deployments, this capability can improve safety, reduce operational risk, and enhance situational awareness without requiring expensive or complex hardware.</w:t>
      </w:r>
    </w:p>
    <w:p w14:paraId="14E7A7B2" w14:textId="77777777" w:rsidR="00707C4E" w:rsidRDefault="0030118F" w:rsidP="009216D0">
      <w:r w:rsidRPr="00C02D25">
        <w:t>The primary end users of this system depend on the deployment context. In operational environments, engineers and analysts may use trajectory forecasts to detect deviations from expected behavior or to support automated decision</w:t>
      </w:r>
      <w:r>
        <w:noBreakHyphen/>
      </w:r>
      <w:r w:rsidRPr="00C02D25">
        <w:t>making. In research or educational settings, the end user is the practitioner evaluating model performance and exploring the limits of GPS</w:t>
      </w:r>
      <w:r>
        <w:noBreakHyphen/>
      </w:r>
      <w:r w:rsidRPr="00C02D25">
        <w:t>only forecasting. In both cases, the value lies in producing accurate, low</w:t>
      </w:r>
      <w:r>
        <w:noBreakHyphen/>
      </w:r>
      <w:r w:rsidRPr="00C02D25">
        <w:t>latency predictions that can be integrated into larger analytical or control pipelines.</w:t>
      </w:r>
    </w:p>
    <w:p w14:paraId="1B3BDB8D" w14:textId="77777777" w:rsidR="00707C4E" w:rsidRDefault="0030118F" w:rsidP="006648C2">
      <w:r w:rsidRPr="00A24FB8">
        <w:t>This project uses the Microsoft GeoLife GPS Trajectory Dataset, a large</w:t>
      </w:r>
      <w:r>
        <w:noBreakHyphen/>
      </w:r>
      <w:r w:rsidRPr="00A24FB8">
        <w:t xml:space="preserve">scale collection of </w:t>
      </w:r>
      <w:r w:rsidRPr="00A24FB8">
        <w:t>real</w:t>
      </w:r>
      <w:r>
        <w:noBreakHyphen/>
      </w:r>
      <w:r w:rsidRPr="00A24FB8">
        <w:t>world GPS trajectories recorded by 182 users over a five</w:t>
      </w:r>
      <w:r>
        <w:noBreakHyphen/>
      </w:r>
      <w:r w:rsidRPr="00A24FB8">
        <w:t>year period (Zheng et al., 2008; Microsoft Research Asia, 2012). The dataset contains more than 17,000 trajectories covering over 1.2 million kilometers of movement, with 91% of trajectories sampled every 1-5 seconds (Zheng et al., 2010). Each trajectory provides latitude, longitude, altitude, and timestamp information, enabling the derivation of kinematic features such as speed, heading, and acceleration. The dataset includes walking, biking, and driving trajectories, offering rich behavioral diversity and realistic GPS noise. Its high sampling rate and clean geospatial structure make it well suited for short</w:t>
      </w:r>
      <w:r>
        <w:noBreakHyphen/>
      </w:r>
      <w:r w:rsidRPr="00A24FB8">
        <w:t>horizon forecasting tasks.</w:t>
      </w:r>
    </w:p>
    <w:p w14:paraId="339A0BC9" w14:textId="77777777" w:rsidR="00707C4E" w:rsidRDefault="0030118F" w:rsidP="00280A5C">
      <w:r w:rsidRPr="003E238C">
        <w:t>The overarching goal of this project is to build a lightweight, real</w:t>
      </w:r>
      <w:r>
        <w:noBreakHyphen/>
      </w:r>
      <w:r w:rsidRPr="003E238C">
        <w:t>time forecasting model capable of predicting future positions over short horizons. The working hypothesis is that even with limited inputs, a combination of derived kinematic features and sequence</w:t>
      </w:r>
      <w:r>
        <w:noBreakHyphen/>
      </w:r>
      <w:r w:rsidRPr="003E238C">
        <w:t>based neural models—such as LSTMs or temporal convolutional networks—can achieve accurate and stable predictions. The final deliverable will be a small, deployable inference module that accepts a stream of GPS points and outputs predicted positions for the next several seconds. Model performance will be evaluated using geodesic displacement metrics, latency measurements, and visual comparisons between predicted and actual trajectories.</w:t>
      </w:r>
    </w:p>
    <w:p w14:paraId="6A32DA2C" w14:textId="77777777" w:rsidR="00707C4E" w:rsidRDefault="00E74979">
      <w:pPr>
        <w:pStyle w:val="Heading1"/>
        <w:rPr>
          <w:rFonts w:asciiTheme="majorBidi" w:eastAsia="Linux Libertine" w:hAnsiTheme="majorBidi"/>
          <w:sz w:val="24"/>
          <w:szCs w:val="24"/>
        </w:rPr>
      </w:pPr>
      <w:r>
        <w:t>2 Data Summary</w:t>
      </w:r>
    </w:p>
    <w:p w14:paraId="30BEBFD9" w14:textId="77777777" w:rsidR="00707C4E" w:rsidRDefault="0030118F" w:rsidP="00CC3750">
      <w:r w:rsidRPr="00F27737">
        <w:t>The dataset used in this project is the Microsoft GeoLife GPS Trajectory Dataset, a collection of time</w:t>
      </w:r>
      <w:r w:rsidRPr="0096656B">
        <w:t>-</w:t>
      </w:r>
      <w:r w:rsidRPr="00F27737">
        <w:t xml:space="preserve">ordered GPS trajectory records released by Microsoft Research Asia (Microsoft Research Asia, 2012). </w:t>
      </w:r>
      <w:r w:rsidRPr="0096656B">
        <w:t>In this report, a record refers to one time</w:t>
      </w:r>
      <w:r>
        <w:t>-</w:t>
      </w:r>
      <w:r w:rsidRPr="0096656B">
        <w:t xml:space="preserve">stamped GPS observation within a trajectory, while a trajectory refers to the ordered sequence of observations that make up a trip segment. </w:t>
      </w:r>
      <w:r w:rsidRPr="00F27737">
        <w:t xml:space="preserve">Each </w:t>
      </w:r>
      <w:r w:rsidRPr="00F27737">
        <w:lastRenderedPageBreak/>
        <w:t>record includes raw positional information</w:t>
      </w:r>
      <w:r w:rsidRPr="0096656B">
        <w:t>,</w:t>
      </w:r>
      <w:r w:rsidRPr="00F27737">
        <w:t xml:space="preserve"> and several engineered motion variables </w:t>
      </w:r>
      <w:r w:rsidRPr="0096656B">
        <w:t xml:space="preserve">were </w:t>
      </w:r>
      <w:r w:rsidRPr="00F27737">
        <w:t xml:space="preserve">derived from </w:t>
      </w:r>
      <w:r w:rsidRPr="0096656B">
        <w:t xml:space="preserve">consecutive </w:t>
      </w:r>
      <w:r w:rsidRPr="00F27737">
        <w:t xml:space="preserve">positions. </w:t>
      </w:r>
      <w:r w:rsidRPr="0096656B">
        <w:t xml:space="preserve">The </w:t>
      </w:r>
      <w:r w:rsidRPr="00F27737">
        <w:t xml:space="preserve">timestamp variable provides the chronological ordering </w:t>
      </w:r>
      <w:r w:rsidRPr="0096656B">
        <w:t>needed to compute</w:t>
      </w:r>
      <w:r w:rsidRPr="00F27737">
        <w:t xml:space="preserve"> motion dynamics</w:t>
      </w:r>
      <w:r w:rsidRPr="0096656B">
        <w:t xml:space="preserve">, and the </w:t>
      </w:r>
      <w:r w:rsidRPr="00F27737">
        <w:t>time</w:t>
      </w:r>
      <w:r w:rsidRPr="0096656B">
        <w:t>-</w:t>
      </w:r>
      <w:r w:rsidRPr="00F27737">
        <w:t xml:space="preserve">delta variable </w:t>
      </w:r>
      <w:r w:rsidRPr="0096656B">
        <w:t>measures</w:t>
      </w:r>
      <w:r w:rsidRPr="00F27737">
        <w:t xml:space="preserve"> the interval between consecutive samples. </w:t>
      </w:r>
      <w:r w:rsidRPr="0096656B">
        <w:t>Although</w:t>
      </w:r>
      <w:r w:rsidRPr="00F27737">
        <w:t xml:space="preserve"> GPS devices often attempt to record at a fixed sampling rate</w:t>
      </w:r>
      <w:r w:rsidR="00004D8D" w:rsidRPr="00004D8D">
        <w:t xml:space="preserve">, </w:t>
      </w:r>
      <w:r w:rsidRPr="00F27737">
        <w:t>commonly one sample per second</w:t>
      </w:r>
      <w:r w:rsidR="00004D8D" w:rsidRPr="00004D8D">
        <w:t xml:space="preserve">, </w:t>
      </w:r>
      <w:r w:rsidRPr="00F27737">
        <w:t>real</w:t>
      </w:r>
      <w:r w:rsidRPr="0096656B">
        <w:t>-</w:t>
      </w:r>
      <w:r w:rsidRPr="00F27737">
        <w:t xml:space="preserve">world conditions such as signal obstruction or device latency </w:t>
      </w:r>
      <w:r w:rsidRPr="0096656B">
        <w:t>can</w:t>
      </w:r>
      <w:r w:rsidRPr="00F27737">
        <w:t xml:space="preserve"> introduce </w:t>
      </w:r>
      <w:r w:rsidRPr="0096656B">
        <w:t>irregular intervals</w:t>
      </w:r>
      <w:r w:rsidRPr="00F27737">
        <w:t xml:space="preserve"> (Zandbergen &amp; Barbeau, 2011). These irregularities directly </w:t>
      </w:r>
      <w:r w:rsidRPr="0096656B">
        <w:t>affect</w:t>
      </w:r>
      <w:r w:rsidRPr="00F27737">
        <w:t xml:space="preserve"> the stability of derived motion variables.</w:t>
      </w:r>
    </w:p>
    <w:p w14:paraId="06FC597A" w14:textId="77777777" w:rsidR="0030118F" w:rsidRDefault="00C4732A">
      <w:pPr>
        <w:rPr>
          <w:kern w:val="2"/>
          <w14:ligatures w14:val="standardContextual"/>
        </w:rPr>
      </w:pPr>
      <w:r w:rsidRPr="00C4732A">
        <w:t xml:space="preserve">Spatial coordinates were converted from latitude and longitude into a local East-North-Up (ENU) reference frame, a standard Cartesian coordinate system that expresses positions in meters relative to a fixed origin (Teunissen &amp; </w:t>
      </w:r>
      <w:proofErr w:type="spellStart"/>
      <w:r w:rsidRPr="00C4732A">
        <w:t>Montenbruck</w:t>
      </w:r>
      <w:proofErr w:type="spellEnd"/>
      <w:r w:rsidRPr="00C4732A">
        <w:t>, 2017). This conversion makes distance, speed, and acceleration calculations more interpretable because the coordinates are measured in linear units rather than degrees. Instantaneous speed was computed as the change in position over time, and acceleration was derived from changes in speed across consecutive samples. Heading, expressed in radians, represents the direction of travel relative to true north, while turn rate captures how quickly that heading changes. Because heading is an angular quantity, it wraps around at ±π, which can create artificial discontinuities unless it is unwrapped before turn rate is calculated (Sola, 2017). Together, these variables describe the vehicle’s motion state at each point in the trajectory.</w:t>
      </w:r>
    </w:p>
    <w:p w14:paraId="3BFEC59E" w14:textId="77777777" w:rsidR="00874EBA" w:rsidRDefault="00B7113A">
      <w:r w:rsidRPr="00B7113A">
        <w:t xml:space="preserve">Exploratory analysis revealed several data quality issues that could affect model stability. The most prominent issue was irregular timestamp intervals, where the expected one-second sampling rate occasionally deviated. Because speed, acceleration, and turn rate all depend on the time </w:t>
      </w:r>
      <w:r w:rsidRPr="00B7113A">
        <w:t xml:space="preserve">delta between samples, these deviations produced spikes in derived variables that may reflect sampling noise rather than true motion. Heading values also exhibited discontinuities near ±π, a known artifact of angular wraparound that can artificially inflate turn rate calculations. In addition, a small number of trajectories contained extremely short sequences that were not suitable for meaningful temporal modeling. To address these issues, the dataset was regularized by computing explicit time deltas, identifying outliers, and validating that most samples adhered to the expected sampling interval. </w:t>
      </w:r>
    </w:p>
    <w:p w14:paraId="20E5F952" w14:textId="7D6F9046" w:rsidR="0030118F" w:rsidRDefault="00B7113A">
      <w:pPr>
        <w:rPr>
          <w:kern w:val="2"/>
          <w14:ligatures w14:val="standardContextual"/>
        </w:rPr>
      </w:pPr>
      <w:r w:rsidRPr="00B7113A">
        <w:t>Derived variables were inspected for physically implausible values, such as speeds exceeding 50 meters per second or accelerations greater than 10 meters per second squared, which typically indicate noise rather than true vehicle behavior. A fully developed machine learning pipeline would require more robust preprocessing, including smoothing filters, interpolation for missing timestamps, heading unwrapping, and automated outlier removal to ensure stable model inputs.</w:t>
      </w:r>
    </w:p>
    <w:p w14:paraId="1CB5BF6E" w14:textId="77777777" w:rsidR="0030118F" w:rsidRDefault="0077200A">
      <w:pPr>
        <w:rPr>
          <w:kern w:val="2"/>
          <w14:ligatures w14:val="standardContextual"/>
        </w:rPr>
      </w:pPr>
      <w:r w:rsidRPr="0077200A">
        <w:t xml:space="preserve">The variables in this dataset align directly with the project’s goal of forecasting short-term vehicle motion. Speed, acceleration, and turn rate provide complementary signals about how a vehicle is likely to move </w:t>
      </w:r>
      <w:proofErr w:type="gramStart"/>
      <w:r w:rsidRPr="0077200A">
        <w:t>in the near future</w:t>
      </w:r>
      <w:proofErr w:type="gramEnd"/>
      <w:r w:rsidRPr="0077200A">
        <w:t xml:space="preserve">: speed captures current motion intensity, acceleration captures changes in that motion, and turn rate captures directional change. Exploratory analysis suggests that these variables contain meaningful temporal structure. Speed tends to vary smoothly over time except when timestamp irregularities introduce artifacts, indicating that short-term forecasting models should be able to learn predictable trends. Acceleration is more volatile but still reflects recognizable driving behaviors such as gradual acceleration, steady cruising, and braking. Heading and turn rate reveal directional stability during straight segments and distinct rotational </w:t>
      </w:r>
      <w:r w:rsidRPr="0077200A">
        <w:lastRenderedPageBreak/>
        <w:t>patterns during turns, both of which are essential for predicting future position. Although noise is present in these variables, the underlying patterns remain strong enough to support predictive modeling.</w:t>
      </w:r>
    </w:p>
    <w:p w14:paraId="5DAC0483" w14:textId="59CA4D54" w:rsidR="00707C4E" w:rsidRDefault="00E74979" w:rsidP="00470D3F">
      <w:pPr>
        <w:pStyle w:val="Heading1"/>
      </w:pPr>
      <w:r>
        <w:t>3 Literature Review</w:t>
      </w:r>
      <w:r w:rsidR="00F347C6">
        <w:t xml:space="preserve"> </w:t>
      </w:r>
    </w:p>
    <w:p w14:paraId="26035DC4" w14:textId="77777777" w:rsidR="0077389B" w:rsidRPr="0077389B" w:rsidRDefault="0077389B" w:rsidP="0077389B">
      <w:r w:rsidRPr="0077389B">
        <w:t xml:space="preserve">Short‑horizon trajectory forecasting has been explored extensively across transportation analytics, mobility modeling, and geospatial prediction, with numerous methods designed to estimate near‑term motion from positional data. Early approaches relied on classical kinematic models that assume constant velocity or constant acceleration. These models propagate future positions by integrating estimated speed and heading over short horizons and have been widely used in navigation and robotics applications due to their simplicity and low computational cost (Teunissen &amp; </w:t>
      </w:r>
      <w:proofErr w:type="spellStart"/>
      <w:r w:rsidRPr="0077389B">
        <w:t>Montenbruck</w:t>
      </w:r>
      <w:proofErr w:type="spellEnd"/>
      <w:r w:rsidRPr="0077389B">
        <w:t>, 2017). Although effective in stable motion regimes, these approaches struggle with nonlinear trajectories, sharp turns, and GPS noise, limiting their accuracy in real‑world environments.</w:t>
      </w:r>
    </w:p>
    <w:p w14:paraId="75141292" w14:textId="77777777" w:rsidR="0077389B" w:rsidRPr="0077389B" w:rsidRDefault="0077389B" w:rsidP="0077389B">
      <w:r w:rsidRPr="0077389B">
        <w:t>More sophisticated forecasting systems incorporate Bayesian filtering techniques such as the Kalman filter and its variants. These methods model motion as a dynamical system with latent velocity and acceleration states, enabling smoother estimates of position and heading and reducing the impact of GPS jitter. Kalman‑based approaches have been applied extensively in vehicle tracking, pedestrian localization, and sensor fusion tasks, demonstrating improved stability over purely kinematic models (Sola, 2017). However, these methods often assume linear dynamics or require additional sensors such as IMUs to achieve high accuracy, making them less suitable for GPS‑only scenarios.</w:t>
      </w:r>
    </w:p>
    <w:p w14:paraId="30439B9B" w14:textId="77777777" w:rsidR="002E58C8" w:rsidRDefault="00E97479">
      <w:pPr>
        <w:rPr>
          <w:kern w:val="2"/>
          <w14:ligatures w14:val="standardContextual"/>
        </w:rPr>
      </w:pPr>
      <w:r w:rsidRPr="00E97479">
        <w:t>Commercial mobility platforms also address short</w:t>
      </w:r>
      <w:r w:rsidRPr="00E97479">
        <w:noBreakHyphen/>
        <w:t>term motion prediction using map</w:t>
      </w:r>
      <w:r w:rsidRPr="00E97479">
        <w:noBreakHyphen/>
        <w:t>matching algorithms and route</w:t>
      </w:r>
      <w:r w:rsidRPr="00E97479">
        <w:noBreakHyphen/>
        <w:t>constrained forecasting. Ride</w:t>
      </w:r>
      <w:r w:rsidRPr="00E97479">
        <w:noBreakHyphen/>
        <w:t>sharing and navigation systems frequently combine GPS traces with road</w:t>
      </w:r>
      <w:r w:rsidRPr="00E97479">
        <w:noBreakHyphen/>
        <w:t>network information to infer likely paths and estimate near</w:t>
      </w:r>
      <w:r w:rsidRPr="00E97479">
        <w:noBreakHyphen/>
        <w:t>term movement (Zandbergen &amp; Barbeau, 2011). Large</w:t>
      </w:r>
      <w:r w:rsidRPr="00E97479">
        <w:noBreakHyphen/>
        <w:t>scale navigation systems such as Google Maps use learned motion models to predict driver arrival times and detect deviations from expected behavior, demonstrating the practical importance of short</w:t>
      </w:r>
      <w:r w:rsidRPr="00E97479">
        <w:noBreakHyphen/>
        <w:t>horizon forecasting in operational environments (Derrow-Pinion et al., 2021).</w:t>
      </w:r>
    </w:p>
    <w:p w14:paraId="3A75ECA0" w14:textId="77777777" w:rsidR="0077389B" w:rsidRPr="0077389B" w:rsidRDefault="0077389B" w:rsidP="0077389B">
      <w:r w:rsidRPr="0077389B">
        <w:t xml:space="preserve">Recent advances in machine learning have led to the adoption of sequence‑based neural models for trajectory prediction. Recurrent neural networks, particularly long short‑term memory (LSTM) networks and gated recurrent units (GRUs), were originally developed to capture long‑range temporal dependencies in sequential data (Hochreiter &amp; </w:t>
      </w:r>
      <w:proofErr w:type="spellStart"/>
      <w:r w:rsidRPr="0077389B">
        <w:t>Schmidhuber</w:t>
      </w:r>
      <w:proofErr w:type="spellEnd"/>
      <w:r w:rsidRPr="0077389B">
        <w:t>, 1997; Cho et al., 2014). These architectures have since been adapted for mobility forecasting, where they learn nonlinear relationships between displacement, speed, heading, and future motion. Studies applying LSTMs and GRUs to pedestrian and vehicle trajectories have shown substantial improvements over classical baselines, especially in settings with irregular motion patterns or noisy sensor inputs (Zheng et al., 2008).</w:t>
      </w:r>
    </w:p>
    <w:p w14:paraId="77EAB195" w14:textId="77777777" w:rsidR="0077389B" w:rsidRPr="0077389B" w:rsidRDefault="0077389B" w:rsidP="0077389B">
      <w:r w:rsidRPr="0077389B">
        <w:t xml:space="preserve">Temporal convolutional networks (TCNs) represent another major development in sequence modeling. By using dilated causal convolutions, TCNs can model long temporal contexts efficiently while maintaining stable gradients and low inference latency. Bai et al. (2018) demonstrated that TCNs outperform many recurrent architectures on sequence‑prediction tasks, making them well‑suited for real‑time </w:t>
      </w:r>
      <w:r w:rsidRPr="0077389B">
        <w:lastRenderedPageBreak/>
        <w:t>forecasting applications. Their ability to process sequences in parallel also makes them attractive for deployment in systems requiring rapid inference.</w:t>
      </w:r>
    </w:p>
    <w:p w14:paraId="2E22C52E" w14:textId="77777777" w:rsidR="0077389B" w:rsidRPr="0077389B" w:rsidRDefault="0077389B" w:rsidP="0077389B">
      <w:r w:rsidRPr="0077389B">
        <w:t>The suitability of these machine learning methods for GPS‑only forecasting is supported by extensive prior work using the Microsoft GeoLife GPS Trajectory Dataset. GeoLife contains more than 17,000 trajectories recorded by 182 users, with 91% of trajectories sampled every one to five seconds (Microsoft Research Asia, 2012). This dense sampling enables accurate derivation of kinematic features such as speed, acceleration, heading, and turn rate, which have been shown to improve the stability and accuracy of short‑horizon prediction models (Zheng et al., 2010). Research using GeoLife has demonstrated its effectiveness for mobility pattern mining, transportation mode classification, and location prediction, establishing it as a widely used benchmark for GPS‑based forecasting tasks.</w:t>
      </w:r>
    </w:p>
    <w:p w14:paraId="48C1951A" w14:textId="751D9F13" w:rsidR="0077389B" w:rsidRPr="0077389B" w:rsidRDefault="0077389B" w:rsidP="0077389B">
      <w:r w:rsidRPr="0077389B">
        <w:t xml:space="preserve">Several academic and commercial projects illustrate the application of these methods to problems </w:t>
      </w:r>
      <w:proofErr w:type="gramStart"/>
      <w:r w:rsidRPr="0077389B">
        <w:t>similar to</w:t>
      </w:r>
      <w:proofErr w:type="gramEnd"/>
      <w:r w:rsidRPr="0077389B">
        <w:t xml:space="preserve"> the one addressed in this capstone. LSTM‑based models have been used to predict pedestrian trajectories in crowded environments, vehicle motion in urban traffic, and multimodal mobility patterns across large‑scale GPS datasets (Zheng et al., 2008). GRU‑based encoder–decoder architectures have been applied to short‑term motion prediction in transportation networks, while TCNs have been used in real‑time mobility analytics where low latency and temporal stability are critical (Bai et al., 2018). Commercial navigation systems employ variants of kinematic and learned motion models to estimate driver arrival times and detect anomalous movement. Collectively, these examples demonstrate that sequence‑based neural architectures and derived kinematic features are well‑suited for </w:t>
      </w:r>
      <w:r w:rsidRPr="0077389B">
        <w:t>short‑horizon trajectory forecasting using GPS‑only inputs.</w:t>
      </w:r>
    </w:p>
    <w:p w14:paraId="4D7C49AD" w14:textId="7D6105F6" w:rsidR="00707C4E" w:rsidRDefault="00E74979" w:rsidP="0077389B">
      <w:pPr>
        <w:pStyle w:val="Heading1"/>
      </w:pPr>
      <w:r>
        <w:t>4 Methodology</w:t>
      </w:r>
    </w:p>
    <w:p w14:paraId="25B861E7" w14:textId="77777777" w:rsidR="00A93D4B" w:rsidRDefault="00A93D4B" w:rsidP="00A93D4B">
      <w:r>
        <w:t xml:space="preserve">The forecasting system developed for this project uses engineered kinematic features, sliding‑window sequence extraction, and three deep learning architectures—GRU, LSTM, and a Temporal Convolutional Network (TCN)—to predict short‑horizon motion from GPS‑derived inputs. A classical constant‑velocity baseline model is included to contextualize the performance of the learned models. This section describes the final model </w:t>
      </w:r>
      <w:proofErr w:type="gramStart"/>
      <w:r>
        <w:t>architectures</w:t>
      </w:r>
      <w:proofErr w:type="gramEnd"/>
      <w:r>
        <w:t>, preprocessing pipeline, training procedures, and optimization strategy used in the project. All performance outcomes are reserved for the Results section.</w:t>
      </w:r>
    </w:p>
    <w:p w14:paraId="23426A59" w14:textId="77777777" w:rsidR="00A93D4B" w:rsidRDefault="00A93D4B" w:rsidP="00A93D4B">
      <w:r>
        <w:t xml:space="preserve">The forecasting problem is formulated as a supervised sequence‑to‑sequence task. Each model receives a fixed‑length input window of twenty consecutive motion states and predicts the two‑dimensional displacement for the next five timesteps. Each motion state includes six engineered features derived from raw GPS coordinates: projected x and y position, instantaneous speed, heading, linear acceleration, and turn rate. These variables capture both translational and rotational motion dynamics and are commonly used in mobility modeling and navigation systems (Teunissen &amp; </w:t>
      </w:r>
      <w:proofErr w:type="spellStart"/>
      <w:r>
        <w:t>Montenbruck</w:t>
      </w:r>
      <w:proofErr w:type="spellEnd"/>
      <w:r>
        <w:t>, 2017; Sola, 2017). Their inclusion allows the models to learn short‑term motion patterns that influence future displacement.</w:t>
      </w:r>
    </w:p>
    <w:p w14:paraId="230CFFF2" w14:textId="77777777" w:rsidR="00A93D4B" w:rsidRDefault="00A93D4B" w:rsidP="00A93D4B">
      <w:r>
        <w:t xml:space="preserve">A simple kinematic baseline model was implemented to provide a lower‑bound reference for evaluating the learned architectures. The baseline assumes constant velocity over the prediction horizon by extrapolating the most recent observed displacement. Specifically, it computes the difference between the final two </w:t>
      </w:r>
      <w:r>
        <w:lastRenderedPageBreak/>
        <w:t xml:space="preserve">positions in the input window and repeats this displacement for each of the five future timesteps. Constant‑velocity models are widely used in navigation and tracking applications due to their simplicity and low computational cost (Teunissen &amp; </w:t>
      </w:r>
      <w:proofErr w:type="spellStart"/>
      <w:r>
        <w:t>Montenbruck</w:t>
      </w:r>
      <w:proofErr w:type="spellEnd"/>
      <w:r>
        <w:t>, 2017). Using the same window generator and evaluation metrics as the learned models ensures a fair comparison.</w:t>
      </w:r>
    </w:p>
    <w:p w14:paraId="20235333" w14:textId="77777777" w:rsidR="00A93D4B" w:rsidRDefault="00A93D4B" w:rsidP="00A93D4B">
      <w:r>
        <w:t xml:space="preserve">Three neural architectures were developed to explore different approaches to temporal modeling. The GRU model consists of a single gated recurrent unit layer with 64 hidden units, followed by a fully connected layer that maps the final hidden state to the ten displacement outputs. GRUs are designed to capture temporal dependencies efficiently through gating mechanisms that regulate information flow (Cho et al., 2014). The LSTM model mirrors this structure, replacing the GRU layer with a </w:t>
      </w:r>
      <w:proofErr w:type="gramStart"/>
      <w:r>
        <w:t>long short</w:t>
      </w:r>
      <w:proofErr w:type="gramEnd"/>
      <w:r>
        <w:t xml:space="preserve">‑term memory layer of the same width. LSTMs incorporate additional gating structures that help preserve long‑range temporal information and have been widely used in sequential prediction tasks (Hochreiter &amp; </w:t>
      </w:r>
      <w:proofErr w:type="spellStart"/>
      <w:r>
        <w:t>Schmidhuber</w:t>
      </w:r>
      <w:proofErr w:type="spellEnd"/>
      <w:r>
        <w:t>, 1997).</w:t>
      </w:r>
    </w:p>
    <w:p w14:paraId="358C63A1" w14:textId="77777777" w:rsidR="00A93D4B" w:rsidRDefault="00A93D4B" w:rsidP="00A93D4B">
      <w:r>
        <w:t xml:space="preserve">The TCN model incorporates </w:t>
      </w:r>
      <w:proofErr w:type="gramStart"/>
      <w:r>
        <w:t>a deeper</w:t>
      </w:r>
      <w:proofErr w:type="gramEnd"/>
      <w:r>
        <w:t xml:space="preserve"> and more expressive architecture. It uses five temporal convolutional blocks with dilation factors of 1, 2, 4, 8, and 16, enabling the receptive field to span and exceed the twenty‑step input window. Each block includes a dilated convolution, batch normalization, </w:t>
      </w:r>
      <w:proofErr w:type="spellStart"/>
      <w:r>
        <w:t>ReLU</w:t>
      </w:r>
      <w:proofErr w:type="spellEnd"/>
      <w:r>
        <w:t xml:space="preserve"> activation, dropout, and a residual connection. Dilated convolutions allow the model to capture long‑range temporal structure while maintaining stable gradients (Bai et al., 2018). To provide positional awareness, sinusoidal positional encodings are added to the input sequence, following techniques used in transformer‑based architectures (Vaswani et al., 2017). After the convolutional stack, a multi‑head </w:t>
      </w:r>
      <w:r>
        <w:t>self‑attention layer with four heads processes the temporal features, enabling the model to emphasize the most informative timesteps. A final fully connected layer maps the attended representation to the displacement outputs. This architecture was selected to evaluate whether convolutional temporal modeling and attention mechanisms can outperform recurrent baselines in short‑horizon forecasting.</w:t>
      </w:r>
    </w:p>
    <w:p w14:paraId="7F573351" w14:textId="77777777" w:rsidR="00A93D4B" w:rsidRDefault="00A93D4B" w:rsidP="00A93D4B">
      <w:r>
        <w:t>Training follows a unified pipeline across all models. The GeoLife dataset is split at the trajectory level into 60% training, 20% validation, and 20% test sets to prevent leakage between segments of the same trajectory (Microsoft Research Asia, 2012). Global normalization parameters are computed across all training trajectories, and each sliding window is additionally normalized on a per‑window basis to stabilize training. A streaming window generator produces batches of input windows and future displacement targets without loading all windows into memory simultaneously. Because some GeoLife trajectories contain tens of thousands of samples, adaptive caps are applied to limit the number of windows extracted from any single trajectory, ensuring consistent batch sizes and preventing memory exhaustion.</w:t>
      </w:r>
    </w:p>
    <w:p w14:paraId="17B09300" w14:textId="77777777" w:rsidR="00A93D4B" w:rsidRDefault="00A93D4B" w:rsidP="00A93D4B">
      <w:r>
        <w:t>All models are trained using the Adam optimizer with a learning rate of 1×10⁻³ and mean squared error loss. Training proceeds for twenty epochs, with progress and system‑resource heartbeats logged periodically. The batch size is implicitly determined by the number of windows generated per trajectory, which varies depending on trajectory length and the adaptive caps. This approach maintains computational feasibility while preserving the temporal diversity of the dataset.</w:t>
      </w:r>
    </w:p>
    <w:p w14:paraId="5FBB5194" w14:textId="74982A91" w:rsidR="00A93D4B" w:rsidRDefault="00A93D4B" w:rsidP="00A93D4B">
      <w:r>
        <w:t xml:space="preserve">Model optimization involved iterative adjustments to architectural and training hyperparameters. </w:t>
      </w:r>
      <w:r w:rsidRPr="00436405">
        <w:rPr>
          <w:rFonts w:cstheme="majorBidi"/>
        </w:rPr>
        <w:lastRenderedPageBreak/>
        <w:t>Hidden sizes of 32, 64, and 128 were evaluated for the recurrent models, along with variations in dropout rates and learning rates. For the TCN, the number of convolutional layers, dilation schedule, and attention‑head count were explored. Window caps were tuned to balance memory constraints with training diversity. These optimization experiments informed the final architecture selections described above; comparative performance outcomes are presented in the Results section.</w:t>
      </w:r>
    </w:p>
    <w:p w14:paraId="03A27C80" w14:textId="77777777" w:rsidR="00707C4E" w:rsidRDefault="00E74979">
      <w:pPr>
        <w:pStyle w:val="Heading1"/>
      </w:pPr>
      <w:r>
        <w:t>5 Results</w:t>
      </w:r>
    </w:p>
    <w:p w14:paraId="0B8EF2D9" w14:textId="77777777" w:rsidR="00707C4E" w:rsidRDefault="00E74979">
      <w:r>
        <w:t xml:space="preserve">This section of your final report should describe how your model/system performed and provide evidence for how your work did or did not support your experimental hypothesis or solve your chosen problem. The reader should be able to answer the following questions: </w:t>
      </w:r>
    </w:p>
    <w:p w14:paraId="06073917" w14:textId="77777777" w:rsidR="00707C4E" w:rsidRDefault="00E74979">
      <w:pPr>
        <w:pStyle w:val="ListParagraph"/>
        <w:numPr>
          <w:ilvl w:val="0"/>
          <w:numId w:val="7"/>
        </w:numPr>
      </w:pPr>
      <w:r>
        <w:t xml:space="preserve">How effective was your machine learning model at learning the task? e.g. Did the model overfit/underfit the training data? What does the training accuracy/loss curve look like for your model? </w:t>
      </w:r>
    </w:p>
    <w:p w14:paraId="5E25DB0E" w14:textId="77777777" w:rsidR="00707C4E" w:rsidRDefault="00E74979">
      <w:pPr>
        <w:pStyle w:val="ListParagraph"/>
        <w:numPr>
          <w:ilvl w:val="0"/>
          <w:numId w:val="7"/>
        </w:numPr>
      </w:pPr>
      <w:r>
        <w:t xml:space="preserve">If your project is focused on answering a research question, what evidence do you have to support or disprove your hypothesis? </w:t>
      </w:r>
    </w:p>
    <w:p w14:paraId="6D518EA9" w14:textId="77777777" w:rsidR="00707C4E" w:rsidRDefault="00E74979">
      <w:pPr>
        <w:pStyle w:val="ListParagraph"/>
        <w:numPr>
          <w:ilvl w:val="0"/>
          <w:numId w:val="7"/>
        </w:numPr>
      </w:pPr>
      <w:r>
        <w:t xml:space="preserve">If your project is focused on solving a problem, how will your model performance affect the application of your model to that problem? </w:t>
      </w:r>
    </w:p>
    <w:p w14:paraId="6CDADCC8" w14:textId="77777777" w:rsidR="00707C4E" w:rsidRDefault="00E74979">
      <w:pPr>
        <w:pStyle w:val="ListParagraph"/>
        <w:numPr>
          <w:ilvl w:val="0"/>
          <w:numId w:val="7"/>
        </w:numPr>
        <w:rPr>
          <w:rFonts w:eastAsia="Times New Roman"/>
        </w:rPr>
      </w:pPr>
      <w:r>
        <w:t>If your project is focused on implementing a complete machine learning system, what is the user experience? Are there any delays or remaining bugs that affect your model output either in common or edge use cases?</w:t>
      </w:r>
    </w:p>
    <w:p w14:paraId="159EEC7E" w14:textId="77777777" w:rsidR="00707C4E" w:rsidRDefault="0030118F" w:rsidP="00CC0879">
      <w:pPr>
        <w:pStyle w:val="Heading1"/>
        <w:rPr>
          <w:rFonts w:cs="Linux Libertine"/>
        </w:rPr>
      </w:pPr>
      <w:r w:rsidRPr="00CC0879">
        <w:rPr>
          <w:rFonts w:cs="Linux Libertine"/>
        </w:rPr>
        <w:t>6</w:t>
      </w:r>
      <w:r>
        <w:tab/>
      </w:r>
      <w:r w:rsidRPr="00CC0879">
        <w:rPr>
          <w:rFonts w:cs="Linux Libertine"/>
        </w:rPr>
        <w:t>Conclusion</w:t>
      </w:r>
    </w:p>
    <w:p w14:paraId="094A2FC7" w14:textId="77777777" w:rsidR="00707C4E" w:rsidRDefault="00E74979">
      <w:pPr>
        <w:spacing w:before="20"/>
        <w:rPr>
          <w:rFonts w:asciiTheme="majorBidi" w:hAnsiTheme="majorBidi" w:cstheme="majorBidi"/>
        </w:rPr>
      </w:pPr>
      <w:r>
        <w:rPr>
          <w:rFonts w:cstheme="majorBidi"/>
        </w:rPr>
        <w:t xml:space="preserve">This section of your final report should provide a very </w:t>
      </w:r>
      <w:proofErr w:type="gramStart"/>
      <w:r>
        <w:rPr>
          <w:rFonts w:cstheme="majorBidi"/>
        </w:rPr>
        <w:t>brief summary</w:t>
      </w:r>
      <w:proofErr w:type="gramEnd"/>
      <w:r>
        <w:rPr>
          <w:rFonts w:cstheme="majorBidi"/>
        </w:rPr>
        <w:t xml:space="preserve"> of your entire project. It should highlight the most interesting or significant results and discuss any future work that you or another researcher might do. The reader should be able to answer the following questions:</w:t>
      </w:r>
    </w:p>
    <w:p w14:paraId="7A7C3F77" w14:textId="77777777" w:rsidR="00707C4E" w:rsidRDefault="0030118F" w:rsidP="007F2BA0">
      <w:pPr>
        <w:pStyle w:val="ListParagraph"/>
        <w:numPr>
          <w:ilvl w:val="0"/>
          <w:numId w:val="8"/>
        </w:numPr>
      </w:pPr>
      <w:r w:rsidRPr="007F2BA0">
        <w:t>What was the main hypothesis or goal of the project, and how did your models perform in relation to this hypothesis/goal?</w:t>
      </w:r>
    </w:p>
    <w:p w14:paraId="538A274E" w14:textId="77777777" w:rsidR="00707C4E" w:rsidRDefault="0030118F" w:rsidP="0027443C">
      <w:pPr>
        <w:pStyle w:val="ListParagraph"/>
        <w:numPr>
          <w:ilvl w:val="0"/>
          <w:numId w:val="8"/>
        </w:numPr>
      </w:pPr>
      <w:r w:rsidRPr="0027443C">
        <w:t>What was the most interesting or significant result of your project?</w:t>
      </w:r>
    </w:p>
    <w:p w14:paraId="2A286187" w14:textId="77777777" w:rsidR="00707C4E" w:rsidRDefault="0030118F" w:rsidP="00945B6B">
      <w:pPr>
        <w:pStyle w:val="ListParagraph"/>
        <w:numPr>
          <w:ilvl w:val="0"/>
          <w:numId w:val="8"/>
        </w:numPr>
      </w:pPr>
      <w:r w:rsidRPr="00945B6B">
        <w:t>Did your model training or performance bring about any unexpected results?</w:t>
      </w:r>
    </w:p>
    <w:p w14:paraId="060F55AA" w14:textId="77777777" w:rsidR="00707C4E" w:rsidRDefault="0030118F" w:rsidP="008D347B">
      <w:pPr>
        <w:pStyle w:val="ListParagraph"/>
        <w:numPr>
          <w:ilvl w:val="0"/>
          <w:numId w:val="8"/>
        </w:numPr>
      </w:pPr>
      <w:r w:rsidRPr="008D347B">
        <w:t>If you were to continue this project, what would your next steps be? For example, would you continue to optimize your model or try other model architectures? Would you change or expand the data used in your model? What steps need to be taken to “productionize” your model?</w:t>
      </w:r>
    </w:p>
    <w:p w14:paraId="3F5943F4" w14:textId="77777777" w:rsidR="00707C4E" w:rsidRDefault="0030118F" w:rsidP="00FD3A21">
      <w:pPr>
        <w:pStyle w:val="Heading1"/>
        <w:rPr>
          <w:rFonts w:cs="Linux Libertine"/>
        </w:rPr>
      </w:pPr>
      <w:r>
        <w:rPr>
          <w:highlight w:val="yellow"/>
        </w:rPr>
        <w:t>7</w:t>
      </w:r>
      <w:r>
        <w:tab/>
      </w:r>
      <w:r>
        <w:rPr>
          <w:highlight w:val="yellow"/>
        </w:rPr>
        <w:t>FORMATTING EXAMPLES</w:t>
      </w:r>
    </w:p>
    <w:p w14:paraId="7C9BC076" w14:textId="77777777" w:rsidR="00707C4E" w:rsidRDefault="00E74979">
      <w:pPr>
        <w:rPr>
          <w:highlight w:val="yellow"/>
        </w:rPr>
      </w:pPr>
      <w:r>
        <w:rPr>
          <w:highlight w:val="yellow"/>
        </w:rPr>
        <w:t>DELETE THIS SECTION BEFORE FINAL SUBMISSION</w:t>
      </w:r>
    </w:p>
    <w:p w14:paraId="7E337B94" w14:textId="77777777" w:rsidR="00707C4E" w:rsidRDefault="00E74979">
      <w:pPr>
        <w:pStyle w:val="Heading2"/>
      </w:pPr>
      <w:r>
        <w:t>7.1</w:t>
      </w:r>
      <w:r>
        <w:tab/>
        <w:t>General Formatting</w:t>
      </w:r>
    </w:p>
    <w:p w14:paraId="1818E1C4" w14:textId="77777777" w:rsidR="00707C4E" w:rsidRDefault="00E74979">
      <w:pPr>
        <w:rPr>
          <w:rFonts w:eastAsia="Times New Roman" w:cs="Times New Roman"/>
        </w:rPr>
      </w:pPr>
      <w:r>
        <w:rPr>
          <w:rFonts w:eastAsia="Times New Roman" w:cs="Times New Roman"/>
        </w:rPr>
        <w:t xml:space="preserve">A formal report of this type should be primarily in paragraph form, with minimal subheadings, bullet points, or numbered lists. For most of your required report sections, no subheadings will be necessary, and the information can be presented as a single, cohesive discussion of the content relevant to that section. </w:t>
      </w:r>
      <w:proofErr w:type="gramStart"/>
      <w:r>
        <w:rPr>
          <w:rFonts w:eastAsia="Times New Roman" w:cs="Times New Roman"/>
        </w:rPr>
        <w:t>As a general rule</w:t>
      </w:r>
      <w:proofErr w:type="gramEnd"/>
      <w:r>
        <w:rPr>
          <w:rFonts w:eastAsia="Times New Roman" w:cs="Times New Roman"/>
        </w:rPr>
        <w:t xml:space="preserve"> of thumb, </w:t>
      </w:r>
      <w:proofErr w:type="gramStart"/>
      <w:r>
        <w:rPr>
          <w:rFonts w:eastAsia="Times New Roman" w:cs="Times New Roman"/>
        </w:rPr>
        <w:t>bulleted</w:t>
      </w:r>
      <w:proofErr w:type="gramEnd"/>
      <w:r>
        <w:rPr>
          <w:rFonts w:eastAsia="Times New Roman" w:cs="Times New Roman"/>
        </w:rPr>
        <w:t xml:space="preserve"> or numbered lists are only appropriate in this kind of report if the list items are less than one sentence, but are too long/detailed to be presented in a table.</w:t>
      </w:r>
    </w:p>
    <w:p w14:paraId="0D99DF91" w14:textId="77777777" w:rsidR="00707C4E" w:rsidRDefault="00E74979">
      <w:r>
        <w:t xml:space="preserve">If you feel strongly that your content would benefit from subheadings or </w:t>
      </w:r>
      <w:proofErr w:type="gramStart"/>
      <w:r>
        <w:t>bulleted</w:t>
      </w:r>
      <w:proofErr w:type="gramEnd"/>
      <w:r>
        <w:t xml:space="preserve">/numbered lists, they </w:t>
      </w:r>
      <w:r>
        <w:lastRenderedPageBreak/>
        <w:t>should follow the formatting examples used in this section.</w:t>
      </w:r>
    </w:p>
    <w:p w14:paraId="63227C77" w14:textId="77777777" w:rsidR="00707C4E" w:rsidRDefault="00E74979">
      <w:pPr>
        <w:pStyle w:val="Heading2"/>
      </w:pPr>
      <w:r>
        <w:t>7.2</w:t>
      </w:r>
      <w:r>
        <w:tab/>
        <w:t>In-text Citations</w:t>
      </w:r>
    </w:p>
    <w:p w14:paraId="3D0DC350" w14:textId="77777777" w:rsidR="00707C4E" w:rsidRDefault="00E74979">
      <w:pPr>
        <w:rPr>
          <w:rFonts w:eastAsia="Times New Roman" w:cs="Times New Roman"/>
        </w:rPr>
      </w:pPr>
      <w:r>
        <w:rPr>
          <w:rFonts w:eastAsia="Times New Roman" w:cs="Times New Roman"/>
        </w:rPr>
        <w:t xml:space="preserve">A report of this type should be heavily supported by in-text citations. You should include a new supporting citation in each section for: </w:t>
      </w:r>
    </w:p>
    <w:p w14:paraId="540AA4FC" w14:textId="77777777" w:rsidR="00707C4E" w:rsidRDefault="00E74979">
      <w:pPr>
        <w:pStyle w:val="ListParagraph"/>
        <w:spacing w:before="240" w:after="240"/>
        <w:ind w:hanging="360"/>
        <w:rPr>
          <w:rFonts w:eastAsia="Times New Roman"/>
        </w:rPr>
      </w:pPr>
      <w:r>
        <w:rPr>
          <w:rFonts w:eastAsia="Times New Roman"/>
        </w:rPr>
        <w:t xml:space="preserve">The first time that you mention a specific </w:t>
      </w:r>
      <w:proofErr w:type="gramStart"/>
      <w:r>
        <w:rPr>
          <w:rFonts w:eastAsia="Times New Roman"/>
        </w:rPr>
        <w:t>code library</w:t>
      </w:r>
      <w:proofErr w:type="gramEnd"/>
      <w:r>
        <w:rPr>
          <w:rFonts w:eastAsia="Times New Roman"/>
        </w:rPr>
        <w:t xml:space="preserve"> or dataset,</w:t>
      </w:r>
    </w:p>
    <w:p w14:paraId="376837FB" w14:textId="77777777" w:rsidR="00707C4E" w:rsidRDefault="00E74979">
      <w:pPr>
        <w:pStyle w:val="ListParagraph"/>
        <w:spacing w:before="240" w:after="240"/>
        <w:ind w:hanging="360"/>
        <w:rPr>
          <w:rFonts w:eastAsia="Times New Roman"/>
        </w:rPr>
      </w:pPr>
      <w:r>
        <w:rPr>
          <w:rFonts w:eastAsia="Times New Roman"/>
        </w:rPr>
        <w:t>The first time that you introduce a pre-trained model or model architecture,</w:t>
      </w:r>
    </w:p>
    <w:p w14:paraId="34386942" w14:textId="77777777" w:rsidR="00707C4E" w:rsidRDefault="00E74979">
      <w:pPr>
        <w:pStyle w:val="ListParagraph"/>
        <w:spacing w:before="240" w:after="240"/>
        <w:ind w:hanging="360"/>
        <w:rPr>
          <w:rFonts w:eastAsia="Times New Roman"/>
        </w:rPr>
      </w:pPr>
      <w:r>
        <w:rPr>
          <w:rFonts w:eastAsia="Times New Roman"/>
        </w:rPr>
        <w:t>Any information that is not your own original thought/idea, even if you didn't need to look it up.</w:t>
      </w:r>
    </w:p>
    <w:p w14:paraId="732AD0FB" w14:textId="77777777" w:rsidR="00707C4E" w:rsidRDefault="00E74979">
      <w:pPr>
        <w:rPr>
          <w:rFonts w:eastAsia="Times New Roman" w:cs="Times New Roman"/>
        </w:rPr>
      </w:pPr>
      <w:r>
        <w:rPr>
          <w:rFonts w:eastAsia="Times New Roman" w:cs="Times New Roman"/>
        </w:rPr>
        <w:t>When in doubt, it is always better to over-cite than to under-cite.</w:t>
      </w:r>
    </w:p>
    <w:p w14:paraId="4CA01C60" w14:textId="77777777" w:rsidR="00707C4E" w:rsidRDefault="00E74979">
      <w:pPr>
        <w:rPr>
          <w:rFonts w:eastAsia="Times New Roman" w:cs="Times New Roman"/>
        </w:rPr>
      </w:pPr>
      <w:r>
        <w:rPr>
          <w:rFonts w:eastAsia="Times New Roman" w:cs="Times New Roman"/>
        </w:rPr>
        <w:t>Formatting rules for in-text citations can be found in the APA guidelines, but examples of the three most common uses are discussed in the following paragraphs.</w:t>
      </w:r>
    </w:p>
    <w:p w14:paraId="345B5C10" w14:textId="77777777" w:rsidR="00707C4E" w:rsidRDefault="0030118F" w:rsidP="00060F85">
      <w:r>
        <w:rPr>
          <w:i/>
          <w:iCs/>
        </w:rPr>
        <w:t>Parenthetical citations at the end of a sentence</w:t>
      </w:r>
      <w:r>
        <w:t xml:space="preserve"> should be used when the information from the entire sentence comes from the cited source (American Psychological Association, </w:t>
      </w:r>
      <w:r w:rsidR="009A321A" w:rsidRPr="009A321A">
        <w:t>2024</w:t>
      </w:r>
      <w:r>
        <w:t>).</w:t>
      </w:r>
    </w:p>
    <w:p w14:paraId="4487616C" w14:textId="77777777" w:rsidR="00707C4E" w:rsidRDefault="00E74979">
      <w:r>
        <w:rPr>
          <w:i/>
          <w:iCs/>
        </w:rPr>
        <w:t>Parenthetical citations mid-sentence</w:t>
      </w:r>
      <w:r>
        <w:t xml:space="preserve"> should be used when only a part of the sentence comes from the cited source, or when you are providing a citation for something specific such as a company, model architecture/method, or technique. See the following examples for a sentence with multiple mid-sentence citations and a sentence with a specific mid-sentence citation below:</w:t>
      </w:r>
    </w:p>
    <w:p w14:paraId="18B15882" w14:textId="77777777" w:rsidR="00707C4E" w:rsidRDefault="00E74979">
      <w:pPr>
        <w:pStyle w:val="ListParagraph"/>
        <w:numPr>
          <w:ilvl w:val="0"/>
          <w:numId w:val="9"/>
        </w:numPr>
      </w:pPr>
      <w:r>
        <w:t xml:space="preserve">The transformer model was introduced in 2017 for the application of machine translation (Vaswani et al., 2017) and quickly became the most common backbone for today’s large language </w:t>
      </w:r>
      <w:r>
        <w:t>models (Devlin et al., 2019; Radford et al., 2019).</w:t>
      </w:r>
    </w:p>
    <w:p w14:paraId="669D38C2" w14:textId="77777777" w:rsidR="00707C4E" w:rsidRDefault="00E74979">
      <w:pPr>
        <w:pStyle w:val="ListParagraph"/>
        <w:numPr>
          <w:ilvl w:val="0"/>
          <w:numId w:val="9"/>
        </w:numPr>
      </w:pPr>
      <w:r>
        <w:t>As one of the first transformer-based generative text models, OpenAI’s GPT (Radford et al., 2019) quickly became the standard large language architecture used for generative tasks.</w:t>
      </w:r>
    </w:p>
    <w:p w14:paraId="389759E5" w14:textId="77777777" w:rsidR="00707C4E" w:rsidRDefault="00707C4E">
      <w:pPr>
        <w:pStyle w:val="ListParagraph"/>
        <w:numPr>
          <w:ilvl w:val="0"/>
          <w:numId w:val="0"/>
        </w:numPr>
        <w:ind w:left="720"/>
      </w:pPr>
    </w:p>
    <w:p w14:paraId="216083DB" w14:textId="77777777" w:rsidR="00707C4E" w:rsidRDefault="00E74979">
      <w:r>
        <w:rPr>
          <w:i/>
          <w:iCs/>
        </w:rPr>
        <w:t>Narrative in-text citations</w:t>
      </w:r>
      <w:r>
        <w:t xml:space="preserve"> can be used when you want to include the name of the author(s) in your main text, as shown in the following example:</w:t>
      </w:r>
    </w:p>
    <w:p w14:paraId="0EAF1DFC" w14:textId="77777777" w:rsidR="00707C4E" w:rsidRDefault="00E74979">
      <w:pPr>
        <w:ind w:left="720"/>
      </w:pPr>
      <w:r>
        <w:t>Vaswani et al. (2017) originally developed the transformer architecture for the application of machine translation.</w:t>
      </w:r>
    </w:p>
    <w:p w14:paraId="6F1E1394" w14:textId="77777777" w:rsidR="00707C4E" w:rsidRDefault="00E74979">
      <w:pPr>
        <w:pStyle w:val="Heading2"/>
      </w:pPr>
      <w:r>
        <w:t>7.3</w:t>
      </w:r>
      <w:r>
        <w:tab/>
        <w:t>Figures, Tables, and Equations</w:t>
      </w:r>
    </w:p>
    <w:p w14:paraId="6FE1F618" w14:textId="77777777" w:rsidR="00707C4E" w:rsidRDefault="00E74979">
      <w:r>
        <w:t>Most of your supporting content should be included in the main text of the report, rather than at the end. While the in-line formatting can be a headache, this makes it easier for your reader to reference your figures and tables while reading, without having to scroll back and forth too much. See Section 7.5 for more details about how to properly use appendices for supplemental information.</w:t>
      </w:r>
    </w:p>
    <w:p w14:paraId="4AAAF51F" w14:textId="77777777" w:rsidR="00707C4E" w:rsidRDefault="00E74979">
      <w:pPr>
        <w:pStyle w:val="Heading3"/>
      </w:pPr>
      <w:r>
        <w:t>7.3.1</w:t>
      </w:r>
      <w:r>
        <w:tab/>
        <w:t>Figures</w:t>
      </w:r>
    </w:p>
    <w:p w14:paraId="1B8A9096" w14:textId="77777777" w:rsidR="00707C4E" w:rsidRDefault="00E74979">
      <w:r>
        <w:t xml:space="preserve">Figures should be numbered sequentially </w:t>
      </w:r>
      <w:r>
        <w:rPr>
          <w:i/>
          <w:iCs/>
        </w:rPr>
        <w:t>below</w:t>
      </w:r>
      <w:r>
        <w:t xml:space="preserve"> the image and referred to directly in your text (e.g. “As seen in Figure 7.1 [...]”, “Figure 7.1 shows [...]”). If your figure is important enough to include in your report, then it deserves at least one sentence of discussion in the text. </w:t>
      </w:r>
    </w:p>
    <w:p w14:paraId="2DD99AAB" w14:textId="77777777" w:rsidR="00707C4E" w:rsidRDefault="00E74979">
      <w:r>
        <w:t>Each figure should also have a corresponding caption that briefly describes the content of the figure and can be used to highlight important details. If your figure is too complex to be limited to a single column width, you can include it as a full-width image at the top of the page.</w:t>
      </w:r>
    </w:p>
    <w:p w14:paraId="100F533D" w14:textId="77777777" w:rsidR="00707C4E" w:rsidRDefault="00E74979">
      <w:pPr>
        <w:pStyle w:val="Caption"/>
      </w:pPr>
      <w:r>
        <w:rPr>
          <w:noProof/>
        </w:rPr>
        <w:lastRenderedPageBreak/>
        <w:drawing>
          <wp:inline distT="0" distB="0" distL="0" distR="0" wp14:anchorId="09E97ADB" wp14:editId="5D1ACF3E">
            <wp:extent cx="3048000" cy="1781175"/>
            <wp:effectExtent l="0" t="0" r="0" b="0"/>
            <wp:docPr id="1" name="image1.jpg" descr="Abstract particle graph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bstract particle graph background"/>
                    <pic:cNvPicPr>
                      <a:picLocks noChangeAspect="1" noChangeArrowheads="1"/>
                    </pic:cNvPicPr>
                  </pic:nvPicPr>
                  <pic:blipFill>
                    <a:blip r:embed="rId16"/>
                    <a:stretch>
                      <a:fillRect/>
                    </a:stretch>
                  </pic:blipFill>
                  <pic:spPr bwMode="auto">
                    <a:xfrm>
                      <a:off x="0" y="0"/>
                      <a:ext cx="3048000" cy="1781175"/>
                    </a:xfrm>
                    <a:prstGeom prst="rect">
                      <a:avLst/>
                    </a:prstGeom>
                  </pic:spPr>
                </pic:pic>
              </a:graphicData>
            </a:graphic>
          </wp:inline>
        </w:drawing>
      </w:r>
      <w:r>
        <w:t>Figure 7.1</w:t>
      </w:r>
    </w:p>
    <w:p w14:paraId="36F8F8B8" w14:textId="77777777" w:rsidR="00707C4E" w:rsidRDefault="00E74979">
      <w:pPr>
        <w:pStyle w:val="Caption"/>
      </w:pPr>
      <w:r>
        <w:t>Example text: Model accuracy for our six models during training. The best performing model is shown in red.</w:t>
      </w:r>
    </w:p>
    <w:p w14:paraId="086A6F1B" w14:textId="77777777" w:rsidR="00707C4E" w:rsidRDefault="00E74979">
      <w:pPr>
        <w:pStyle w:val="Heading3"/>
      </w:pPr>
      <w:r>
        <w:t>7.3.2</w:t>
      </w:r>
      <w:r>
        <w:tab/>
        <w:t>Tables</w:t>
      </w:r>
    </w:p>
    <w:p w14:paraId="7635247D" w14:textId="77777777" w:rsidR="00707C4E" w:rsidRDefault="00E74979">
      <w:r>
        <w:t xml:space="preserve">Tables should be numbered sequentially above the table and should have an in-text mention and a descriptive caption, like the figure examples given above. </w:t>
      </w:r>
    </w:p>
    <w:p w14:paraId="27FF9974" w14:textId="77777777" w:rsidR="00707C4E" w:rsidRDefault="0030118F" w:rsidP="005B2C14">
      <w:r>
        <w:t>Feel free to improve the default MS Word table formatting shown here for aesthetic appeal (e.g. change cell size, border width, font size, etc.). If you have a favorite table formatting tool (e.g. LaTeX, Pandas pretty print, etc.), feel free to use that and include the output as an image. However, please ensure that the image quality is legible and the formatting generally matches the rest of the report</w:t>
      </w:r>
      <w:r w:rsidR="0004610F" w:rsidRPr="0004610F">
        <w:t xml:space="preserve">. Do not </w:t>
      </w:r>
      <w:r>
        <w:t>include screenshots of raw code output</w:t>
      </w:r>
      <w:r w:rsidR="0004610F" w:rsidRPr="0004610F">
        <w:t xml:space="preserve">; </w:t>
      </w:r>
      <w:r>
        <w:t>it is not professional to include dark mode or Courier New code output, or screenshots of your console window.</w:t>
      </w:r>
    </w:p>
    <w:p w14:paraId="124D50B3" w14:textId="77777777" w:rsidR="00707C4E" w:rsidRDefault="00E74979">
      <w:pPr>
        <w:pStyle w:val="Caption"/>
        <w:rPr>
          <w:sz w:val="24"/>
          <w:szCs w:val="24"/>
        </w:rPr>
      </w:pPr>
      <w:r>
        <w:t>Table 7.1</w:t>
      </w:r>
    </w:p>
    <w:p w14:paraId="3B1DA03F" w14:textId="77777777" w:rsidR="00707C4E" w:rsidRDefault="00E74979">
      <w:pPr>
        <w:pStyle w:val="Caption"/>
        <w:rPr>
          <w:i/>
          <w:iCs/>
          <w:sz w:val="24"/>
          <w:szCs w:val="24"/>
        </w:rPr>
      </w:pPr>
      <w:r>
        <w:t xml:space="preserve">Example text: Results for all three models over the standard benchmarking metrics. Highlighted cells show the best performance for each metric. </w:t>
      </w:r>
    </w:p>
    <w:tbl>
      <w:tblPr>
        <w:tblStyle w:val="TableGrid"/>
        <w:tblW w:w="4670" w:type="dxa"/>
        <w:tblLayout w:type="fixed"/>
        <w:tblLook w:val="04A0" w:firstRow="1" w:lastRow="0" w:firstColumn="1" w:lastColumn="0" w:noHBand="0" w:noVBand="1"/>
      </w:tblPr>
      <w:tblGrid>
        <w:gridCol w:w="934"/>
        <w:gridCol w:w="934"/>
        <w:gridCol w:w="934"/>
        <w:gridCol w:w="934"/>
        <w:gridCol w:w="934"/>
      </w:tblGrid>
      <w:tr w:rsidR="00707C4E" w14:paraId="7CDA6F1F" w14:textId="77777777">
        <w:trPr>
          <w:trHeight w:val="300"/>
        </w:trPr>
        <w:tc>
          <w:tcPr>
            <w:tcW w:w="934" w:type="dxa"/>
          </w:tcPr>
          <w:p w14:paraId="7A9953B8" w14:textId="77777777" w:rsidR="00707C4E" w:rsidRDefault="00707C4E">
            <w:pPr>
              <w:jc w:val="left"/>
              <w:rPr>
                <w:rFonts w:asciiTheme="majorBidi" w:eastAsia="Linux Libertine" w:hAnsiTheme="majorBidi" w:cstheme="majorBidi"/>
              </w:rPr>
            </w:pPr>
          </w:p>
        </w:tc>
        <w:tc>
          <w:tcPr>
            <w:tcW w:w="934" w:type="dxa"/>
          </w:tcPr>
          <w:p w14:paraId="672DBAF1" w14:textId="77777777" w:rsidR="00707C4E" w:rsidRDefault="00707C4E">
            <w:pPr>
              <w:jc w:val="left"/>
              <w:rPr>
                <w:rFonts w:asciiTheme="majorBidi" w:eastAsia="Linux Libertine" w:hAnsiTheme="majorBidi" w:cstheme="majorBidi"/>
              </w:rPr>
            </w:pPr>
          </w:p>
        </w:tc>
        <w:tc>
          <w:tcPr>
            <w:tcW w:w="934" w:type="dxa"/>
          </w:tcPr>
          <w:p w14:paraId="6069AE8D" w14:textId="77777777" w:rsidR="00707C4E" w:rsidRDefault="00707C4E">
            <w:pPr>
              <w:jc w:val="left"/>
              <w:rPr>
                <w:rFonts w:asciiTheme="majorBidi" w:eastAsia="Linux Libertine" w:hAnsiTheme="majorBidi" w:cstheme="majorBidi"/>
              </w:rPr>
            </w:pPr>
          </w:p>
        </w:tc>
        <w:tc>
          <w:tcPr>
            <w:tcW w:w="934" w:type="dxa"/>
          </w:tcPr>
          <w:p w14:paraId="515A52DB" w14:textId="77777777" w:rsidR="00707C4E" w:rsidRDefault="00707C4E">
            <w:pPr>
              <w:jc w:val="left"/>
              <w:rPr>
                <w:rFonts w:asciiTheme="majorBidi" w:eastAsia="Linux Libertine" w:hAnsiTheme="majorBidi" w:cstheme="majorBidi"/>
              </w:rPr>
            </w:pPr>
          </w:p>
        </w:tc>
        <w:tc>
          <w:tcPr>
            <w:tcW w:w="934" w:type="dxa"/>
          </w:tcPr>
          <w:p w14:paraId="11296A29" w14:textId="77777777" w:rsidR="00707C4E" w:rsidRDefault="00707C4E">
            <w:pPr>
              <w:jc w:val="left"/>
              <w:rPr>
                <w:rFonts w:asciiTheme="majorBidi" w:eastAsia="Linux Libertine" w:hAnsiTheme="majorBidi" w:cstheme="majorBidi"/>
              </w:rPr>
            </w:pPr>
          </w:p>
        </w:tc>
      </w:tr>
      <w:tr w:rsidR="00707C4E" w14:paraId="2202CDAE" w14:textId="77777777">
        <w:trPr>
          <w:trHeight w:val="300"/>
        </w:trPr>
        <w:tc>
          <w:tcPr>
            <w:tcW w:w="934" w:type="dxa"/>
          </w:tcPr>
          <w:p w14:paraId="62E5FC5C" w14:textId="77777777" w:rsidR="00707C4E" w:rsidRDefault="00707C4E">
            <w:pPr>
              <w:jc w:val="left"/>
              <w:rPr>
                <w:rFonts w:asciiTheme="majorBidi" w:eastAsia="Linux Libertine" w:hAnsiTheme="majorBidi" w:cstheme="majorBidi"/>
              </w:rPr>
            </w:pPr>
          </w:p>
        </w:tc>
        <w:tc>
          <w:tcPr>
            <w:tcW w:w="934" w:type="dxa"/>
          </w:tcPr>
          <w:p w14:paraId="2C0F3841" w14:textId="77777777" w:rsidR="00707C4E" w:rsidRDefault="00707C4E">
            <w:pPr>
              <w:jc w:val="left"/>
              <w:rPr>
                <w:rFonts w:asciiTheme="majorBidi" w:eastAsia="Linux Libertine" w:hAnsiTheme="majorBidi" w:cstheme="majorBidi"/>
              </w:rPr>
            </w:pPr>
          </w:p>
        </w:tc>
        <w:tc>
          <w:tcPr>
            <w:tcW w:w="934" w:type="dxa"/>
          </w:tcPr>
          <w:p w14:paraId="5EEDDF7E" w14:textId="77777777" w:rsidR="00707C4E" w:rsidRDefault="00707C4E">
            <w:pPr>
              <w:jc w:val="left"/>
              <w:rPr>
                <w:rFonts w:asciiTheme="majorBidi" w:eastAsia="Linux Libertine" w:hAnsiTheme="majorBidi" w:cstheme="majorBidi"/>
              </w:rPr>
            </w:pPr>
          </w:p>
        </w:tc>
        <w:tc>
          <w:tcPr>
            <w:tcW w:w="934" w:type="dxa"/>
          </w:tcPr>
          <w:p w14:paraId="66A3C25B" w14:textId="77777777" w:rsidR="00707C4E" w:rsidRDefault="00707C4E">
            <w:pPr>
              <w:jc w:val="left"/>
              <w:rPr>
                <w:rFonts w:asciiTheme="majorBidi" w:eastAsia="Linux Libertine" w:hAnsiTheme="majorBidi" w:cstheme="majorBidi"/>
              </w:rPr>
            </w:pPr>
          </w:p>
        </w:tc>
        <w:tc>
          <w:tcPr>
            <w:tcW w:w="934" w:type="dxa"/>
          </w:tcPr>
          <w:p w14:paraId="3364183E" w14:textId="77777777" w:rsidR="00707C4E" w:rsidRDefault="00707C4E">
            <w:pPr>
              <w:jc w:val="left"/>
              <w:rPr>
                <w:rFonts w:asciiTheme="majorBidi" w:eastAsia="Linux Libertine" w:hAnsiTheme="majorBidi" w:cstheme="majorBidi"/>
              </w:rPr>
            </w:pPr>
          </w:p>
        </w:tc>
      </w:tr>
    </w:tbl>
    <w:p w14:paraId="609946CE" w14:textId="77777777" w:rsidR="00707C4E" w:rsidRDefault="00707C4E"/>
    <w:p w14:paraId="733E2852" w14:textId="77777777" w:rsidR="00707C4E" w:rsidRDefault="00E74979">
      <w:r>
        <w:t xml:space="preserve">A table is often a better alternative to a </w:t>
      </w:r>
      <w:proofErr w:type="gramStart"/>
      <w:r>
        <w:t>bulleted</w:t>
      </w:r>
      <w:proofErr w:type="gramEnd"/>
      <w:r>
        <w:t xml:space="preserve"> list for communicating information that may </w:t>
      </w:r>
      <w:r>
        <w:t>otherwise seem redundant (e.g. variable details or model hyperparameter choices), or to make information easier to compare across categories (e.g. model performance). If you have a very complex table, think about how you might use bold or italic font to highlight notable cells, such as the best performing model.</w:t>
      </w:r>
    </w:p>
    <w:p w14:paraId="329DC9AD" w14:textId="77777777" w:rsidR="00707C4E" w:rsidRDefault="00E74979">
      <w:pPr>
        <w:pStyle w:val="Heading3"/>
      </w:pPr>
      <w:r>
        <w:t>7.3.3</w:t>
      </w:r>
      <w:r>
        <w:tab/>
        <w:t>Equations</w:t>
      </w:r>
    </w:p>
    <w:p w14:paraId="1328BCB4" w14:textId="77777777" w:rsidR="00707C4E" w:rsidRDefault="0030118F" w:rsidP="00260E1F">
      <w:r>
        <w:t>Think carefully about whether including an equation is appropriate for your semi-technical stakeholder audience</w:t>
      </w:r>
      <w:r w:rsidR="00093B89" w:rsidRPr="00093B89">
        <w:t>. Most</w:t>
      </w:r>
      <w:r>
        <w:t xml:space="preserve"> of the time that level of detail will be too technical, and equations should either be left out or included in a separate appendix.</w:t>
      </w:r>
    </w:p>
    <w:p w14:paraId="69C10970" w14:textId="77777777" w:rsidR="00707C4E" w:rsidRDefault="00E74979">
      <w:r>
        <w:t xml:space="preserve">If you decide that you do want to include an equation, they should be on a separate line, </w:t>
      </w:r>
      <w:proofErr w:type="gramStart"/>
      <w:r>
        <w:t>indented</w:t>
      </w:r>
      <w:proofErr w:type="gramEnd"/>
      <w:r>
        <w:t xml:space="preserve">, and numbered sequentially to the right of the equation. As with figures and tables, equations should be referenced directly in your text with a short description (e.g. “Equation 7.1 shows the basic linear regression equation, where </w:t>
      </w:r>
      <w:r>
        <w:rPr>
          <w:i/>
          <w:iCs/>
        </w:rPr>
        <w:t>y</w:t>
      </w:r>
      <w:r>
        <w:t xml:space="preserve"> is the target variable, </w:t>
      </w:r>
      <w:r>
        <w:rPr>
          <w:i/>
          <w:iCs/>
        </w:rPr>
        <w:t>x</w:t>
      </w:r>
      <w:r>
        <w:t xml:space="preserve"> is the model input, </w:t>
      </w:r>
      <w:r>
        <w:rPr>
          <w:i/>
          <w:iCs/>
        </w:rPr>
        <w:t>a</w:t>
      </w:r>
      <w:r>
        <w:t xml:space="preserve"> is the learned </w:t>
      </w:r>
      <w:proofErr w:type="spellStart"/>
      <w:r>
        <w:t>coefficent</w:t>
      </w:r>
      <w:proofErr w:type="spellEnd"/>
      <w:r>
        <w:t xml:space="preserve">, and </w:t>
      </w:r>
      <w:r>
        <w:rPr>
          <w:i/>
          <w:iCs/>
        </w:rPr>
        <w:t>b</w:t>
      </w:r>
      <w:r>
        <w:t xml:space="preserve"> is the model intercept.”) You DO NOT need to include </w:t>
      </w:r>
      <w:proofErr w:type="gramStart"/>
      <w:r>
        <w:t>a separate caption</w:t>
      </w:r>
      <w:proofErr w:type="gramEnd"/>
      <w:r>
        <w:t xml:space="preserve"> for your equations. </w:t>
      </w:r>
    </w:p>
    <w:p w14:paraId="2D93FF0E" w14:textId="77777777" w:rsidR="00707C4E" w:rsidRDefault="00E74979">
      <w:pPr>
        <w:ind w:left="720" w:firstLine="720"/>
        <w:rPr>
          <w:rFonts w:asciiTheme="majorBidi" w:eastAsia="Linux Libertine" w:hAnsiTheme="majorBidi" w:cstheme="majorBidi"/>
        </w:rPr>
      </w:pPr>
      <m:oMath>
        <m:r>
          <w:rPr>
            <w:rFonts w:ascii="Cambria Math" w:hAnsi="Cambria Math"/>
          </w:rPr>
          <m:t>y=ax+b</m:t>
        </m:r>
      </m:oMath>
      <w:r>
        <w:tab/>
      </w:r>
      <w:r>
        <w:tab/>
      </w:r>
      <w:r>
        <w:tab/>
        <w:t>(7.1)</w:t>
      </w:r>
    </w:p>
    <w:p w14:paraId="21AC8F1C" w14:textId="77777777" w:rsidR="00707C4E" w:rsidRDefault="00E74979">
      <w:r>
        <w:t xml:space="preserve">As with tables, if you have a favorite tool for formatting your equations, feel free to include the formatted equation as an image, </w:t>
      </w:r>
      <w:proofErr w:type="gramStart"/>
      <w:r>
        <w:t>as long as</w:t>
      </w:r>
      <w:proofErr w:type="gramEnd"/>
      <w:r>
        <w:t xml:space="preserve"> it matches the formatting shown in the example above.</w:t>
      </w:r>
    </w:p>
    <w:p w14:paraId="73FAE289" w14:textId="77777777" w:rsidR="00707C4E" w:rsidRDefault="00E74979">
      <w:pPr>
        <w:pStyle w:val="Heading2"/>
      </w:pPr>
      <w:r>
        <w:t>7.4</w:t>
      </w:r>
      <w:r>
        <w:tab/>
        <w:t>Works Cited</w:t>
      </w:r>
    </w:p>
    <w:p w14:paraId="7AD198E7" w14:textId="17F93BB7" w:rsidR="00707C4E" w:rsidRDefault="00E74979">
      <w:r>
        <w:t xml:space="preserve">References should be alphabetically ordered using APA 7 formatting. You can refer to the </w:t>
      </w:r>
      <w:hyperlink r:id="rId17">
        <w:r w:rsidR="00707C4E" w:rsidRPr="436815AE">
          <w:rPr>
            <w:rStyle w:val="Hyperlink"/>
          </w:rPr>
          <w:t>APA guidelines</w:t>
        </w:r>
      </w:hyperlink>
      <w:r>
        <w:t xml:space="preserve"> on how to format citations from different types of sources. There are also online tools that can be used to create citations for you, though these will occasionally produce errors, so be sure to double check these. If you are citing an </w:t>
      </w:r>
      <w:r>
        <w:lastRenderedPageBreak/>
        <w:t>academic paper, the Google Scholar listing for the paper will also have a properly formatted APA citation that you can copy into your report. Several example citations are shown in the works cited included in this template.</w:t>
      </w:r>
    </w:p>
    <w:p w14:paraId="55E3CEED" w14:textId="77777777" w:rsidR="00707C4E" w:rsidRDefault="00E74979">
      <w:pPr>
        <w:pStyle w:val="Heading2"/>
      </w:pPr>
      <w:r>
        <w:t>7.5</w:t>
      </w:r>
      <w:r>
        <w:tab/>
        <w:t>Appendices</w:t>
      </w:r>
    </w:p>
    <w:p w14:paraId="1F86416D" w14:textId="77777777" w:rsidR="00707C4E" w:rsidRDefault="00E74979">
      <w:r>
        <w:t>Appendices can be used to include information that you feel is important to the communication of your project but may be too technical or too detailed for the intended semi-technical stakeholder audience. This may include items like a detailed description of data transformations, feature engineering, or architectural choices, or complete results over a hyperparameter grid search or a series of experimental architectures.</w:t>
      </w:r>
    </w:p>
    <w:p w14:paraId="7C88B894" w14:textId="77777777" w:rsidR="00707C4E" w:rsidRDefault="00E74979">
      <w:r>
        <w:t>Appendices are not included in the page count but should not be used to get around the report page limits. Information included in the appendices should not be necessary for a basic understanding of your project and should instead provide deeper detail for an interested reader. You can assume that your stakeholder audience would not read most of the content in an appendix, and as such, your appendix content may not contribute to your final report grade.</w:t>
      </w:r>
    </w:p>
    <w:p w14:paraId="241DF8A2" w14:textId="77777777" w:rsidR="00707C4E" w:rsidRDefault="00E74979">
      <w:r>
        <w:t>Appendices should be labeled alphabetically (Appendix A, Appendix B, etc.) and should be referred to directly in your text (e.g. “A complete table of results over all hyperparameters can be found in Appendix A”). Each appendix should start on a new page and does not need to be in the two-column format if full page width makes more sense for your content (e.g. detailed figures or large tables).</w:t>
      </w:r>
    </w:p>
    <w:p w14:paraId="2CD823DD" w14:textId="77777777" w:rsidR="00707C4E" w:rsidRDefault="00E74979">
      <w:pPr>
        <w:pStyle w:val="Heading1"/>
        <w:rPr>
          <w:rFonts w:asciiTheme="majorBidi" w:eastAsia="Linux Libertine" w:hAnsiTheme="majorBidi"/>
          <w:sz w:val="24"/>
          <w:szCs w:val="24"/>
        </w:rPr>
      </w:pPr>
      <w:r>
        <w:t>ACKNOWLEDGMENTS</w:t>
      </w:r>
    </w:p>
    <w:p w14:paraId="7AE493EC" w14:textId="77777777" w:rsidR="00707C4E" w:rsidRDefault="00E74979">
      <w:pPr>
        <w:spacing w:before="20"/>
        <w:rPr>
          <w:rFonts w:asciiTheme="majorBidi" w:eastAsia="Linux Libertine" w:hAnsiTheme="majorBidi" w:cstheme="majorBidi"/>
        </w:rPr>
      </w:pPr>
      <w:r>
        <w:rPr>
          <w:rFonts w:eastAsia="Linux Libertine" w:cstheme="majorBidi"/>
        </w:rPr>
        <w:t xml:space="preserve">These are optional, but might mention any external contributors to your project, such as </w:t>
      </w:r>
      <w:r>
        <w:rPr>
          <w:rFonts w:eastAsia="Linux Libertine" w:cstheme="majorBidi"/>
        </w:rPr>
        <w:t>professors or mentors who provided data or consultation.</w:t>
      </w:r>
    </w:p>
    <w:p w14:paraId="36B0CD6B" w14:textId="77777777" w:rsidR="00707C4E" w:rsidRDefault="0030118F">
      <w:pPr>
        <w:spacing w:before="200" w:after="60"/>
        <w:jc w:val="left"/>
      </w:pPr>
      <w:r>
        <w:rPr>
          <w:rStyle w:val="Heading1Char"/>
        </w:rPr>
        <w:t>Works Cited</w:t>
      </w:r>
    </w:p>
    <w:p w14:paraId="405097F8" w14:textId="77777777" w:rsidR="00A44AD6" w:rsidRPr="00A44AD6" w:rsidRDefault="00A44AD6" w:rsidP="00A44AD6">
      <w:pPr>
        <w:spacing w:before="60" w:after="60"/>
        <w:ind w:left="300" w:hanging="300"/>
        <w:jc w:val="left"/>
      </w:pPr>
      <w:r w:rsidRPr="00A44AD6">
        <w:t xml:space="preserve">American Psychological Association. (2024, June). </w:t>
      </w:r>
      <w:r w:rsidRPr="00A44AD6">
        <w:rPr>
          <w:i/>
          <w:iCs/>
        </w:rPr>
        <w:t>In-text citations</w:t>
      </w:r>
      <w:r w:rsidRPr="00A44AD6">
        <w:t xml:space="preserve">. </w:t>
      </w:r>
      <w:hyperlink r:id="rId18" w:history="1">
        <w:r w:rsidRPr="00A44AD6">
          <w:rPr>
            <w:rStyle w:val="Hyperlink"/>
          </w:rPr>
          <w:t>https://apastyle.apa.org/style-grammar-guidelines/citations</w:t>
        </w:r>
      </w:hyperlink>
    </w:p>
    <w:p w14:paraId="6EE2EA2B" w14:textId="77777777" w:rsidR="00A44AD6" w:rsidRPr="00A44AD6" w:rsidRDefault="00A44AD6" w:rsidP="00A44AD6">
      <w:pPr>
        <w:spacing w:before="60" w:after="60"/>
        <w:ind w:left="300" w:hanging="300"/>
        <w:jc w:val="left"/>
      </w:pPr>
      <w:r w:rsidRPr="00A44AD6">
        <w:t xml:space="preserve">Bai, S., Kolter, J. Z., &amp; Koltun, V. (2018). An empirical evaluation of generic convolutional and recurrent networks for sequence modeling. </w:t>
      </w:r>
      <w:proofErr w:type="spellStart"/>
      <w:r w:rsidRPr="00A44AD6">
        <w:rPr>
          <w:i/>
          <w:iCs/>
        </w:rPr>
        <w:t>arXiv</w:t>
      </w:r>
      <w:proofErr w:type="spellEnd"/>
      <w:r w:rsidRPr="00A44AD6">
        <w:t xml:space="preserve">. </w:t>
      </w:r>
      <w:hyperlink r:id="rId19" w:history="1">
        <w:r w:rsidRPr="00A44AD6">
          <w:rPr>
            <w:rStyle w:val="Hyperlink"/>
          </w:rPr>
          <w:t>https://doi.org/10.48550/arXiv.1803.01271</w:t>
        </w:r>
      </w:hyperlink>
    </w:p>
    <w:p w14:paraId="123E751A" w14:textId="77777777" w:rsidR="00A44AD6" w:rsidRPr="00A44AD6" w:rsidRDefault="00A44AD6" w:rsidP="00A44AD6">
      <w:pPr>
        <w:spacing w:before="60" w:after="60"/>
        <w:ind w:left="300" w:hanging="300"/>
        <w:jc w:val="left"/>
      </w:pPr>
      <w:r w:rsidRPr="00A44AD6">
        <w:t xml:space="preserve">Cho, K., van </w:t>
      </w:r>
      <w:proofErr w:type="spellStart"/>
      <w:r w:rsidRPr="00A44AD6">
        <w:t>Merriënboer</w:t>
      </w:r>
      <w:proofErr w:type="spellEnd"/>
      <w:r w:rsidRPr="00A44AD6">
        <w:t xml:space="preserve">, B., </w:t>
      </w:r>
      <w:proofErr w:type="spellStart"/>
      <w:r w:rsidRPr="00A44AD6">
        <w:t>Gulcehre</w:t>
      </w:r>
      <w:proofErr w:type="spellEnd"/>
      <w:r w:rsidRPr="00A44AD6">
        <w:t xml:space="preserve">, C., </w:t>
      </w:r>
      <w:proofErr w:type="spellStart"/>
      <w:r w:rsidRPr="00A44AD6">
        <w:t>Bahdanau</w:t>
      </w:r>
      <w:proofErr w:type="spellEnd"/>
      <w:r w:rsidRPr="00A44AD6">
        <w:t xml:space="preserve">, D., </w:t>
      </w:r>
      <w:proofErr w:type="spellStart"/>
      <w:r w:rsidRPr="00A44AD6">
        <w:t>Bougares</w:t>
      </w:r>
      <w:proofErr w:type="spellEnd"/>
      <w:r w:rsidRPr="00A44AD6">
        <w:t xml:space="preserve">, F., Schwenk, H., &amp; Bengio, Y. (2014). Learning phrase representations using RNN encoder–decoder for statistical machine translation. </w:t>
      </w:r>
      <w:proofErr w:type="spellStart"/>
      <w:r w:rsidRPr="00A44AD6">
        <w:rPr>
          <w:i/>
          <w:iCs/>
        </w:rPr>
        <w:t>arXiv</w:t>
      </w:r>
      <w:proofErr w:type="spellEnd"/>
      <w:r w:rsidRPr="00A44AD6">
        <w:t xml:space="preserve">. </w:t>
      </w:r>
      <w:hyperlink r:id="rId20" w:history="1">
        <w:r w:rsidRPr="00A44AD6">
          <w:rPr>
            <w:rStyle w:val="Hyperlink"/>
          </w:rPr>
          <w:t>https://doi.org/10.48550/arXiv.1406.1078</w:t>
        </w:r>
      </w:hyperlink>
    </w:p>
    <w:p w14:paraId="011F1521" w14:textId="77777777" w:rsidR="00A44AD6" w:rsidRPr="00A44AD6" w:rsidRDefault="00A44AD6" w:rsidP="00A44AD6">
      <w:pPr>
        <w:spacing w:before="60" w:after="60"/>
        <w:ind w:left="300" w:hanging="300"/>
        <w:jc w:val="left"/>
      </w:pPr>
      <w:r w:rsidRPr="00A44AD6">
        <w:t>Devlin, J., Chang, M.-W., Lee, K., &amp; Toutanova, K. (2019). BERT: Pre-</w:t>
      </w:r>
      <w:proofErr w:type="gramStart"/>
      <w:r w:rsidRPr="00A44AD6">
        <w:t>training of</w:t>
      </w:r>
      <w:proofErr w:type="gramEnd"/>
      <w:r w:rsidRPr="00A44AD6">
        <w:t xml:space="preserve"> deep bidirectional transformers for language understanding. In </w:t>
      </w:r>
      <w:r w:rsidRPr="00A44AD6">
        <w:rPr>
          <w:i/>
          <w:iCs/>
        </w:rPr>
        <w:t>Proceedings of NAACL-HLT 2019</w:t>
      </w:r>
      <w:r w:rsidRPr="00A44AD6">
        <w:t xml:space="preserve"> (pp. 4171–4186). </w:t>
      </w:r>
      <w:hyperlink r:id="rId21" w:history="1">
        <w:r w:rsidRPr="00A44AD6">
          <w:rPr>
            <w:rStyle w:val="Hyperlink"/>
          </w:rPr>
          <w:t>https://doi.org/10.18653/v1/N19-1423</w:t>
        </w:r>
      </w:hyperlink>
    </w:p>
    <w:p w14:paraId="67C1E3A2" w14:textId="77777777" w:rsidR="00E97479" w:rsidRDefault="00E97479">
      <w:pPr>
        <w:spacing w:before="60" w:after="60"/>
        <w:ind w:left="300" w:hanging="300"/>
        <w:jc w:val="left"/>
        <w:rPr>
          <w:kern w:val="2"/>
          <w14:ligatures w14:val="standardContextual"/>
        </w:rPr>
      </w:pPr>
      <w:r>
        <w:t xml:space="preserve">Derrow-Pinion, A., She, J., Wong, D., Lange, O., Hester, T., Perez, L., </w:t>
      </w:r>
      <w:proofErr w:type="spellStart"/>
      <w:r>
        <w:t>Nunkesser</w:t>
      </w:r>
      <w:proofErr w:type="spellEnd"/>
      <w:r>
        <w:t xml:space="preserve">, M., Lee, S., Guo, X., Wiltshire, B., Battaglia, P. W., Gupta, V., Li, A., Xu, Z., Sanchez-Gonzalez, A., Li, Y., &amp; </w:t>
      </w:r>
      <w:proofErr w:type="spellStart"/>
      <w:r>
        <w:t>Veličković</w:t>
      </w:r>
      <w:proofErr w:type="spellEnd"/>
      <w:r>
        <w:t xml:space="preserve">, P. (2021). ETA prediction with graph neural networks in Google Maps. In </w:t>
      </w:r>
      <w:r>
        <w:rPr>
          <w:i/>
          <w:iCs/>
        </w:rPr>
        <w:t>Proceedings of the 30th ACM International Conference on Information and Knowledge Management</w:t>
      </w:r>
      <w:r>
        <w:t xml:space="preserve"> (pp. 3767–3776). https://doi.org/10.1145/3459637.3481916</w:t>
      </w:r>
    </w:p>
    <w:p w14:paraId="207A4CAF" w14:textId="77777777" w:rsidR="00A44AD6" w:rsidRPr="00A44AD6" w:rsidRDefault="00A44AD6" w:rsidP="00A44AD6">
      <w:pPr>
        <w:spacing w:before="60" w:after="60"/>
        <w:ind w:left="300" w:hanging="300"/>
        <w:jc w:val="left"/>
      </w:pPr>
      <w:r w:rsidRPr="00A44AD6">
        <w:t xml:space="preserve">Hochreiter, S., &amp; </w:t>
      </w:r>
      <w:proofErr w:type="spellStart"/>
      <w:r w:rsidRPr="00A44AD6">
        <w:t>Schmidhuber</w:t>
      </w:r>
      <w:proofErr w:type="spellEnd"/>
      <w:r w:rsidRPr="00A44AD6">
        <w:t xml:space="preserve">, J. (1997). Long short-term memory. </w:t>
      </w:r>
      <w:r w:rsidRPr="00A44AD6">
        <w:rPr>
          <w:i/>
          <w:iCs/>
        </w:rPr>
        <w:t>Neural Computation, 9</w:t>
      </w:r>
      <w:r w:rsidRPr="00A44AD6">
        <w:t xml:space="preserve">(8), 1735–1780. </w:t>
      </w:r>
      <w:hyperlink r:id="rId22" w:history="1">
        <w:r w:rsidRPr="00A44AD6">
          <w:rPr>
            <w:rStyle w:val="Hyperlink"/>
          </w:rPr>
          <w:t>https://doi.org/10.1162/neco.1997.9.8.1735</w:t>
        </w:r>
      </w:hyperlink>
    </w:p>
    <w:p w14:paraId="0EDCAA2C" w14:textId="6A7CF438" w:rsidR="00A44AD6" w:rsidRDefault="00A44AD6" w:rsidP="00A44AD6">
      <w:pPr>
        <w:spacing w:before="60" w:after="60"/>
        <w:ind w:left="300" w:hanging="300"/>
        <w:jc w:val="left"/>
      </w:pPr>
      <w:r w:rsidRPr="00A44AD6">
        <w:lastRenderedPageBreak/>
        <w:t xml:space="preserve">Kingma, D. P., &amp; Ba, J. (2015). Adam: A method for stochastic optimization. </w:t>
      </w:r>
      <w:r w:rsidRPr="00A44AD6">
        <w:rPr>
          <w:i/>
          <w:iCs/>
        </w:rPr>
        <w:t>International Conference on Learning Representations (ICLR)</w:t>
      </w:r>
      <w:r w:rsidRPr="00A44AD6">
        <w:t xml:space="preserve">. </w:t>
      </w:r>
      <w:hyperlink r:id="rId23" w:history="1">
        <w:r w:rsidR="008B7872" w:rsidRPr="0030512E">
          <w:rPr>
            <w:rStyle w:val="Hyperlink"/>
          </w:rPr>
          <w:t>https://doi.org/10.48550/arXiv.1412.6980</w:t>
        </w:r>
      </w:hyperlink>
    </w:p>
    <w:p w14:paraId="42791BBC" w14:textId="77777777" w:rsidR="00A44AD6" w:rsidRPr="00A44AD6" w:rsidRDefault="00A44AD6" w:rsidP="00A44AD6">
      <w:pPr>
        <w:spacing w:before="60" w:after="60"/>
        <w:ind w:left="300" w:hanging="300"/>
        <w:jc w:val="left"/>
      </w:pPr>
      <w:r w:rsidRPr="00A44AD6">
        <w:t xml:space="preserve">Microsoft Research Asia. (2012). </w:t>
      </w:r>
      <w:r w:rsidRPr="00A44AD6">
        <w:rPr>
          <w:i/>
          <w:iCs/>
        </w:rPr>
        <w:t>GeoLife GPS trajectories</w:t>
      </w:r>
      <w:r w:rsidRPr="00A44AD6">
        <w:t xml:space="preserve"> (Version 1.3) [Data set]. Microsoft. </w:t>
      </w:r>
      <w:hyperlink r:id="rId24" w:history="1">
        <w:r w:rsidRPr="00A44AD6">
          <w:rPr>
            <w:rStyle w:val="Hyperlink"/>
          </w:rPr>
          <w:t>https://www.microsoft.com/en-us/research/project/geolife-building-social-networks-using-human-location-history/</w:t>
        </w:r>
      </w:hyperlink>
    </w:p>
    <w:p w14:paraId="3B29D0E7" w14:textId="77777777" w:rsidR="00A44AD6" w:rsidRPr="00A44AD6" w:rsidRDefault="00A44AD6" w:rsidP="00A44AD6">
      <w:pPr>
        <w:spacing w:before="60" w:after="60"/>
        <w:ind w:left="300" w:hanging="300"/>
        <w:jc w:val="left"/>
      </w:pPr>
      <w:r w:rsidRPr="00A44AD6">
        <w:t xml:space="preserve">Radford, A., Wu, J., Child, R., Luan, D., Amodei, D., &amp; </w:t>
      </w:r>
      <w:proofErr w:type="spellStart"/>
      <w:r w:rsidRPr="00A44AD6">
        <w:t>Sutskever</w:t>
      </w:r>
      <w:proofErr w:type="spellEnd"/>
      <w:r w:rsidRPr="00A44AD6">
        <w:t xml:space="preserve">, D. (2019). </w:t>
      </w:r>
      <w:r w:rsidRPr="00A44AD6">
        <w:rPr>
          <w:i/>
          <w:iCs/>
        </w:rPr>
        <w:t>Language models are unsupervised multitask learners</w:t>
      </w:r>
      <w:r w:rsidRPr="00A44AD6">
        <w:t xml:space="preserve">. OpenAI. </w:t>
      </w:r>
      <w:hyperlink r:id="rId25" w:history="1">
        <w:r w:rsidRPr="00A44AD6">
          <w:rPr>
            <w:rStyle w:val="Hyperlink"/>
          </w:rPr>
          <w:t>https://cdn.openai.com/better-language-models/language_models_are_unsupervised_multitask_learners.pdf</w:t>
        </w:r>
      </w:hyperlink>
    </w:p>
    <w:p w14:paraId="4E4008BB" w14:textId="77777777" w:rsidR="00A44AD6" w:rsidRPr="00A44AD6" w:rsidRDefault="00A44AD6" w:rsidP="00A44AD6">
      <w:pPr>
        <w:spacing w:before="60" w:after="60"/>
        <w:ind w:left="300" w:hanging="300"/>
        <w:jc w:val="left"/>
      </w:pPr>
      <w:r w:rsidRPr="00A44AD6">
        <w:t xml:space="preserve">Sola, J. (2017). Quaternion kinematics for the error-state Kalman filter. </w:t>
      </w:r>
      <w:proofErr w:type="spellStart"/>
      <w:r w:rsidRPr="00A44AD6">
        <w:rPr>
          <w:i/>
          <w:iCs/>
        </w:rPr>
        <w:t>arXiv</w:t>
      </w:r>
      <w:proofErr w:type="spellEnd"/>
      <w:r w:rsidRPr="00A44AD6">
        <w:t xml:space="preserve">. </w:t>
      </w:r>
      <w:hyperlink r:id="rId26" w:history="1">
        <w:r w:rsidRPr="00A44AD6">
          <w:rPr>
            <w:rStyle w:val="Hyperlink"/>
          </w:rPr>
          <w:t>https://doi.org/10.48550/arXiv.1711.02508</w:t>
        </w:r>
      </w:hyperlink>
    </w:p>
    <w:p w14:paraId="099BCD79" w14:textId="77777777" w:rsidR="00A44AD6" w:rsidRPr="00A44AD6" w:rsidRDefault="00A44AD6" w:rsidP="00A44AD6">
      <w:pPr>
        <w:spacing w:before="60" w:after="60"/>
        <w:ind w:left="300" w:hanging="300"/>
        <w:jc w:val="left"/>
      </w:pPr>
      <w:r w:rsidRPr="00A44AD6">
        <w:t xml:space="preserve">Teunissen, P. J., &amp; </w:t>
      </w:r>
      <w:proofErr w:type="spellStart"/>
      <w:r w:rsidRPr="00A44AD6">
        <w:t>Montenbruck</w:t>
      </w:r>
      <w:proofErr w:type="spellEnd"/>
      <w:r w:rsidRPr="00A44AD6">
        <w:t xml:space="preserve">, O. (Eds.). (2017). </w:t>
      </w:r>
      <w:r w:rsidRPr="00A44AD6">
        <w:rPr>
          <w:i/>
          <w:iCs/>
        </w:rPr>
        <w:t>Springer handbook of global navigation satellite systems</w:t>
      </w:r>
      <w:r w:rsidRPr="00A44AD6">
        <w:t xml:space="preserve">. Springer. </w:t>
      </w:r>
      <w:hyperlink r:id="rId27" w:history="1">
        <w:r w:rsidRPr="00A44AD6">
          <w:rPr>
            <w:rStyle w:val="Hyperlink"/>
          </w:rPr>
          <w:t>https://doi.org/10.1007/978-3-319-42928-1</w:t>
        </w:r>
      </w:hyperlink>
    </w:p>
    <w:p w14:paraId="39263EC6" w14:textId="77777777" w:rsidR="00A44AD6" w:rsidRPr="00A44AD6" w:rsidRDefault="00A44AD6" w:rsidP="00A44AD6">
      <w:pPr>
        <w:spacing w:before="60" w:after="60"/>
        <w:ind w:left="300" w:hanging="300"/>
        <w:jc w:val="left"/>
      </w:pPr>
      <w:r w:rsidRPr="00A44AD6">
        <w:t xml:space="preserve">Vaswani, A., </w:t>
      </w:r>
      <w:proofErr w:type="spellStart"/>
      <w:r w:rsidRPr="00A44AD6">
        <w:t>Shazeer</w:t>
      </w:r>
      <w:proofErr w:type="spellEnd"/>
      <w:r w:rsidRPr="00A44AD6">
        <w:t xml:space="preserve">, N., Parmar, N., </w:t>
      </w:r>
      <w:proofErr w:type="spellStart"/>
      <w:r w:rsidRPr="00A44AD6">
        <w:t>Uszkoreit</w:t>
      </w:r>
      <w:proofErr w:type="spellEnd"/>
      <w:r w:rsidRPr="00A44AD6">
        <w:t xml:space="preserve">, J., Jones, L., Gomez, A. N., Kaiser, Ł., &amp; </w:t>
      </w:r>
      <w:proofErr w:type="spellStart"/>
      <w:r w:rsidRPr="00A44AD6">
        <w:t>Polosukhin</w:t>
      </w:r>
      <w:proofErr w:type="spellEnd"/>
      <w:r w:rsidRPr="00A44AD6">
        <w:t xml:space="preserve">, I. (2017). Attention is all you need. </w:t>
      </w:r>
      <w:proofErr w:type="spellStart"/>
      <w:r w:rsidRPr="00A44AD6">
        <w:rPr>
          <w:i/>
          <w:iCs/>
        </w:rPr>
        <w:t>arXiv</w:t>
      </w:r>
      <w:proofErr w:type="spellEnd"/>
      <w:r w:rsidRPr="00A44AD6">
        <w:t xml:space="preserve">. </w:t>
      </w:r>
      <w:hyperlink r:id="rId28" w:history="1">
        <w:r w:rsidRPr="00A44AD6">
          <w:rPr>
            <w:rStyle w:val="Hyperlink"/>
          </w:rPr>
          <w:t>https://doi.org/10.48550/arXiv.1706.03762</w:t>
        </w:r>
      </w:hyperlink>
    </w:p>
    <w:p w14:paraId="0B430507" w14:textId="77777777" w:rsidR="00A44AD6" w:rsidRPr="00A44AD6" w:rsidRDefault="00A44AD6" w:rsidP="00A44AD6">
      <w:pPr>
        <w:spacing w:before="60" w:after="60"/>
        <w:ind w:left="300" w:hanging="300"/>
        <w:jc w:val="left"/>
      </w:pPr>
      <w:r w:rsidRPr="00A44AD6">
        <w:t xml:space="preserve">Zandbergen, P. A., &amp; Barbeau, S. J. (2011). Positional accuracy of assisted GPS data from high-sensitivity GPS-enabled mobile phones. </w:t>
      </w:r>
      <w:r w:rsidRPr="00A44AD6">
        <w:rPr>
          <w:i/>
          <w:iCs/>
        </w:rPr>
        <w:t>Journal of Navigation, 64</w:t>
      </w:r>
      <w:r w:rsidRPr="00A44AD6">
        <w:t xml:space="preserve">(3), 381–399. </w:t>
      </w:r>
      <w:hyperlink r:id="rId29" w:history="1">
        <w:r w:rsidRPr="00A44AD6">
          <w:rPr>
            <w:rStyle w:val="Hyperlink"/>
          </w:rPr>
          <w:t>https://doi.org/10.1017/S0373463311000051</w:t>
        </w:r>
      </w:hyperlink>
    </w:p>
    <w:p w14:paraId="2524A1E1" w14:textId="77777777" w:rsidR="00A44AD6" w:rsidRPr="00A44AD6" w:rsidRDefault="00A44AD6" w:rsidP="00A44AD6">
      <w:pPr>
        <w:spacing w:before="60" w:after="60"/>
        <w:ind w:left="300" w:hanging="300"/>
        <w:jc w:val="left"/>
      </w:pPr>
      <w:r w:rsidRPr="00A44AD6">
        <w:t xml:space="preserve">Zheng, Y., Li, Q., Chen, Y., Xie, X., &amp; Ma, W.-Y. (2008). Understanding mobility based on GPS data. In </w:t>
      </w:r>
      <w:r w:rsidRPr="00A44AD6">
        <w:rPr>
          <w:i/>
          <w:iCs/>
        </w:rPr>
        <w:t>Proceedings of the 10th International Conference on Ubiquitous Computing</w:t>
      </w:r>
      <w:r w:rsidRPr="00A44AD6">
        <w:t xml:space="preserve"> (pp. 312–321). </w:t>
      </w:r>
      <w:hyperlink r:id="rId30" w:history="1">
        <w:r w:rsidRPr="00A44AD6">
          <w:rPr>
            <w:rStyle w:val="Hyperlink"/>
          </w:rPr>
          <w:t>https://doi.org/10.1145/1409635.1409677</w:t>
        </w:r>
      </w:hyperlink>
    </w:p>
    <w:p w14:paraId="09630165" w14:textId="77777777" w:rsidR="00A44AD6" w:rsidRPr="00A44AD6" w:rsidRDefault="00A44AD6" w:rsidP="00A44AD6">
      <w:pPr>
        <w:spacing w:before="60" w:after="60"/>
        <w:ind w:left="300" w:hanging="300"/>
        <w:jc w:val="left"/>
      </w:pPr>
      <w:r w:rsidRPr="00A44AD6">
        <w:t xml:space="preserve">Zheng, Y., Xie, X., &amp; Ma, W.-Y. (2010). GeoLife: A collaborative social networking service among user, location and trajectory. </w:t>
      </w:r>
      <w:r w:rsidRPr="00A44AD6">
        <w:rPr>
          <w:i/>
          <w:iCs/>
        </w:rPr>
        <w:t>IEEE Data Engineering Bulletin, 33</w:t>
      </w:r>
      <w:r w:rsidRPr="00A44AD6">
        <w:t>(2), 32–39.</w:t>
      </w:r>
    </w:p>
    <w:p w14:paraId="4628E9C1" w14:textId="77777777" w:rsidR="00A44AD6" w:rsidRDefault="00A44AD6">
      <w:pPr>
        <w:spacing w:before="60" w:after="60"/>
        <w:ind w:left="300" w:hanging="300"/>
        <w:jc w:val="left"/>
      </w:pPr>
    </w:p>
    <w:sectPr w:rsidR="00A44AD6">
      <w:type w:val="continuous"/>
      <w:pgSz w:w="12240" w:h="15840"/>
      <w:pgMar w:top="1500" w:right="1080" w:bottom="1600" w:left="1080" w:header="1080" w:footer="1080" w:gutter="0"/>
      <w:cols w:num="2" w:space="48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6AE7" w14:textId="77777777" w:rsidR="002E58C8" w:rsidRDefault="002E58C8">
      <w:pPr>
        <w:spacing w:after="0" w:line="240" w:lineRule="auto"/>
      </w:pPr>
      <w:r>
        <w:separator/>
      </w:r>
    </w:p>
  </w:endnote>
  <w:endnote w:type="continuationSeparator" w:id="0">
    <w:p w14:paraId="37299851" w14:textId="77777777" w:rsidR="002E58C8" w:rsidRDefault="002E5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nux Biolinum">
    <w:altName w:val="Cambria"/>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Unicode MS">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67A" w14:textId="77777777" w:rsidR="00707C4E" w:rsidRDefault="00707C4E">
    <w:pPr>
      <w:tabs>
        <w:tab w:val="center" w:pos="4320"/>
        <w:tab w:val="right" w:pos="8640"/>
      </w:tabs>
      <w:rPr>
        <w:rFonts w:ascii="Linux Biolinum" w:eastAsia="Linux Biolinum" w:hAnsi="Linux Biolinum" w:cs="Linux Biolinum"/>
        <w:color w:val="000000"/>
        <w:sz w:val="14"/>
        <w:szCs w:val="14"/>
      </w:rPr>
    </w:pPr>
  </w:p>
  <w:p w14:paraId="1D67F586"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8D18" w14:textId="77777777" w:rsidR="00707C4E" w:rsidRDefault="0070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7D13" w14:textId="77777777" w:rsidR="002E58C8" w:rsidRDefault="002E58C8">
      <w:pPr>
        <w:spacing w:after="0" w:line="240" w:lineRule="auto"/>
      </w:pPr>
      <w:r>
        <w:separator/>
      </w:r>
    </w:p>
  </w:footnote>
  <w:footnote w:type="continuationSeparator" w:id="0">
    <w:p w14:paraId="0B35DF97" w14:textId="77777777" w:rsidR="002E58C8" w:rsidRDefault="002E5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E74979">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E74979">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7</w:t>
    </w:r>
    <w:r>
      <w:rPr>
        <w:rFonts w:cs="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E74979">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7B4572C"/>
    <w:multiLevelType w:val="multilevel"/>
    <w:tmpl w:val="D54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66D0C"/>
    <w:multiLevelType w:val="multilevel"/>
    <w:tmpl w:val="4DC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B6A3B25"/>
    <w:multiLevelType w:val="multilevel"/>
    <w:tmpl w:val="981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1E613EE"/>
    <w:multiLevelType w:val="multilevel"/>
    <w:tmpl w:val="86C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657C3"/>
    <w:multiLevelType w:val="multilevel"/>
    <w:tmpl w:val="2E1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4BE42FDF"/>
    <w:multiLevelType w:val="multilevel"/>
    <w:tmpl w:val="983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584D58D3"/>
    <w:multiLevelType w:val="multilevel"/>
    <w:tmpl w:val="A26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729E7696"/>
    <w:multiLevelType w:val="multilevel"/>
    <w:tmpl w:val="7A9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1"/>
  </w:num>
  <w:num w:numId="2" w16cid:durableId="787630143">
    <w:abstractNumId w:val="2"/>
  </w:num>
  <w:num w:numId="3" w16cid:durableId="1492942228">
    <w:abstractNumId w:val="16"/>
  </w:num>
  <w:num w:numId="4" w16cid:durableId="517429286">
    <w:abstractNumId w:val="5"/>
  </w:num>
  <w:num w:numId="5" w16cid:durableId="1718040607">
    <w:abstractNumId w:val="12"/>
  </w:num>
  <w:num w:numId="6" w16cid:durableId="710611117">
    <w:abstractNumId w:val="10"/>
  </w:num>
  <w:num w:numId="7" w16cid:durableId="1117138578">
    <w:abstractNumId w:val="7"/>
  </w:num>
  <w:num w:numId="8" w16cid:durableId="1648709583">
    <w:abstractNumId w:val="14"/>
  </w:num>
  <w:num w:numId="9" w16cid:durableId="1602377560">
    <w:abstractNumId w:val="0"/>
  </w:num>
  <w:num w:numId="10" w16cid:durableId="1914001368">
    <w:abstractNumId w:val="3"/>
  </w:num>
  <w:num w:numId="11" w16cid:durableId="298532910">
    <w:abstractNumId w:val="9"/>
  </w:num>
  <w:num w:numId="12" w16cid:durableId="1491678714">
    <w:abstractNumId w:val="8"/>
  </w:num>
  <w:num w:numId="13" w16cid:durableId="1486625624">
    <w:abstractNumId w:val="6"/>
  </w:num>
  <w:num w:numId="14" w16cid:durableId="1265116789">
    <w:abstractNumId w:val="15"/>
  </w:num>
  <w:num w:numId="15" w16cid:durableId="507330625">
    <w:abstractNumId w:val="4"/>
  </w:num>
  <w:num w:numId="16" w16cid:durableId="321588768">
    <w:abstractNumId w:val="13"/>
  </w:num>
  <w:num w:numId="17" w16cid:durableId="418065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4E"/>
    <w:rsid w:val="00004D8D"/>
    <w:rsid w:val="000244AD"/>
    <w:rsid w:val="00033025"/>
    <w:rsid w:val="00040664"/>
    <w:rsid w:val="0004610F"/>
    <w:rsid w:val="00075A58"/>
    <w:rsid w:val="0008029F"/>
    <w:rsid w:val="0009046F"/>
    <w:rsid w:val="00093B89"/>
    <w:rsid w:val="000D7281"/>
    <w:rsid w:val="000E0686"/>
    <w:rsid w:val="0010516E"/>
    <w:rsid w:val="00121FC5"/>
    <w:rsid w:val="00123362"/>
    <w:rsid w:val="00135B16"/>
    <w:rsid w:val="00170701"/>
    <w:rsid w:val="001813D7"/>
    <w:rsid w:val="001A6271"/>
    <w:rsid w:val="001B0DD9"/>
    <w:rsid w:val="001C7CFE"/>
    <w:rsid w:val="001E5779"/>
    <w:rsid w:val="001E5CCF"/>
    <w:rsid w:val="0027443C"/>
    <w:rsid w:val="002A566B"/>
    <w:rsid w:val="002E58C8"/>
    <w:rsid w:val="0030118F"/>
    <w:rsid w:val="00302702"/>
    <w:rsid w:val="00310BEF"/>
    <w:rsid w:val="00321E90"/>
    <w:rsid w:val="00346447"/>
    <w:rsid w:val="003C765D"/>
    <w:rsid w:val="003D5EA9"/>
    <w:rsid w:val="003D6401"/>
    <w:rsid w:val="003E238C"/>
    <w:rsid w:val="00436405"/>
    <w:rsid w:val="00447373"/>
    <w:rsid w:val="00470D3F"/>
    <w:rsid w:val="00481A99"/>
    <w:rsid w:val="004E0108"/>
    <w:rsid w:val="004F7E1B"/>
    <w:rsid w:val="00531FB9"/>
    <w:rsid w:val="005542E9"/>
    <w:rsid w:val="00555C0A"/>
    <w:rsid w:val="00585372"/>
    <w:rsid w:val="005B331C"/>
    <w:rsid w:val="005D070E"/>
    <w:rsid w:val="005D7893"/>
    <w:rsid w:val="005E4F01"/>
    <w:rsid w:val="005E7597"/>
    <w:rsid w:val="005F0A26"/>
    <w:rsid w:val="005F1E13"/>
    <w:rsid w:val="005F6FD2"/>
    <w:rsid w:val="00624A6E"/>
    <w:rsid w:val="00637D95"/>
    <w:rsid w:val="00650CD6"/>
    <w:rsid w:val="00651171"/>
    <w:rsid w:val="00655E29"/>
    <w:rsid w:val="006665AD"/>
    <w:rsid w:val="00683B34"/>
    <w:rsid w:val="006D44E4"/>
    <w:rsid w:val="006E1A39"/>
    <w:rsid w:val="006E6418"/>
    <w:rsid w:val="006E693C"/>
    <w:rsid w:val="007011EA"/>
    <w:rsid w:val="00703A04"/>
    <w:rsid w:val="00707C4E"/>
    <w:rsid w:val="00711152"/>
    <w:rsid w:val="0077200A"/>
    <w:rsid w:val="0077389B"/>
    <w:rsid w:val="007B11BB"/>
    <w:rsid w:val="007B3D06"/>
    <w:rsid w:val="007B495C"/>
    <w:rsid w:val="007B66D2"/>
    <w:rsid w:val="007D0755"/>
    <w:rsid w:val="007F0404"/>
    <w:rsid w:val="007F1841"/>
    <w:rsid w:val="007F2BA0"/>
    <w:rsid w:val="00804CEE"/>
    <w:rsid w:val="00812918"/>
    <w:rsid w:val="00815598"/>
    <w:rsid w:val="00874EBA"/>
    <w:rsid w:val="008A5624"/>
    <w:rsid w:val="008B7872"/>
    <w:rsid w:val="008D2156"/>
    <w:rsid w:val="008D347B"/>
    <w:rsid w:val="008D40D0"/>
    <w:rsid w:val="008E68FE"/>
    <w:rsid w:val="00906C22"/>
    <w:rsid w:val="00945B6B"/>
    <w:rsid w:val="00950A37"/>
    <w:rsid w:val="00954356"/>
    <w:rsid w:val="0096656B"/>
    <w:rsid w:val="009839BF"/>
    <w:rsid w:val="00996B45"/>
    <w:rsid w:val="009A321A"/>
    <w:rsid w:val="009D450A"/>
    <w:rsid w:val="009E28FB"/>
    <w:rsid w:val="00A24FB8"/>
    <w:rsid w:val="00A27CEC"/>
    <w:rsid w:val="00A33B68"/>
    <w:rsid w:val="00A352A7"/>
    <w:rsid w:val="00A44AD6"/>
    <w:rsid w:val="00A605FF"/>
    <w:rsid w:val="00A6258E"/>
    <w:rsid w:val="00A93D4B"/>
    <w:rsid w:val="00AA0F0B"/>
    <w:rsid w:val="00AE59AF"/>
    <w:rsid w:val="00B0023A"/>
    <w:rsid w:val="00B200DC"/>
    <w:rsid w:val="00B375C4"/>
    <w:rsid w:val="00B66302"/>
    <w:rsid w:val="00B7113A"/>
    <w:rsid w:val="00B7505F"/>
    <w:rsid w:val="00BC65CA"/>
    <w:rsid w:val="00C02D25"/>
    <w:rsid w:val="00C215A0"/>
    <w:rsid w:val="00C4732A"/>
    <w:rsid w:val="00CA3FD1"/>
    <w:rsid w:val="00CC0879"/>
    <w:rsid w:val="00CD22EC"/>
    <w:rsid w:val="00CF134A"/>
    <w:rsid w:val="00D04ED0"/>
    <w:rsid w:val="00D05A02"/>
    <w:rsid w:val="00D35340"/>
    <w:rsid w:val="00D60559"/>
    <w:rsid w:val="00DD3ABE"/>
    <w:rsid w:val="00DE69A8"/>
    <w:rsid w:val="00DF3E7C"/>
    <w:rsid w:val="00E57764"/>
    <w:rsid w:val="00E65A50"/>
    <w:rsid w:val="00E74979"/>
    <w:rsid w:val="00E804DE"/>
    <w:rsid w:val="00E9334A"/>
    <w:rsid w:val="00E97479"/>
    <w:rsid w:val="00EF5F8F"/>
    <w:rsid w:val="00F1185F"/>
    <w:rsid w:val="00F2191E"/>
    <w:rsid w:val="00F27737"/>
    <w:rsid w:val="00F347C6"/>
    <w:rsid w:val="00F408F1"/>
    <w:rsid w:val="00F513BA"/>
    <w:rsid w:val="00F54C4E"/>
    <w:rsid w:val="00F95698"/>
    <w:rsid w:val="00F969BF"/>
    <w:rsid w:val="00FC22EE"/>
    <w:rsid w:val="00FD3A21"/>
    <w:rsid w:val="078ACBFC"/>
    <w:rsid w:val="0F33B970"/>
    <w:rsid w:val="1386ACDF"/>
    <w:rsid w:val="1AB06F3B"/>
    <w:rsid w:val="2BFEABD7"/>
    <w:rsid w:val="2F63CE40"/>
    <w:rsid w:val="35E002DA"/>
    <w:rsid w:val="3CCACB74"/>
    <w:rsid w:val="41427DE6"/>
    <w:rsid w:val="436815AE"/>
    <w:rsid w:val="4A3C33D6"/>
    <w:rsid w:val="55C23838"/>
    <w:rsid w:val="56332C1D"/>
    <w:rsid w:val="6502F3D3"/>
    <w:rsid w:val="66CE969B"/>
    <w:rsid w:val="6838E560"/>
    <w:rsid w:val="684B83B1"/>
    <w:rsid w:val="6D1DDE8D"/>
    <w:rsid w:val="762E68E2"/>
    <w:rsid w:val="7B0E5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both"/>
    </w:pPr>
    <w:rPr>
      <w:rFonts w:ascii="Times New Roman" w:eastAsiaTheme="minorEastAsia" w:hAnsi="Times New Roman" w:cstheme="minorBidi"/>
      <w:color w:val="000000" w:themeColor="text1"/>
      <w:sz w:val="24"/>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 w:val="21"/>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0">
    <w:name w:val="Book Title"/>
    <w:basedOn w:val="DefaultParagraphFont"/>
    <w:uiPriority w:val="33"/>
    <w:qFormat/>
    <w:rsid w:val="00DE69A8"/>
    <w:rPr>
      <w:b/>
      <w:bCs/>
      <w:i/>
      <w:iCs/>
      <w:spacing w:val="5"/>
    </w:rPr>
  </w:style>
  <w:style w:type="character" w:styleId="IntenseEmphasis">
    <w:name w:val="Intense Emphasis"/>
    <w:basedOn w:val="DefaultParagraphFont"/>
    <w:uiPriority w:val="21"/>
    <w:qFormat/>
    <w:rsid w:val="00DE69A8"/>
    <w:rPr>
      <w:i/>
      <w:iCs/>
      <w:color w:val="4F81BD" w:themeColor="accent1"/>
    </w:rPr>
  </w:style>
  <w:style w:type="character" w:styleId="IntenseReference">
    <w:name w:val="Intense Reference"/>
    <w:basedOn w:val="DefaultParagraphFont"/>
    <w:uiPriority w:val="32"/>
    <w:qFormat/>
    <w:rsid w:val="00DE69A8"/>
    <w:rPr>
      <w:b/>
      <w:bCs/>
      <w:smallCaps/>
      <w:color w:val="4F81BD" w:themeColor="accent1"/>
      <w:spacing w:val="5"/>
    </w:rPr>
  </w:style>
  <w:style w:type="character" w:styleId="SubtleEmphasis">
    <w:name w:val="Subtle Emphasis"/>
    <w:basedOn w:val="DefaultParagraphFont"/>
    <w:uiPriority w:val="19"/>
    <w:qFormat/>
    <w:rsid w:val="00DE69A8"/>
    <w:rPr>
      <w:i/>
      <w:iCs/>
      <w:color w:val="404040" w:themeColor="text1" w:themeTint="BF"/>
    </w:rPr>
  </w:style>
  <w:style w:type="character" w:styleId="SubtleReference">
    <w:name w:val="Subtle Reference"/>
    <w:basedOn w:val="DefaultParagraphFont"/>
    <w:uiPriority w:val="31"/>
    <w:qFormat/>
    <w:rsid w:val="00DE69A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apastyle.apa.org/style-grammar-guidelines/citations" TargetMode="External"/><Relationship Id="rId26" Type="http://schemas.openxmlformats.org/officeDocument/2006/relationships/hyperlink" Target="https://doi.org/10.48550/arXiv.1711.02508" TargetMode="External"/><Relationship Id="rId3" Type="http://schemas.openxmlformats.org/officeDocument/2006/relationships/numbering" Target="numbering.xml"/><Relationship Id="rId21" Type="http://schemas.openxmlformats.org/officeDocument/2006/relationships/hyperlink" Target="https://doi.org/10.18653/v1/N19-1423"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apastyle.apa.org/style-grammar-guidelines/references" TargetMode="External"/><Relationship Id="rId25" Type="http://schemas.openxmlformats.org/officeDocument/2006/relationships/hyperlink" Target="https://cdn.openai.com/better-language-models/language_models_are_unsupervised_multitask_learners.pdf"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https://doi.org/10.48550/arXiv.1406.1078" TargetMode="External"/><Relationship Id="rId29" Type="http://schemas.openxmlformats.org/officeDocument/2006/relationships/hyperlink" Target="https://doi.org/10.1017/S037346331100005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www.microsoft.com/en-us/research/project/geolife-building-social-networks-using-human-location-history/"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i.org/10.48550/arXiv.1412.6980" TargetMode="External"/><Relationship Id="rId28" Type="http://schemas.openxmlformats.org/officeDocument/2006/relationships/hyperlink" Target="https://doi.org/10.48550/arXiv.1706.03762" TargetMode="External"/><Relationship Id="rId10" Type="http://schemas.openxmlformats.org/officeDocument/2006/relationships/header" Target="header1.xml"/><Relationship Id="rId19" Type="http://schemas.openxmlformats.org/officeDocument/2006/relationships/hyperlink" Target="https://doi.org/10.48550/arXiv.1803.01271"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email@sandiego.edu" TargetMode="External"/><Relationship Id="rId14" Type="http://schemas.openxmlformats.org/officeDocument/2006/relationships/header" Target="header3.xml"/><Relationship Id="rId22" Type="http://schemas.openxmlformats.org/officeDocument/2006/relationships/hyperlink" Target="https://doi.org/10.1162/neco.1997.9.8.1735" TargetMode="External"/><Relationship Id="rId27" Type="http://schemas.openxmlformats.org/officeDocument/2006/relationships/hyperlink" Target="https://doi.org/10.1007/978-3-319-42928-1" TargetMode="External"/><Relationship Id="rId30" Type="http://schemas.openxmlformats.org/officeDocument/2006/relationships/hyperlink" Target="https://doi.org/10.1145/1409635.1409677" TargetMode="External"/></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Props1.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11</Pages>
  <Words>5028</Words>
  <Characters>29919</Characters>
  <Application>Microsoft Office Word</Application>
  <DocSecurity>0</DocSecurity>
  <Lines>831</Lines>
  <Paragraphs>137</Paragraphs>
  <ScaleCrop>false</ScaleCrop>
  <Company>University of San Diego</Company>
  <LinksUpToDate>false</LinksUpToDate>
  <CharactersWithSpaces>34810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Greg Bauer</cp:lastModifiedBy>
  <cp:revision>59</cp:revision>
  <dcterms:created xsi:type="dcterms:W3CDTF">2026-07-19T16:11:00Z</dcterms:created>
  <dcterms:modified xsi:type="dcterms:W3CDTF">2026-07-27T17:43:00Z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