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Rough Draft Ideas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Jobs</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Promote education and public awareness campaigns. Create programs to help workers who may be displaced by generative AI find new jobs or gain the skills needed to transition to new roles. This could include training programs, job placement services, and financial assistance.</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Human Oversight: Mandate that generative AI systems used in finance or healthcare, for example, have human oversight to ensure that decisions made by the systems are fair, accurate, and aligned with ethical guidelines.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Industry</w:t>
      </w:r>
    </w:p>
    <w:p w:rsidR="00000000" w:rsidDel="00000000" w:rsidP="00000000" w:rsidRDefault="00000000" w:rsidRPr="00000000" w14:paraId="00000007">
      <w:pPr>
        <w:numPr>
          <w:ilvl w:val="1"/>
          <w:numId w:val="2"/>
        </w:numPr>
        <w:ind w:left="1440" w:hanging="360"/>
      </w:pPr>
      <w:r w:rsidDel="00000000" w:rsidR="00000000" w:rsidRPr="00000000">
        <w:rPr>
          <w:rtl w:val="0"/>
        </w:rPr>
        <w:t xml:space="preserve">Implement tax incentives or subsidies for companies that invest in training their workforce to work alongside generative AI systems. This will encourage companies to maintain a human-centric approach to AI implementation and mitigate the risk of job displacement.</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Establish global standards for sharing best practices and policy ideas around the development and deployment of generative AI. This would be to facilitate international cooperation and help prevent the emergence of divergent regulatory frameworks that could impede innovation and growth.</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Personal Data</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Informed Consent: Companies must obtain explicit and informed consent from individuals before collecting and using their personal data. This means providing clear and understandable information about the purpose and scope of data collection, how the data will be used, and any potential risks or consequences. </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Limitations on Data Collection: Companies must only collect and use personal data that is necessary for the intended purpose of the generative AI system. This means limiting the scope of data collection to what is relevant and proportionate to the problem being addressed by the system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What we decided to go through with</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Jobs</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Human Oversight: Mandate that generative AI systems used in finance or healthcare, for example, have human oversight to ensure that decisions made by the systems are fair, accurate, and aligned with ethical guidelines.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Establish regulations on how companies can use generative AI</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Industry</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Global Standards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Human Oversight/Trained Specialist over how data is handled and extruded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Personal Data</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Discrimination in Bias data input for AI</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