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F419A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b/>
          <w:color w:val="1F2937"/>
          <w:sz w:val="48"/>
          <w:lang w:val="es-EC"/>
        </w:rPr>
        <w:t>EVIDENCIA VISUAL DEL PROYECTO</w:t>
      </w:r>
    </w:p>
    <w:p w14:paraId="43447667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b/>
          <w:color w:val="1D4ED8"/>
          <w:sz w:val="38"/>
          <w:lang w:val="es-EC"/>
        </w:rPr>
        <w:t>PSet 2 - NY Taxi 2025</w:t>
      </w:r>
    </w:p>
    <w:p w14:paraId="347F35DE" w14:textId="77777777" w:rsidR="00277325" w:rsidRPr="00313601" w:rsidRDefault="00000000">
      <w:pPr>
        <w:jc w:val="center"/>
        <w:rPr>
          <w:lang w:val="es-EC"/>
        </w:rPr>
      </w:pPr>
      <w:r w:rsidRPr="00313601">
        <w:rPr>
          <w:i/>
          <w:color w:val="475569"/>
          <w:sz w:val="24"/>
          <w:lang w:val="es-EC"/>
        </w:rPr>
        <w:t>Implementación con Docker Compose, Mage, PostgreSQL y pgAdmin</w:t>
      </w:r>
    </w:p>
    <w:p w14:paraId="0F42676F" w14:textId="77777777" w:rsidR="00277325" w:rsidRPr="00313601" w:rsidRDefault="00000000">
      <w:pPr>
        <w:spacing w:after="160"/>
        <w:jc w:val="both"/>
        <w:rPr>
          <w:lang w:val="es-EC"/>
        </w:rPr>
      </w:pPr>
      <w:r w:rsidRPr="00313601">
        <w:rPr>
          <w:color w:val="374151"/>
          <w:lang w:val="es-EC"/>
        </w:rPr>
        <w:t>Este documento reúne la evidencia visual final del proyecto y sustituye la versión anterior con capturas corregidas de la sección SQL. Se verifica el funcionamiento de la infraestructura en Docker Desktop, la definición de los pipelines y triggers en Mage, la creación de objetos en PostgreSQL y la ejecución de consultas analíticas en pgAdmin. Las capturas fueron seleccionadas para evitar repeticiones y para mostrar de manera clara el cumplimiento de los requisitos del taller.</w:t>
      </w:r>
    </w:p>
    <w:p w14:paraId="0186C261" w14:textId="77777777" w:rsidR="00277325" w:rsidRDefault="00000000">
      <w:pPr>
        <w:pStyle w:val="Listaconvietas"/>
        <w:spacing w:after="40"/>
      </w:pPr>
      <w:r>
        <w:t>Servicios corriendo en Docker Desktop</w:t>
      </w:r>
    </w:p>
    <w:p w14:paraId="29DBA76E" w14:textId="77777777" w:rsidR="00277325" w:rsidRPr="00313601" w:rsidRDefault="00000000">
      <w:pPr>
        <w:pStyle w:val="Listaconvietas"/>
        <w:spacing w:after="40"/>
        <w:rPr>
          <w:lang w:val="es-EC"/>
        </w:rPr>
      </w:pPr>
      <w:r w:rsidRPr="00313601">
        <w:rPr>
          <w:lang w:val="es-EC"/>
        </w:rPr>
        <w:t>Pipelines visibles y bloques configurados en Mage</w:t>
      </w:r>
    </w:p>
    <w:p w14:paraId="6AB2F689" w14:textId="77777777" w:rsidR="00277325" w:rsidRPr="00313601" w:rsidRDefault="00000000">
      <w:pPr>
        <w:pStyle w:val="Listaconvietas"/>
        <w:spacing w:after="40"/>
        <w:rPr>
          <w:lang w:val="es-EC"/>
        </w:rPr>
      </w:pPr>
      <w:r w:rsidRPr="00313601">
        <w:rPr>
          <w:lang w:val="es-EC"/>
        </w:rPr>
        <w:t>Triggers definidos para la carga raw y la ejecución de clean</w:t>
      </w:r>
    </w:p>
    <w:p w14:paraId="6EA8C75C" w14:textId="77777777" w:rsidR="00277325" w:rsidRPr="00313601" w:rsidRDefault="00000000">
      <w:pPr>
        <w:pStyle w:val="Listaconvietas"/>
        <w:spacing w:after="40"/>
        <w:rPr>
          <w:lang w:val="es-EC"/>
        </w:rPr>
      </w:pPr>
      <w:r w:rsidRPr="00313601">
        <w:rPr>
          <w:lang w:val="es-EC"/>
        </w:rPr>
        <w:t>Evidencia de tablas en los esquemas raw y clean</w:t>
      </w:r>
    </w:p>
    <w:p w14:paraId="5BF517FF" w14:textId="77777777" w:rsidR="00277325" w:rsidRPr="00313601" w:rsidRDefault="00000000">
      <w:pPr>
        <w:pStyle w:val="Listaconvietas"/>
        <w:spacing w:after="40"/>
        <w:rPr>
          <w:lang w:val="es-EC"/>
        </w:rPr>
      </w:pPr>
      <w:r w:rsidRPr="00313601">
        <w:rPr>
          <w:lang w:val="es-EC"/>
        </w:rPr>
        <w:t>Validaciones SQL sobre estructura, nulos, granularidad y comportamiento analítico</w:t>
      </w:r>
    </w:p>
    <w:p w14:paraId="64A669FA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5F3C7B94" w14:textId="77777777" w:rsidR="00277325" w:rsidRPr="00313601" w:rsidRDefault="00000000">
      <w:pPr>
        <w:spacing w:after="120"/>
        <w:rPr>
          <w:lang w:val="es-EC"/>
        </w:rPr>
      </w:pPr>
      <w:r w:rsidRPr="00313601">
        <w:rPr>
          <w:b/>
          <w:color w:val="1F2937"/>
          <w:sz w:val="31"/>
          <w:lang w:val="es-EC"/>
        </w:rPr>
        <w:lastRenderedPageBreak/>
        <w:t>1. Servicios corriendo en Docker</w:t>
      </w:r>
    </w:p>
    <w:p w14:paraId="2E5DBBDA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t>1. Vista general de contenedores en Docker Desktop</w:t>
      </w:r>
    </w:p>
    <w:p w14:paraId="5CFC60ED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Se observa el proyecto pset-2 con los tres servicios principales activos: Mage, PostgreSQL y pgAdmin.</w:t>
      </w:r>
    </w:p>
    <w:p w14:paraId="591F4FEB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52EBA50" wp14:editId="0CAE44B7">
            <wp:extent cx="7635240" cy="27719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67025a-82f4-45f2-a2ae-9c83a2dfdde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277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D2D3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1. Evidencia visual correspondiente al proyecto.</w:t>
      </w:r>
    </w:p>
    <w:p w14:paraId="2829A412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608821F3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2. Contenedor de Mage en ejecución</w:t>
      </w:r>
    </w:p>
    <w:p w14:paraId="618B5831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evidencia confirma que el contenedor del orquestador se encuentra levantado y operativo.</w:t>
      </w:r>
    </w:p>
    <w:p w14:paraId="39C345BD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48ED60F" wp14:editId="46B6AC0E">
            <wp:extent cx="7635240" cy="3664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1e538e-9c83-450c-beaf-1f49c7f9fb4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366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39C1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2. Evidencia visual correspondiente al proyecto.</w:t>
      </w:r>
    </w:p>
    <w:p w14:paraId="144F6FA4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467AA7D7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3. Contenedor de PostgreSQL en ejecución</w:t>
      </w:r>
    </w:p>
    <w:p w14:paraId="6A85C4F6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evidencia muestra el servicio de base de datos activo y disponible para el almacenamiento de las capas raw y clean.</w:t>
      </w:r>
    </w:p>
    <w:p w14:paraId="28E1F3C0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8F36E2C" wp14:editId="5DD68D10">
            <wp:extent cx="7635240" cy="37087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c6cf9b1-27fb-46a5-b96f-4851e07df5f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370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D32E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3. Evidencia visual correspondiente al proyecto.</w:t>
      </w:r>
    </w:p>
    <w:p w14:paraId="5AC28205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7302F2D3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4. Contenedor de pgAdmin en ejecución</w:t>
      </w:r>
    </w:p>
    <w:p w14:paraId="532A6FE7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evidencia confirma la disponibilidad de la interfaz web utilizada para la exploración del modelo y la validación de consultas SQL.</w:t>
      </w:r>
    </w:p>
    <w:p w14:paraId="1E13D673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AEE7B0E" wp14:editId="79F36C33">
            <wp:extent cx="7635240" cy="39645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f8262f-3d40-4e5a-9254-edadefffe0d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396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B1F8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4. Evidencia visual correspondiente al proyecto.</w:t>
      </w:r>
    </w:p>
    <w:p w14:paraId="53B68023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1B5EA119" w14:textId="77777777" w:rsidR="00277325" w:rsidRPr="00313601" w:rsidRDefault="00000000">
      <w:pPr>
        <w:spacing w:after="120"/>
        <w:rPr>
          <w:lang w:val="es-EC"/>
        </w:rPr>
      </w:pPr>
      <w:r w:rsidRPr="00313601">
        <w:rPr>
          <w:b/>
          <w:color w:val="1F2937"/>
          <w:sz w:val="31"/>
          <w:lang w:val="es-EC"/>
        </w:rPr>
        <w:lastRenderedPageBreak/>
        <w:t>2. Pipelines visibles en Mage</w:t>
      </w:r>
    </w:p>
    <w:p w14:paraId="18570284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t>5. Pipelines visibles en Mage</w:t>
      </w:r>
    </w:p>
    <w:p w14:paraId="5D0851E6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Se visualizan los pipelines pipe_raw y pipe_clean, correspondientes a la carga de la capa raw y a la construcción de la capa clean.</w:t>
      </w:r>
    </w:p>
    <w:p w14:paraId="233ADD7E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A8ACF80" wp14:editId="0A47156E">
            <wp:extent cx="7635240" cy="22950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8e0728-5cda-4b09-9fdd-8cd10e6c63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229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E4B2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5. Evidencia visual correspondiente al proyecto.</w:t>
      </w:r>
    </w:p>
    <w:p w14:paraId="280543CD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6D06DFB8" w14:textId="77777777" w:rsidR="00277325" w:rsidRDefault="00000000">
      <w:pPr>
        <w:spacing w:after="80"/>
      </w:pPr>
      <w:r>
        <w:rPr>
          <w:b/>
          <w:color w:val="1D4ED8"/>
          <w:sz w:val="23"/>
        </w:rPr>
        <w:lastRenderedPageBreak/>
        <w:t>6. Estructura del pipeline pipe_raw</w:t>
      </w:r>
    </w:p>
    <w:p w14:paraId="3BC1844A" w14:textId="77777777" w:rsidR="00277325" w:rsidRDefault="00000000">
      <w:pPr>
        <w:spacing w:after="100"/>
        <w:jc w:val="both"/>
      </w:pPr>
      <w:r>
        <w:rPr>
          <w:color w:val="374151"/>
          <w:sz w:val="20"/>
        </w:rPr>
        <w:t>El pipeline raw contiene los bloques extract_data_raw, load_data_raw y trigger_pipe_clean_after_last_raw.</w:t>
      </w:r>
    </w:p>
    <w:p w14:paraId="09FCDAD6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40DCBB7" wp14:editId="004D1283">
            <wp:extent cx="7635240" cy="41699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df9fd1-25be-4856-8f07-fd19a3f33a0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416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EFF3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6. Evidencia visual correspondiente al proyecto.</w:t>
      </w:r>
    </w:p>
    <w:p w14:paraId="48F91D8F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17EFE073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7. Estructura del pipeline pipe_clean</w:t>
      </w:r>
    </w:p>
    <w:p w14:paraId="68826C06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El pipeline clean contiene los bloques load_clean_params, create_stg_trip_2025, create_dimensions y create_fact_trip.</w:t>
      </w:r>
    </w:p>
    <w:p w14:paraId="6E77109F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7CBD5B4" wp14:editId="51D21104">
            <wp:extent cx="7635240" cy="38974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e75b6f-a4d5-4506-ac06-eb6b60848ec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389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99EC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7. Evidencia visual correspondiente al proyecto.</w:t>
      </w:r>
    </w:p>
    <w:p w14:paraId="7FAEDDCE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72801754" w14:textId="77777777" w:rsidR="00277325" w:rsidRPr="00313601" w:rsidRDefault="00000000">
      <w:pPr>
        <w:spacing w:after="120"/>
        <w:rPr>
          <w:lang w:val="es-EC"/>
        </w:rPr>
      </w:pPr>
      <w:r w:rsidRPr="00313601">
        <w:rPr>
          <w:b/>
          <w:color w:val="1F2937"/>
          <w:sz w:val="31"/>
          <w:lang w:val="es-EC"/>
        </w:rPr>
        <w:lastRenderedPageBreak/>
        <w:t>3. Triggers configurados</w:t>
      </w:r>
    </w:p>
    <w:p w14:paraId="370BD625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t>8. Triggers configurados en pipe_raw</w:t>
      </w:r>
    </w:p>
    <w:p w14:paraId="5C23212E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Se muestran los tres triggers manuales definidos para cargar el año 2025 en bloques de cuatro meses.</w:t>
      </w:r>
    </w:p>
    <w:p w14:paraId="4ABCD673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2E39847" wp14:editId="70559CC1">
            <wp:extent cx="7635240" cy="25213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1a9cb8-e8c9-4d0f-bf90-498fb31d20b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252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D377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8. Evidencia visual correspondiente al proyecto.</w:t>
      </w:r>
    </w:p>
    <w:p w14:paraId="2E6C6655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0F9E8627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9. Detalle del trigger raw_2025_m01_m04</w:t>
      </w:r>
    </w:p>
    <w:p w14:paraId="4F8D2D48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evidencia muestra la configuración y variables de ejecución para cargar los meses enero a abril de 2025.</w:t>
      </w:r>
    </w:p>
    <w:p w14:paraId="760EF5F3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F6B8477" wp14:editId="7AC58672">
            <wp:extent cx="6215105" cy="45262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3a1541-2d0d-4d5e-b1b4-739dc5e1bdc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510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6077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9. Evidencia visual correspondiente al proyecto.</w:t>
      </w:r>
    </w:p>
    <w:p w14:paraId="57C7925D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1E46F186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10. Detalle del trigger raw_2025_m05_m08</w:t>
      </w:r>
    </w:p>
    <w:p w14:paraId="22AC5F33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evidencia muestra la configuración y variables de ejecución para cargar los meses mayo a agosto de 2025.</w:t>
      </w:r>
    </w:p>
    <w:p w14:paraId="49CCDFE0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6C3AC9E" wp14:editId="1BC1DDC7">
            <wp:extent cx="7237566" cy="45262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476dff-bdf5-4f97-91d2-b5b8954d5e5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37566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5EA1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10. Evidencia visual correspondiente al proyecto.</w:t>
      </w:r>
    </w:p>
    <w:p w14:paraId="6FFC208D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3679A7CD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11. Detalle del trigger raw_2025_m09_m12</w:t>
      </w:r>
    </w:p>
    <w:p w14:paraId="74273092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evidencia muestra la configuración y variables de ejecución para cargar los meses septiembre a diciembre de 2025.</w:t>
      </w:r>
    </w:p>
    <w:p w14:paraId="1E7F4DB9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765CD7E" wp14:editId="17894F71">
            <wp:extent cx="7447179" cy="45262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7b66e2f-ccbc-4c86-98e2-106ba3c41a6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47179" cy="45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6F47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11. Evidencia visual correspondiente al proyecto.</w:t>
      </w:r>
    </w:p>
    <w:p w14:paraId="5B1AABB1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29398848" w14:textId="77777777" w:rsidR="00277325" w:rsidRDefault="00000000">
      <w:pPr>
        <w:spacing w:after="80"/>
      </w:pPr>
      <w:r>
        <w:rPr>
          <w:b/>
          <w:color w:val="1D4ED8"/>
          <w:sz w:val="23"/>
        </w:rPr>
        <w:lastRenderedPageBreak/>
        <w:t>12. Detalle del trigger clean_after_raw_2025</w:t>
      </w:r>
    </w:p>
    <w:p w14:paraId="1F2E09F9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evidencia muestra el trigger API que ejecuta pipe_clean luego de finalizar la última carga de pipe_raw.</w:t>
      </w:r>
    </w:p>
    <w:p w14:paraId="44416ACD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9B94E7D" wp14:editId="2504B9E0">
            <wp:extent cx="6712169" cy="45262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e6dfe73-172f-4cb8-a6c8-4e075d87ab5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12169" cy="45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100B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12. Evidencia visual correspondiente al proyecto.</w:t>
      </w:r>
    </w:p>
    <w:p w14:paraId="69933A1B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5028FBEB" w14:textId="77777777" w:rsidR="00277325" w:rsidRPr="00313601" w:rsidRDefault="00000000">
      <w:pPr>
        <w:spacing w:after="120"/>
        <w:rPr>
          <w:lang w:val="es-EC"/>
        </w:rPr>
      </w:pPr>
      <w:r w:rsidRPr="00313601">
        <w:rPr>
          <w:b/>
          <w:color w:val="1F2937"/>
          <w:sz w:val="31"/>
          <w:lang w:val="es-EC"/>
        </w:rPr>
        <w:lastRenderedPageBreak/>
        <w:t>4. Evidencia de tablas en raw y clean</w:t>
      </w:r>
    </w:p>
    <w:p w14:paraId="4F55459B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t>13. Conexión y schemas en pgAdmin</w:t>
      </w:r>
    </w:p>
    <w:p w14:paraId="155C1FFB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Se visualiza la base de datos warehouse con los schemas public, raw y clean.</w:t>
      </w:r>
    </w:p>
    <w:p w14:paraId="0A439D67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15B7D26" wp14:editId="6DDCEC2D">
            <wp:extent cx="5148449" cy="45262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7cc3107-fafc-4bbb-9d71-7e36bc79cb3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8449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3B41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13. Evidencia visual correspondiente al proyecto.</w:t>
      </w:r>
    </w:p>
    <w:p w14:paraId="40C0075A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21E6E043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14. Tablas del esquema raw</w:t>
      </w:r>
    </w:p>
    <w:p w14:paraId="313638A4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evidencia muestra las 12 tablas mensuales cargadas en raw, desde yellow_tripdata_2025_01 hasta yellow_tripdata_2025_12.</w:t>
      </w:r>
    </w:p>
    <w:p w14:paraId="0827BE4D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F5D5E3A" wp14:editId="4BF4B5DB">
            <wp:extent cx="3588499" cy="45262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334f4f-8190-457b-85a7-b9fb830e779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8499" cy="45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57D3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14. Evidencia visual correspondiente al proyecto.</w:t>
      </w:r>
    </w:p>
    <w:p w14:paraId="0F824147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130EEB95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15. Estructura de una tabla raw</w:t>
      </w:r>
    </w:p>
    <w:p w14:paraId="3E705BBE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Se muestra la estructura de yellow_tripdata_2025_01, evidenciando que la capa raw conserva los datos cercanos a la fuente.</w:t>
      </w:r>
    </w:p>
    <w:p w14:paraId="777C4CBB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5F163C9" wp14:editId="188DC59A">
            <wp:extent cx="3533727" cy="45262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7bf2e1a-17ea-4e6c-ab48-b59a06f6535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3727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916D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15. Evidencia visual correspondiente al proyecto.</w:t>
      </w:r>
    </w:p>
    <w:p w14:paraId="560FE73A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3B2673D0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16. Tablas del esquema clean</w:t>
      </w:r>
    </w:p>
    <w:p w14:paraId="4D35C0F0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Se muestran las tablas resultantes del modelo analítico: stg_trip_2025, dimensiones y tabla de hechos.</w:t>
      </w:r>
    </w:p>
    <w:p w14:paraId="223790E1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1E26589" wp14:editId="355E0246">
            <wp:extent cx="4449951" cy="452627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94da41-788c-4764-a502-0979c8d0dd6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9951" cy="45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CB79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16. Evidencia visual correspondiente al proyecto.</w:t>
      </w:r>
    </w:p>
    <w:p w14:paraId="3433C297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40BCE855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17. Estructura de la tabla de hechos fact_trip</w:t>
      </w:r>
    </w:p>
    <w:p w14:paraId="2A29D7AD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evidencia muestra las medidas del viaje y las claves dimensionales utilizadas por la tabla de hechos.</w:t>
      </w:r>
    </w:p>
    <w:p w14:paraId="2243D6AD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28A1889" wp14:editId="36DC2932">
            <wp:extent cx="3871795" cy="45262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9ee816-b506-4bd6-9918-76455cce93f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179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619F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17. Evidencia visual correspondiente al proyecto.</w:t>
      </w:r>
    </w:p>
    <w:p w14:paraId="5AA0E222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6910163B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18. Estructura de la tabla staging stg_trip_2025</w:t>
      </w:r>
    </w:p>
    <w:p w14:paraId="2931B425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evidencia muestra la tabla intermedia utilizada para limpieza, estandarización y preparación del modelo dimensional.</w:t>
      </w:r>
    </w:p>
    <w:p w14:paraId="72D8B9B1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7252C85" wp14:editId="2829BD7D">
            <wp:extent cx="3106479" cy="452627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5ae365-57bc-44b0-868f-8b1f6dad734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6479" cy="45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BBB9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18. Evidencia visual correspondiente al proyecto.</w:t>
      </w:r>
    </w:p>
    <w:p w14:paraId="0A26B54D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0A05FFA7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19. Estructura de dimensiones en clean</w:t>
      </w:r>
    </w:p>
    <w:p w14:paraId="232D5162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Se observan columnas de las dimensiones dim_dropoff_location, dim_payment_type y dim_pickup_location.</w:t>
      </w:r>
    </w:p>
    <w:p w14:paraId="1C97DA6B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4572FB6" wp14:editId="7FCE4802">
            <wp:extent cx="3377446" cy="45262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e1da725-0284-42fe-82d5-ce0ffb0d1fe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7446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0F18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19. Evidencia visual correspondiente al proyecto.</w:t>
      </w:r>
    </w:p>
    <w:p w14:paraId="7286C57C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375327F9" w14:textId="77777777" w:rsidR="00277325" w:rsidRPr="00313601" w:rsidRDefault="00000000">
      <w:pPr>
        <w:spacing w:after="120"/>
        <w:rPr>
          <w:lang w:val="es-EC"/>
        </w:rPr>
      </w:pPr>
      <w:r w:rsidRPr="00313601">
        <w:rPr>
          <w:b/>
          <w:color w:val="1F2937"/>
          <w:sz w:val="31"/>
          <w:lang w:val="es-EC"/>
        </w:rPr>
        <w:lastRenderedPageBreak/>
        <w:t>5. Consultas en pgAdmin mostrando resultados</w:t>
      </w:r>
    </w:p>
    <w:p w14:paraId="0C31541A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t>20. Validación de existencia de schemas raw y clean</w:t>
      </w:r>
    </w:p>
    <w:p w14:paraId="5B741859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consulta confirma que ambos schemas existen en la base warehouse.</w:t>
      </w:r>
    </w:p>
    <w:p w14:paraId="0FD7034C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7AD6E56" wp14:editId="436EAB97">
            <wp:extent cx="5336821" cy="45262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e406b32-1d30-44cd-ac23-95c9f88f75b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6821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42D7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20. Evidencia visual correspondiente al proyecto.</w:t>
      </w:r>
    </w:p>
    <w:p w14:paraId="735F0FD7" w14:textId="77777777" w:rsidR="00277325" w:rsidRPr="00313601" w:rsidRDefault="00000000">
      <w:pPr>
        <w:spacing w:after="40"/>
        <w:jc w:val="both"/>
        <w:rPr>
          <w:lang w:val="es-EC"/>
        </w:rPr>
      </w:pPr>
      <w:r w:rsidRPr="00313601">
        <w:rPr>
          <w:color w:val="475569"/>
          <w:sz w:val="19"/>
          <w:lang w:val="es-EC"/>
        </w:rPr>
        <w:t>Interpretación: la base de datos contiene correctamente las dos capas requeridas para el taller.</w:t>
      </w:r>
    </w:p>
    <w:p w14:paraId="20EF8DDD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21221A59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21. Conteo total de tablas en raw</w:t>
      </w:r>
    </w:p>
    <w:p w14:paraId="3459919D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consulta confirma que el esquema raw contiene 12 tablas mensuales.</w:t>
      </w:r>
    </w:p>
    <w:p w14:paraId="6B34003C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7B98B3D" wp14:editId="741F4C4B">
            <wp:extent cx="4781713" cy="45262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f270a9-8940-438a-893f-910fb55b7b0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1713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F396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21. Evidencia visual correspondiente al proyecto.</w:t>
      </w:r>
    </w:p>
    <w:p w14:paraId="440289A6" w14:textId="77777777" w:rsidR="00277325" w:rsidRPr="00313601" w:rsidRDefault="00000000">
      <w:pPr>
        <w:spacing w:after="40"/>
        <w:jc w:val="both"/>
        <w:rPr>
          <w:lang w:val="es-EC"/>
        </w:rPr>
      </w:pPr>
      <w:r w:rsidRPr="00313601">
        <w:rPr>
          <w:color w:val="475569"/>
          <w:sz w:val="19"/>
          <w:lang w:val="es-EC"/>
        </w:rPr>
        <w:t>Interpretación: se verifica la carga completa de las doce tablas mensuales del año 2025 en raw.</w:t>
      </w:r>
    </w:p>
    <w:p w14:paraId="30677C13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0D0FA56B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22. Conteo total de tablas en clean</w:t>
      </w:r>
    </w:p>
    <w:p w14:paraId="2C49BC69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consulta confirma que el esquema clean contiene 6 tablas, correspondientes a staging, dimensiones y tabla de hechos.</w:t>
      </w:r>
    </w:p>
    <w:p w14:paraId="23CDC703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FBECEBB" wp14:editId="060DD4F2">
            <wp:extent cx="5400454" cy="45262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f04a2ad-b505-4190-9625-13bd705d238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454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80C7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22. Evidencia visual correspondiente al proyecto.</w:t>
      </w:r>
    </w:p>
    <w:p w14:paraId="66511F18" w14:textId="77777777" w:rsidR="00277325" w:rsidRPr="00313601" w:rsidRDefault="00000000">
      <w:pPr>
        <w:spacing w:after="40"/>
        <w:jc w:val="both"/>
        <w:rPr>
          <w:lang w:val="es-EC"/>
        </w:rPr>
      </w:pPr>
      <w:r w:rsidRPr="00313601">
        <w:rPr>
          <w:color w:val="475569"/>
          <w:sz w:val="19"/>
          <w:lang w:val="es-EC"/>
        </w:rPr>
        <w:t>Interpretación: la capa clean contiene exclusivamente las tablas analíticas definidas en el modelo.</w:t>
      </w:r>
    </w:p>
    <w:p w14:paraId="5122BC86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3CA75498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23. Validación de nulos en stg_trip_2025</w:t>
      </w:r>
    </w:p>
    <w:p w14:paraId="7A6524FB" w14:textId="586E47B2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consulta demuestra que</w:t>
      </w:r>
      <w:r w:rsidR="00313601">
        <w:rPr>
          <w:color w:val="374151"/>
          <w:sz w:val="20"/>
          <w:lang w:val="es-EC"/>
        </w:rPr>
        <w:t xml:space="preserve"> </w:t>
      </w:r>
      <w:r w:rsidRPr="00313601">
        <w:rPr>
          <w:color w:val="374151"/>
          <w:sz w:val="20"/>
          <w:lang w:val="es-EC"/>
        </w:rPr>
        <w:t>la tabla staging ya no contiene nulos en payment_type_id.</w:t>
      </w:r>
    </w:p>
    <w:p w14:paraId="1548A241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BAF08E0" wp14:editId="64F465B8">
            <wp:extent cx="5921314" cy="45262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f6b8ee0-c181-461f-866d-1b3dfdfafa7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1314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4ED6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23. Evidencia visual correspondiente al proyecto.</w:t>
      </w:r>
    </w:p>
    <w:p w14:paraId="7B2E3C8F" w14:textId="77777777" w:rsidR="00277325" w:rsidRPr="00313601" w:rsidRDefault="00000000">
      <w:pPr>
        <w:spacing w:after="40"/>
        <w:jc w:val="both"/>
        <w:rPr>
          <w:lang w:val="es-EC"/>
        </w:rPr>
      </w:pPr>
      <w:r w:rsidRPr="00313601">
        <w:rPr>
          <w:color w:val="475569"/>
          <w:sz w:val="19"/>
          <w:lang w:val="es-EC"/>
        </w:rPr>
        <w:t>Interpretación: se demuestra el tratamiento de valores nulos en staging, en cumplimiento de las validaciones mínimas esperadas en clean.</w:t>
      </w:r>
    </w:p>
    <w:p w14:paraId="37D62B77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2E4E5544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24. Validación de nulos en fact_trip</w:t>
      </w:r>
    </w:p>
    <w:p w14:paraId="0E29CDCD" w14:textId="19C16909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consulta demuestra que la tabla de hechos no contiene nulos en payment_type_key.</w:t>
      </w:r>
    </w:p>
    <w:p w14:paraId="74C8D882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EEF36B6" wp14:editId="0A12A90E">
            <wp:extent cx="5829431" cy="45262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8606e7-a52f-4911-93e6-62f5f9dcdb3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29431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E56B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24. Evidencia visual correspondiente al proyecto.</w:t>
      </w:r>
    </w:p>
    <w:p w14:paraId="673C0CD1" w14:textId="77777777" w:rsidR="00277325" w:rsidRPr="00313601" w:rsidRDefault="00000000">
      <w:pPr>
        <w:spacing w:after="40"/>
        <w:jc w:val="both"/>
        <w:rPr>
          <w:lang w:val="es-EC"/>
        </w:rPr>
      </w:pPr>
      <w:r w:rsidRPr="00313601">
        <w:rPr>
          <w:color w:val="475569"/>
          <w:sz w:val="19"/>
          <w:lang w:val="es-EC"/>
        </w:rPr>
        <w:t>Interpretación: se demuestra que la tabla de hechos no arrastra nulos en la clave de pago.</w:t>
      </w:r>
    </w:p>
    <w:p w14:paraId="05C48AB1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600956D4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25. Dimensión de tipo de pago</w:t>
      </w:r>
    </w:p>
    <w:p w14:paraId="6154FB80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dimensión dim_payment_type incluye la categoría unknown, utilizada para absorber valores faltantes o no clasificados.</w:t>
      </w:r>
    </w:p>
    <w:p w14:paraId="14413A57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8EC35C3" wp14:editId="68D72BBD">
            <wp:extent cx="4922912" cy="452627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e02c091-6033-4dc1-a39a-368b94fb315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2912" cy="45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D11B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25. Evidencia visual correspondiente al proyecto.</w:t>
      </w:r>
    </w:p>
    <w:p w14:paraId="1ACDC6D0" w14:textId="77777777" w:rsidR="00277325" w:rsidRPr="00313601" w:rsidRDefault="00000000">
      <w:pPr>
        <w:spacing w:after="40"/>
        <w:jc w:val="both"/>
        <w:rPr>
          <w:lang w:val="es-EC"/>
        </w:rPr>
      </w:pPr>
      <w:r w:rsidRPr="00313601">
        <w:rPr>
          <w:color w:val="475569"/>
          <w:sz w:val="19"/>
          <w:lang w:val="es-EC"/>
        </w:rPr>
        <w:t>Interpretación: la categoría unknown permite conservar registros válidos sin perder completitud analítica.</w:t>
      </w:r>
    </w:p>
    <w:p w14:paraId="6350D068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2E58247D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26. Resumen analítico por tipo de pago</w:t>
      </w:r>
    </w:p>
    <w:p w14:paraId="067C88CF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El resultado muestra que los registros previamente nulos fueron mapeados a la categoría unknown, evitando valores nulos en la capa clean.</w:t>
      </w:r>
    </w:p>
    <w:p w14:paraId="729925EB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1B5F0D1" wp14:editId="5BE43EC4">
            <wp:extent cx="5275232" cy="452627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efdd41-d13e-4616-98c1-9bc8e5e7284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5232" cy="45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9577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26. Evidencia visual correspondiente al proyecto.</w:t>
      </w:r>
    </w:p>
    <w:p w14:paraId="4682E20D" w14:textId="77777777" w:rsidR="00277325" w:rsidRPr="00313601" w:rsidRDefault="00000000">
      <w:pPr>
        <w:spacing w:after="40"/>
        <w:jc w:val="both"/>
        <w:rPr>
          <w:lang w:val="es-EC"/>
        </w:rPr>
      </w:pPr>
      <w:r w:rsidRPr="00313601">
        <w:rPr>
          <w:color w:val="475569"/>
          <w:sz w:val="19"/>
          <w:lang w:val="es-EC"/>
        </w:rPr>
        <w:t>Interpretación: el resumen final por tipo de pago ya no presenta valores NULL, sino una clasificación consistente.</w:t>
      </w:r>
    </w:p>
    <w:p w14:paraId="2626F540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3F9B5AA3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27. Validación de la fact table con claves dimensionales</w:t>
      </w:r>
    </w:p>
    <w:p w14:paraId="45F0F682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muestra confirma que la tabla fact_trip incorpora las claves dimensionales necesarias para el análisis del viaje.</w:t>
      </w:r>
    </w:p>
    <w:p w14:paraId="482DA428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E48D1EC" wp14:editId="2AAA3A14">
            <wp:extent cx="6732908" cy="452627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d831da3-7dcf-4586-a675-f3d6dc6df8d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32908" cy="45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5E96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27. Evidencia visual correspondiente al proyecto.</w:t>
      </w:r>
    </w:p>
    <w:p w14:paraId="74DC61FA" w14:textId="77777777" w:rsidR="00277325" w:rsidRPr="00313601" w:rsidRDefault="00000000">
      <w:pPr>
        <w:spacing w:after="40"/>
        <w:jc w:val="both"/>
        <w:rPr>
          <w:lang w:val="es-EC"/>
        </w:rPr>
      </w:pPr>
      <w:r w:rsidRPr="00313601">
        <w:rPr>
          <w:color w:val="475569"/>
          <w:sz w:val="19"/>
          <w:lang w:val="es-EC"/>
        </w:rPr>
        <w:t>Interpretación: la fact table incorpora llaves de dimensión y métricas por viaje.</w:t>
      </w:r>
    </w:p>
    <w:p w14:paraId="45A7AA95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4C47EC39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28. Validación de granularidad de la fact table</w:t>
      </w:r>
    </w:p>
    <w:p w14:paraId="7E3E153A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consulta muestra que cada fila en fact_trip representa un viaje individual con medidas como distancia, monto total y duración.</w:t>
      </w:r>
    </w:p>
    <w:p w14:paraId="2EC16010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F82E7F5" wp14:editId="3C0981EA">
            <wp:extent cx="6517202" cy="45262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5dd6c0f-b41b-42d7-9382-ed8a6a21148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17202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0161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28. Evidencia visual correspondiente al proyecto.</w:t>
      </w:r>
    </w:p>
    <w:p w14:paraId="4834CF96" w14:textId="77777777" w:rsidR="00277325" w:rsidRPr="00313601" w:rsidRDefault="00000000">
      <w:pPr>
        <w:spacing w:after="40"/>
        <w:jc w:val="both"/>
        <w:rPr>
          <w:lang w:val="es-EC"/>
        </w:rPr>
      </w:pPr>
      <w:r w:rsidRPr="00313601">
        <w:rPr>
          <w:color w:val="475569"/>
          <w:sz w:val="19"/>
          <w:lang w:val="es-EC"/>
        </w:rPr>
        <w:t>Interpretación: la granularidad queda definida como un viaje por fila en fact_trip.</w:t>
      </w:r>
    </w:p>
    <w:p w14:paraId="2D0C962B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56E9BFF1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29. Consulta analítica con joins a dimensiones</w:t>
      </w:r>
    </w:p>
    <w:p w14:paraId="607575F6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salida demuestra que fact_trip se relaciona correctamente con dim_vendor y dim_payment_type, habilitando análisis por atributos descriptivos.</w:t>
      </w:r>
    </w:p>
    <w:p w14:paraId="153B5069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3C9B4AA" wp14:editId="7C24C29C">
            <wp:extent cx="5950402" cy="45262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cb3c08-f77d-4e08-9de0-d6bf725e503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50402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9128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29. Evidencia visual correspondiente al proyecto.</w:t>
      </w:r>
    </w:p>
    <w:p w14:paraId="55356A2C" w14:textId="77777777" w:rsidR="00277325" w:rsidRPr="00313601" w:rsidRDefault="00000000">
      <w:pPr>
        <w:spacing w:after="40"/>
        <w:jc w:val="both"/>
        <w:rPr>
          <w:lang w:val="es-EC"/>
        </w:rPr>
      </w:pPr>
      <w:r w:rsidRPr="00313601">
        <w:rPr>
          <w:color w:val="475569"/>
          <w:sz w:val="19"/>
          <w:lang w:val="es-EC"/>
        </w:rPr>
        <w:t>Interpretación: el modelo soporta análisis descriptivo mediante joins entre hechos y dimensiones.</w:t>
      </w:r>
    </w:p>
    <w:p w14:paraId="7D36EE20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3F5A4127" w14:textId="77777777" w:rsidR="00277325" w:rsidRPr="00313601" w:rsidRDefault="00000000">
      <w:pPr>
        <w:spacing w:after="80"/>
        <w:rPr>
          <w:lang w:val="es-EC"/>
        </w:rPr>
      </w:pPr>
      <w:r w:rsidRPr="00313601">
        <w:rPr>
          <w:b/>
          <w:color w:val="1D4ED8"/>
          <w:sz w:val="23"/>
          <w:lang w:val="es-EC"/>
        </w:rPr>
        <w:lastRenderedPageBreak/>
        <w:t>30. Resumen analítico por proveedor</w:t>
      </w:r>
    </w:p>
    <w:p w14:paraId="04825501" w14:textId="77777777" w:rsidR="00277325" w:rsidRPr="00313601" w:rsidRDefault="00000000">
      <w:pPr>
        <w:spacing w:after="100"/>
        <w:jc w:val="both"/>
        <w:rPr>
          <w:lang w:val="es-EC"/>
        </w:rPr>
      </w:pPr>
      <w:r w:rsidRPr="00313601">
        <w:rPr>
          <w:color w:val="374151"/>
          <w:sz w:val="20"/>
          <w:lang w:val="es-EC"/>
        </w:rPr>
        <w:t>La consulta muestra el número de viajes, la distancia promedio y el monto promedio por proveedor.</w:t>
      </w:r>
    </w:p>
    <w:p w14:paraId="1703C70E" w14:textId="77777777" w:rsidR="0027732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94AC73F" wp14:editId="34CA7702">
            <wp:extent cx="5343632" cy="45262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aef6c13-14d6-4154-84d0-fc4d5702fab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3632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26B3" w14:textId="77777777" w:rsidR="00277325" w:rsidRPr="00313601" w:rsidRDefault="00000000">
      <w:pPr>
        <w:spacing w:after="40"/>
        <w:jc w:val="center"/>
        <w:rPr>
          <w:lang w:val="es-EC"/>
        </w:rPr>
      </w:pPr>
      <w:r w:rsidRPr="00313601">
        <w:rPr>
          <w:i/>
          <w:color w:val="64748B"/>
          <w:sz w:val="18"/>
          <w:lang w:val="es-EC"/>
        </w:rPr>
        <w:t>Figura 30. Evidencia visual correspondiente al proyecto.</w:t>
      </w:r>
    </w:p>
    <w:p w14:paraId="78F166DB" w14:textId="77777777" w:rsidR="00277325" w:rsidRPr="00313601" w:rsidRDefault="00000000">
      <w:pPr>
        <w:spacing w:after="40"/>
        <w:jc w:val="both"/>
        <w:rPr>
          <w:lang w:val="es-EC"/>
        </w:rPr>
      </w:pPr>
      <w:r w:rsidRPr="00313601">
        <w:rPr>
          <w:color w:val="475569"/>
          <w:sz w:val="19"/>
          <w:lang w:val="es-EC"/>
        </w:rPr>
        <w:t>Interpretación: la fact table permite agregaciones por proveedor y evidencia uso analítico real.</w:t>
      </w:r>
    </w:p>
    <w:p w14:paraId="6003EAD9" w14:textId="77777777" w:rsidR="00277325" w:rsidRPr="00313601" w:rsidRDefault="00000000">
      <w:pPr>
        <w:rPr>
          <w:lang w:val="es-EC"/>
        </w:rPr>
      </w:pPr>
      <w:r w:rsidRPr="00313601">
        <w:rPr>
          <w:lang w:val="es-EC"/>
        </w:rPr>
        <w:br w:type="page"/>
      </w:r>
    </w:p>
    <w:p w14:paraId="11557A73" w14:textId="77777777" w:rsidR="00277325" w:rsidRPr="00313601" w:rsidRDefault="00000000">
      <w:pPr>
        <w:spacing w:after="120"/>
        <w:rPr>
          <w:lang w:val="es-EC"/>
        </w:rPr>
      </w:pPr>
      <w:r w:rsidRPr="00313601">
        <w:rPr>
          <w:b/>
          <w:color w:val="1F2937"/>
          <w:sz w:val="31"/>
          <w:lang w:val="es-EC"/>
        </w:rPr>
        <w:lastRenderedPageBreak/>
        <w:t>6. Conclusión de validación</w:t>
      </w:r>
    </w:p>
    <w:p w14:paraId="17474BAC" w14:textId="77777777" w:rsidR="00277325" w:rsidRPr="00313601" w:rsidRDefault="00000000">
      <w:pPr>
        <w:spacing w:after="80"/>
        <w:jc w:val="both"/>
        <w:rPr>
          <w:lang w:val="es-EC"/>
        </w:rPr>
      </w:pPr>
      <w:r w:rsidRPr="00313601">
        <w:rPr>
          <w:color w:val="374151"/>
          <w:lang w:val="es-EC"/>
        </w:rPr>
        <w:t>La evidencia visual presentada confirma que el proyecto fue implementado correctamente y cumple con los requerimientos del taller. Se verificó la disponibilidad de los servicios en Docker Desktop, la existencia y estructura de los pipelines en Mage, la configuración de triggers para la carga secuencial del año 2025, la presencia de las tablas en los esquemas raw y clean, y la ejecución de consultas SQL que demuestran consistencia estructural y funcional del modelo dimensional construido. La actualización del pipeline clean permitió resolver el manejo de valores nulos asociados a payment_type, por lo que la capa clean evidencia un tratamiento técnico real de los datos y no una simple copia de la capa raw.</w:t>
      </w:r>
    </w:p>
    <w:sectPr w:rsidR="00277325" w:rsidRPr="00313601" w:rsidSect="00034616">
      <w:pgSz w:w="15840" w:h="12240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55168">
    <w:abstractNumId w:val="8"/>
  </w:num>
  <w:num w:numId="2" w16cid:durableId="1311443637">
    <w:abstractNumId w:val="6"/>
  </w:num>
  <w:num w:numId="3" w16cid:durableId="1886216195">
    <w:abstractNumId w:val="5"/>
  </w:num>
  <w:num w:numId="4" w16cid:durableId="926963746">
    <w:abstractNumId w:val="4"/>
  </w:num>
  <w:num w:numId="5" w16cid:durableId="1221357188">
    <w:abstractNumId w:val="7"/>
  </w:num>
  <w:num w:numId="6" w16cid:durableId="603266377">
    <w:abstractNumId w:val="3"/>
  </w:num>
  <w:num w:numId="7" w16cid:durableId="1957446297">
    <w:abstractNumId w:val="2"/>
  </w:num>
  <w:num w:numId="8" w16cid:durableId="1729844047">
    <w:abstractNumId w:val="1"/>
  </w:num>
  <w:num w:numId="9" w16cid:durableId="1039890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325"/>
    <w:rsid w:val="0029639D"/>
    <w:rsid w:val="00313601"/>
    <w:rsid w:val="00326F90"/>
    <w:rsid w:val="004E2D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9D7443"/>
  <w14:defaultImageDpi w14:val="300"/>
  <w15:docId w15:val="{338A47B0-5584-4D2D-B449-A9022998E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1411</Words>
  <Characters>7763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Berrú</cp:lastModifiedBy>
  <cp:revision>2</cp:revision>
  <dcterms:created xsi:type="dcterms:W3CDTF">2013-12-23T23:15:00Z</dcterms:created>
  <dcterms:modified xsi:type="dcterms:W3CDTF">2026-04-02T18:17:00Z</dcterms:modified>
  <cp:category/>
</cp:coreProperties>
</file>