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Safer Banking Research: Comprehensive methodology and framework analysis</w:t>
      </w:r>
    </w:p>
    <w:p w:rsidR="00000000" w:rsidDel="00000000" w:rsidP="00000000" w:rsidRDefault="00000000" w:rsidRPr="00000000" w14:paraId="0000000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0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Safer Banking Research employs a rigorous **100-point scoring system across 20 equally-weighted metrics** combined with extensive qualitative red flag screening to identify the 15 safest banks among 5,000+ U.S. institutions.  Founded by accountant and lawyer Avi Gilburt in partnership with Renaissance Research (a top-ranked institutional banking analyst with 20+ years experience), the organization takes a contrarian stance: **larger banks present significantly more risk than smaller community banks**, contrary to conventional wisdom.  Their methodology explicitly **cannot be automated**—many banks scoring 80+ are excluded due to qualitative red flags that require deep manual analysis of regulatory filings, loan portfolio composition, securities holdings, and borrower profiles.   The research correctly predicted the Silicon Valley Bank collapse before it materialized, demonstrating their early-warning capabilities.  Their framework prioritizes depositor safety over profitability, identifying banks capable of withstanding severe economic downturns rather than optimizing for returns.</w:t>
      </w:r>
    </w:p>
    <w:p w:rsidR="00000000" w:rsidDel="00000000" w:rsidP="00000000" w:rsidRDefault="00000000" w:rsidRPr="00000000" w14:paraId="0000000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0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The proprietary 100-point scoring framework</w:t>
      </w:r>
    </w:p>
    <w:p w:rsidR="00000000" w:rsidDel="00000000" w:rsidP="00000000" w:rsidRDefault="00000000" w:rsidRPr="00000000" w14:paraId="0000000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0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Safer Banking Research’s quantitative foundation divides bank evaluation into **4 main categories, each containing 5 sub-categories, totaling 20 assessment areas**.  Each sub-category receives a score from 1-5 based on peer group comparison: score 5 indicates the bank looks much better than peers, score 3 means in-line with peers, and score 1 signals much worse performance.  A perfect score totals 100 points (20 categories × 5 points), average performance yields 60 points, and poor performance results in 20 points.   All scores carry equal weight to maintain objectivity and prevent gaming the system. </w:t>
      </w:r>
    </w:p>
    <w:p w:rsidR="00000000" w:rsidDel="00000000" w:rsidP="00000000" w:rsidRDefault="00000000" w:rsidRPr="00000000" w14:paraId="0000000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09">
      <w:pPr>
        <w:rPr>
          <w:rFonts w:ascii="Courier New" w:cs="Courier New" w:eastAsia="Courier New" w:hAnsi="Courier New"/>
          <w:color w:val="141413"/>
          <w:sz w:val="18"/>
          <w:szCs w:val="18"/>
          <w:highlight w:val="white"/>
        </w:rPr>
      </w:pPr>
      <w:r w:rsidDel="00000000" w:rsidR="00000000" w:rsidRPr="00000000">
        <w:rPr>
          <w:rFonts w:ascii="Gungsuh" w:cs="Gungsuh" w:eastAsia="Gungsuh" w:hAnsi="Gungsuh"/>
          <w:color w:val="141413"/>
          <w:sz w:val="18"/>
          <w:szCs w:val="18"/>
          <w:highlight w:val="white"/>
          <w:rtl w:val="0"/>
        </w:rPr>
        <w:t xml:space="preserve">**Balance Sheet Strength** evaluates five critical liquidity and asset composition metrics. The loans-to-assets ratio measures balance sheet liquidity, with lower ratios preferred to reduce exposure to credit quality issues and liquidity risks in volatile environments.  The securities-to-assets ratio assesses deployment of excess liquidity, preferring lower securities holdings due to volatility concerns. The **loan-to-deposit ratio serves as a key differentiator with specific thresholds**: ratios ≤80% represent a “quite comfortable metric” and are strongly preferred; ratios of 80-100% require deeper analysis and raise caution flags; ratios ≥100% indicate problematic reliance on wholesale funding and are avoided.  This metric proved critical during banking stress periods when high LTD banks faced severe liquidity issues from deposit outflows. The share of demand deposits measures deposit stability, with higher proportions of non-interest bearing demand deposits preferred because these deposits prove “more sticky” and less sensitive to interest rate changes. Finally, the share of interest-earning assets evaluates core versus non-core asset mix, preferring higher shares to minimize exposure to non-banking assets that create additional risks. </w:t>
      </w:r>
    </w:p>
    <w:p w:rsidR="00000000" w:rsidDel="00000000" w:rsidP="00000000" w:rsidRDefault="00000000" w:rsidRPr="00000000" w14:paraId="0000000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0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**Margins &amp; Cost Efficiency** analyzes five profitability and operational metrics. Net fee and commission income as a percentage of total assets assesses non-lending revenue streams, with higher ratios preferred because fees don’t bear credit risk and show less sensitivity to interest rates and macroeconomic changes. Loan yield measures lending profitability through total interest income on loans divided by average total loans—while higher yields increase net interest margin, excessively high yields signal high-risk lending requiring additional scrutiny, as yields “much higher” than peer averages indicate exposure to risky borrowers. Deposit cost evaluates funding efficiency by measuring total interest expenses on deposits divided by average customer deposits, with lower costs preferred as they improve net interest margin and indicate a safer risk profile. Net interest margin represents the main earnings driver calculated as total net interest income divided by average interest-earning assets, described as “among the key performance indicators of any bank.” The efficiency ratio measures operating effectiveness through total non-interest expenses divided by total operating income, with lower ratios indicating better management and control of expenses.  </w:t>
      </w:r>
    </w:p>
    <w:p w:rsidR="00000000" w:rsidDel="00000000" w:rsidP="00000000" w:rsidRDefault="00000000" w:rsidRPr="00000000" w14:paraId="0000000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0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**Asset Quality** examines five critical credit risk metrics. Cost of risk, calculated as total loan loss provisioning charges divided by total assets or loans, stands alongside ROE, NIM, and efficiency ratio as a key performance indicator—lower cost of risk signals better asset quality and more prudent credit risk management, while volatile COR trends indicate dangerous instability.  Loan loss reserve as a percentage of total loans measures preparedness for defaults, with higher reserves positioning banks better to withstand defaults during volatile periods. The non-performing loan ratio identifies current problem loans through total NPLs divided by total loans, with low stable ratios preferred and high or volatile NPL ratios signaling high-risk lending. NPL coverage ratio assesses loss absorption capacity by comparing loan loss reserves to non-performing loans—high coverage indicates preparedness while low coverage suggests likely difficulties ahead. The share of off-balance sheet items identifies hidden risks, with lower shares strongly preferred because history demonstrates off-balance sheet items, especially derivatives and uncovered guarantees, cause serious problems. **Banks with derivatives exposure on or off balance sheet face automatic exclusion**. </w:t>
      </w:r>
    </w:p>
    <w:p w:rsidR="00000000" w:rsidDel="00000000" w:rsidP="00000000" w:rsidRDefault="00000000" w:rsidRPr="00000000" w14:paraId="0000000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0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**Capital &amp; Profitability** evaluates five solvency and return metrics. The Common Equity Tier 1 ratio measures capital adequacy relative to risk by dividing CET1 capital by total risk-weighted assets—Safer Banking Research emphasizes it’s “hard to overestimate the importance of a robust capital position in a volatile environment.” Total capital ratio provides comprehensive measurement by adding Tier 2 capital instruments, reserves, and preferred stocks to CET1, all divided by risk-weighted assets. The equity-to-assets ratio, described as “one of the most used metrics when it comes to evaluating a bank’s financial leverage,” measures financial resilience with higher ratios indicating greater capacity to withstand volatility. Return on equity, termed “the most popular key performance indicator,” measures organic capital generation capabilities crucial for volatile environments by dividing net profit by average equity. Return on assets enables comparison of banks with different leverage levels by dividing net profit by average total assets.  </w:t>
      </w:r>
    </w:p>
    <w:p w:rsidR="00000000" w:rsidDel="00000000" w:rsidP="00000000" w:rsidRDefault="00000000" w:rsidRPr="00000000" w14:paraId="0000001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1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Qualitative red flags that override quantitative scores</w:t>
      </w:r>
    </w:p>
    <w:p w:rsidR="00000000" w:rsidDel="00000000" w:rsidP="00000000" w:rsidRDefault="00000000" w:rsidRPr="00000000" w14:paraId="0000001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1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research team emphasizes their methodology “strongly recommend[s] to all readers to not just blindly apply our ranking system to measure a bank’s financial strength.” Only banks scoring 75+ receive consideration for the top 15 list, yet **many banks scoring 80+ face exclusion** due to red flags identified through deep qualitative analysis.  This qualitative screening represents the proprietary differentiation that prevents methodology automation.</w:t>
      </w:r>
    </w:p>
    <w:p w:rsidR="00000000" w:rsidDel="00000000" w:rsidP="00000000" w:rsidRDefault="00000000" w:rsidRPr="00000000" w14:paraId="0000001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1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**Loan portfolio composition triggers automatic exclusion** for several high-risk exposures. Banks focusing on borrowers with low to moderate income in their mortgage portfolios face elimination because these borrowers more likely turn non-performing in negative environments. High shares of Commercial &amp; Industrial loans or high individual unsecured lending result in exclusion because these represent “very risky types of credits, historically most impacted by unfavorable macroeconomic changes.”   Credit card exposure requires scrutiny of 10-K forms rather than headline releases because banks often hide substantial exposures in lending-related commitments—JPMorgan’s analysis revealed $885 billion total credit card exposure including commitments versus only $143 billion disclosed in headline releases. </w:t>
      </w:r>
    </w:p>
    <w:p w:rsidR="00000000" w:rsidDel="00000000" w:rsidP="00000000" w:rsidRDefault="00000000" w:rsidRPr="00000000" w14:paraId="0000001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1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**Securities portfolio composition demands conservative positioning**. The preferred composition consists predominantly of US Treasuries and US municipal bonds. Banks face exclusion for high shares of equities, non-US sovereign bonds, corporate bonds (both US and non-US), derivatives, or emerging market bonds. The research notes examples where “one bank has significant exposure to emerging market bonds, while another has heavily invested into equities”—both earning exclusion despite potentially strong quantitative scores. </w:t>
      </w:r>
    </w:p>
    <w:p w:rsidR="00000000" w:rsidDel="00000000" w:rsidP="00000000" w:rsidRDefault="00000000" w:rsidRPr="00000000" w14:paraId="0000001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1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**Performance and operational red flags eliminate many candidates**. Volatile historical trends in cost of risk or NPL ratios indicate instability and trigger exclusion. Frequent one-off items in P&amp;L statements raise concerns about earnings quality and operational consistency. Complex capital structures featuring high shares of complicated capital instruments, AT1 (Additional Tier 1) instruments, or hybrid capital instruments result in disqualification. Banks increasing risk-weighted assets in volatile environments, experiencing compression in fee income, or maintaining problematic off-balance sheet items face elimination from consideration. </w:t>
      </w:r>
    </w:p>
    <w:p w:rsidR="00000000" w:rsidDel="00000000" w:rsidP="00000000" w:rsidRDefault="00000000" w:rsidRPr="00000000" w14:paraId="0000001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1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The contrarian “bigger is NOT safer” philosophy</w:t>
      </w:r>
    </w:p>
    <w:p w:rsidR="00000000" w:rsidDel="00000000" w:rsidP="00000000" w:rsidRDefault="00000000" w:rsidRPr="00000000" w14:paraId="0000001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1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Safer Banking Research explicitly challenges conventional wisdom with the assertion: “It’s a huge misunderstanding to believe that the largest U.S. banks will be safer than smaller banks in a systemic crisis scenario.”  This contrarian position forms the intellectual foundation of their research, backed by regulatory data contradicting mainstream narratives.</w:t>
      </w:r>
    </w:p>
    <w:p w:rsidR="00000000" w:rsidDel="00000000" w:rsidP="00000000" w:rsidRDefault="00000000" w:rsidRPr="00000000" w14:paraId="0000001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1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organization identifies **six major systemic risks currently threatening the banking system**, compared to the single cause (subprime mortgages) that triggered the 2008 financial crisis.  First, **commercial real estate exposure threatens nearly 2,000 banks** with CRE holdings exceeding 300% of total equity capital.  Among the 10 largest banks, seven maintain CRE exposures above 50% of equity: JPMorgan (56%), Wells Fargo (80%), U.S. Bank (77%), PNC (88%), Truist (89%), Capital One (51%), and TD Bank (74%).  Academic research suggests 33% of all CRE loans may become non-performing, with a “maturity wall” expected to peak between late 2025 and 2027.  Second, **credit card delinquencies approach Great Recession peaks** with balances reaching $1.17 trillion and growing 8.1% year-over-year, while the three largest credit card issuers—JPMorgan ($181B), Citi ($165B), and Capital One ($142B)—control 50% of credit card loans.  Third, **underwater long-term securities** on bank balance sheets from rising interest rates create unrealized losses. Fourth, **over-the-counter derivatives exposures** concentrate at the largest institutions. Fifth, **shadow banking exposures total $902 billion on-balance sheet plus $1.5+ trillion in off-balance sheet contingent liabilities**, with 86% of shadow banking loans granted by large U.S. banks.  The IMF estimates global bank exposure to shadow lenders at $4.5 trillion, with U.S. bank exposure likely exceeding $3.5 trillion and potentially reaching $5 trillion with off-balance sheet items—**double the banking system’s total equity of $2.5 trillion**.  Sixth, **Commercial &amp; Industrial lending faces elevated default risk** with 37% of U.S. public firms flagged as notably risky, exceeding the COVID peak of 35%. </w:t>
      </w:r>
    </w:p>
    <w:p w:rsidR="00000000" w:rsidDel="00000000" w:rsidP="00000000" w:rsidRDefault="00000000" w:rsidRPr="00000000" w14:paraId="0000002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2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research cites **Federal Reserve admissions** contradicting bank CEO narratives. The Fed removed “U.S. banking system is sound and resilient” from FOMC statements, Fed Chair Powell stated CRE “feels like a problem we’ll be working on for years,” and Fed research on economic capital shows large banks are NOT safer than pre-crisis despite regulatory reforms. The Fed’s new “economic capital” metric reveals post-crisis regulatory reforms have not reduced solvency risk at large banks, while economic capital has actually declined over the past five years and deposit-funding risk has increased as large banks rely more on uninsured deposits. </w:t>
      </w:r>
    </w:p>
    <w:p w:rsidR="00000000" w:rsidDel="00000000" w:rsidP="00000000" w:rsidRDefault="00000000" w:rsidRPr="00000000" w14:paraId="0000002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2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**FDIC data contradicts the conventional narrative** about deposit flows after the Silicon Valley Bank collapse. The popular belief that largest banks received huge deposit inflows proved false—banks with assets exceeding $250 billion posted the biggest deposit outflows, while smaller community banks saw deposit inflows.   This empirical evidence directly challenges assumptions about flight-to-quality benefiting large institutions.</w:t>
      </w:r>
    </w:p>
    <w:p w:rsidR="00000000" w:rsidDel="00000000" w:rsidP="00000000" w:rsidRDefault="00000000" w:rsidRPr="00000000" w14:paraId="0000002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2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Safer Banking Research warns about systematic “extend and pretend” strategies hiding deteriorating asset quality. The New York Fed explicitly stated “U.S. banks are extending their impaired CRE mortgages to avoid writing off their capital, leading to credit misallocation and a buildup of financial fragility.”  New reporting rules allow banks to mask troubled loans while regulatory complicity enables deferred problems, creating a 2026-2027 refinancing crisis. The research identifies **shadow banking as the modern equivalent of pre-2008 subprime mortgages**, featuring light regulation, extreme leverage, opacity even to regulators, concentrated exposures at largest banks, and regulatory inaction despite warnings from the Financial Stability Board Head, ECB officials, and OCC leadership.  </w:t>
      </w:r>
    </w:p>
    <w:p w:rsidR="00000000" w:rsidDel="00000000" w:rsidP="00000000" w:rsidRDefault="00000000" w:rsidRPr="00000000" w14:paraId="0000002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2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Characteristics of truly safer banks versus riskier institutions</w:t>
      </w:r>
    </w:p>
    <w:p w:rsidR="00000000" w:rsidDel="00000000" w:rsidP="00000000" w:rsidRDefault="00000000" w:rsidRPr="00000000" w14:paraId="0000002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2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research identifies safer banks as typically **smaller community banks under $1 billion in assets** with conservative business models, low-risk loan portfolios, simple operations free of derivatives and minimal off-balance sheet items, strong deposit franchises with high shares of core deposits, and geographic focus in limited areas.  These institutions maintain transparent financials without complex capital instruments and demonstrate stable historical performance with clean P&amp;L statements.</w:t>
      </w:r>
    </w:p>
    <w:p w:rsidR="00000000" w:rsidDel="00000000" w:rsidP="00000000" w:rsidRDefault="00000000" w:rsidRPr="00000000" w14:paraId="0000002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2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 stark contrast, riskier banks—often larger institutions—exhibit **high exposure to high-risk segments** including credit cards with hidden lending commitments, C&amp;I loans, CRE lending, and shadow banking activities.  They operate **complex structures** involving derivatives exposure, Collateralized Loan Obligations (CLOs with JPMorgan holding $60B representing 20% of equity, Citi $29.7B at 16% of equity, Wells Fargo $29.4B at 14% of equity), trading assets, and substantial off-balance sheet items.   These institutions face **funding vulnerabilities** through high loan-to-deposit ratios exceeding 100%, reliance on wholesale funding, and high concentrations of uninsured deposits. Their **capital structures involve complexity** with complicated capital instruments, AT1s and hybrids, and lower equity-to-assets ratios relative to actual risk.</w:t>
      </w:r>
    </w:p>
    <w:p w:rsidR="00000000" w:rsidDel="00000000" w:rsidP="00000000" w:rsidRDefault="00000000" w:rsidRPr="00000000" w14:paraId="0000002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2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research presents **specific criteria for the top 15 safest banks**. Loan mix emphasizes low-risk composition with minimal unsecured lending exposure and conservative mortgage portfolios avoiding low-to-moderate income borrowers. Securities portfolios consist predominantly of US Treasuries and US municipal bonds with zero derivatives on or off balance sheet. Funding profiles feature strong deposit bases not reliant on wholesale funding, high proportions of stable deposits, and loan-to-deposit ratios at or below 80%. Risk profiles minimize exposure to commercial real estate, C&amp;I loans, credit cards, unsecured consumer lending, and shadow banking activities. Operational quality demonstrates stable historical performance without volatile COR or NPL trends, clean P&amp;L statements without consistent one-offs, simple capital structures avoiding AT1s and hybrids, strong efficiency ratios, and adequate loan loss reserves with solid NPL coverage. </w:t>
      </w:r>
    </w:p>
    <w:p w:rsidR="00000000" w:rsidDel="00000000" w:rsidP="00000000" w:rsidRDefault="00000000" w:rsidRPr="00000000" w14:paraId="0000002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2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organization **questions reliance on FDIC insurance** for protecting deposits, noting FDIC losses totaled $35.1 billion in 2008 and $38.1 billion in 2009, causing the Deposit Insurance Fund to go negative by $21 billion during what they characterize as a “relatively short bear market.”  They conclude the FDIC “will likely be under extreme pressure and unable to assure full repayment” in a prolonged crisis scenario, emphasizing the importance of selecting genuinely safe institutions rather than depending on insurance backstops.  </w:t>
      </w:r>
    </w:p>
    <w:p w:rsidR="00000000" w:rsidDel="00000000" w:rsidP="00000000" w:rsidRDefault="00000000" w:rsidRPr="00000000" w14:paraId="0000003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3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Research team credentials and track record</w:t>
      </w:r>
    </w:p>
    <w:p w:rsidR="00000000" w:rsidDel="00000000" w:rsidP="00000000" w:rsidRDefault="00000000" w:rsidRPr="00000000" w14:paraId="0000003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3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**Avi Gilburt, Esq.** founded Safer Banking Research approximately 2.5 years ago (around 2021-2022), bringing credentials as both an accountant and lawyer.  He leads ElliottWaveTrader.net, an established firm serving over 1,000 institutional money manager clients focusing on Elliott Wave technical analysis and market trend identification.  When founding Safer Banking Research, Gilburt hired a dedicated banking analyst and established a strategic partnership with an institutional-grade research firm. </w:t>
      </w:r>
    </w:p>
    <w:p w:rsidR="00000000" w:rsidDel="00000000" w:rsidP="00000000" w:rsidRDefault="00000000" w:rsidRPr="00000000" w14:paraId="0000003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3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**Renaissance Research** serves as the primary research partner, contributing 20+ years covering banking stocks in U.S., Europe, and other global regions. The firm provides fundamental analysis, DCF (Discounted Cash Flow) and multiples valuation, commentaries on price-sensitive events, and actionable trading ideas.  Renaissance Research has earned **top rankings from Institutional Investor and Thomson Extel**, prestigious industry recognitions indicating sustained institutional credibility.  The lead analyst maintains a buy-side equity research and deputy portfolio manager profile covering global financials with 14+ years of investment experience on both buy-side and sell-side, with coverage spanning U.S., European, Latin American, and CEEMEA (Central and Eastern Europe, Middle East and Africa) banks and financials. </w:t>
      </w:r>
    </w:p>
    <w:p w:rsidR="00000000" w:rsidDel="00000000" w:rsidP="00000000" w:rsidRDefault="00000000" w:rsidRPr="00000000" w14:paraId="0000003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3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organization demonstrates **proven early-warning capabilities**—Gilburt called the Silicon Valley Bank crisis before it materialized in March 2023, with multiple clients and money managers noting his early warnings about banking system risks delivered 2+ years before the regional bank crisis.  The research team claims they “were also able to identify the exact reasons in a public article which caused SVB to fail, well before anyone even considered these issues.” </w:t>
      </w:r>
    </w:p>
    <w:p w:rsidR="00000000" w:rsidDel="00000000" w:rsidP="00000000" w:rsidRDefault="00000000" w:rsidRPr="00000000" w14:paraId="0000003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3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**Independence represents a core principle** with the explicit declaration: “We take no financial remuneration from these banks in any manner whatsoever. The only financial relationship we may have with these banks is within a debtor/creditor relationship, wherein we expect to put our own money into accounts held at the banks we outline in this service.”  This skin-in-the-game approach eliminates conflicts of interest—they bank at the institutions they recommend, aligning their financial interests with subscribers. The stated philosophy emphasizes “Our sole goal is to find the safest banks possible.” </w:t>
      </w:r>
    </w:p>
    <w:p w:rsidR="00000000" w:rsidDel="00000000" w:rsidP="00000000" w:rsidRDefault="00000000" w:rsidRPr="00000000" w14:paraId="0000003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3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research draws on authoritative **data sources** including Federal Reserve regulatory filings (Y-9C forms, H.8 releases), FDIC Quarterly Banking Profile, OCC reports, New York Fed research papers, academic research from institutions like USC, Columbia, Stanford, Northwestern, and Florida Atlantic University, IMF and Financial Stability Board reports, and banks’ 10-K filings. This multi-source approach combined with independent verification through the Renaissance Research partnership provides robust analytical foundations.</w:t>
      </w:r>
    </w:p>
    <w:p w:rsidR="00000000" w:rsidDel="00000000" w:rsidP="00000000" w:rsidRDefault="00000000" w:rsidRPr="00000000" w14:paraId="0000003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3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Service model and practical resources for bank analysis</w:t>
      </w:r>
    </w:p>
    <w:p w:rsidR="00000000" w:rsidDel="00000000" w:rsidP="00000000" w:rsidRDefault="00000000" w:rsidRPr="00000000" w14:paraId="0000003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3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subscription service costs **$599 annually ($499 for charter members)** and delivers several key resources.  Members receive detailed initial reports on the 15 top-ranked U.S. banks with comprehensive analysis of each ranked bank, scoring across all 20 evaluation criteria, balance sheet deep dives, and risk assessment profiles.   The service provides monthly update reports when material changes occur, covering current events affecting bank stability, regulatory changes, and ongoing monitoring of ranked banks.  An interactive member forum enables members to post comments and questions, directly engage with the research team, participate in community discussion, and receive real-time updates and alerts.  Future planned coverage announced includes reports on top-ranked banks in the European Union, analysis of Canadian banks, and coverage of U.S. brokerage firms for investment account safety.  </w:t>
      </w:r>
    </w:p>
    <w:p w:rsidR="00000000" w:rsidDel="00000000" w:rsidP="00000000" w:rsidRDefault="00000000" w:rsidRPr="00000000" w14:paraId="0000004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4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**Public resources available at no cost** include the “Is Your Bank Safe?” article series published on saferbankingresearch.com/articles with analyses covering major banks including JPMorgan Chase, Bank of America, Wells Fargo, Citigroup, Goldman Sachs, PNC Bank, Capital One, Discover Financial, Ally Bank, Zions Bancorporation, and the Canadian “Big Six” banks. Thematic research articles address banking risks across multiple dimensions: commercial real estate exposure analysis, shadow banking connections to traditional banks, consumer debt deterioration in credit cards and auto loans, underwater securities holdings, OTC derivatives risks, Collateralized Loan Obligations, maturity mismatch issues, Fed stress test critique and analysis, Basel III capital requirement changes, and economic capital versus accounting capital analysis. </w:t>
      </w:r>
    </w:p>
    <w:p w:rsidR="00000000" w:rsidDel="00000000" w:rsidP="00000000" w:rsidRDefault="00000000" w:rsidRPr="00000000" w14:paraId="0000004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4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organization **does not provide traditional calculators or interactive screening tools**. No public-facing financial calculators, interactive screening platforms, downloadable databases, bank comparison calculators, or API access exists. Instead, their value proposition centers on the proprietary analytical framework itself—the custom 20-point scoring methodology, peer group comparison analysis, red flag identification system, and multi-factor risk assessment models that require expert judgment and cannot be automated.</w:t>
      </w:r>
    </w:p>
    <w:p w:rsidR="00000000" w:rsidDel="00000000" w:rsidP="00000000" w:rsidRDefault="00000000" w:rsidRPr="00000000" w14:paraId="0000004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4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**Methodology adaptations for international coverage** demonstrate sophistication in addressing regional banking differences. For European banks, three adjustments accommodate business model peculiarities: the “% of Demand Deposits” metric is replaced by Liquidity Coverage Ratio (LCR) as the key liquidity ratio tracked by banks and regulators; “Loan Yield” is replaced by “Net F&amp;C Income as % of Operating Income” because European banks increasingly rely on fee income in low interest rate environments; and “Deposit Cost” is replaced by “Costs/Assets” as an important operational efficiency indicator. For Canadian banks, “Net F&amp;C Income as % of Total Assets” is replaced by “Non-interest Income as % of Operating Income,” “Loan Yield” is replaced by “Non-interest Income as % of Total Assets,” and “Deposit Cost” is replaced by “Costs/Assets.”  </w:t>
      </w:r>
    </w:p>
    <w:p w:rsidR="00000000" w:rsidDel="00000000" w:rsidP="00000000" w:rsidRDefault="00000000" w:rsidRPr="00000000" w14:paraId="0000004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4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Incorporating their methodology into bank analysis work</w:t>
      </w:r>
    </w:p>
    <w:p w:rsidR="00000000" w:rsidDel="00000000" w:rsidP="00000000" w:rsidRDefault="00000000" w:rsidRPr="00000000" w14:paraId="0000004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4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Safer Banking Research framework offers several **critical insights for practical application**. First, **quantitative metrics alone prove insufficient**—many banks scoring 80+ on the 100-point scale face exclusion due to qualitative red flags, emphasizing the necessity of deep manual analysis that examines securities portfolio composition in granular detail, reviews 10-K forms rather than relying on press releases, analyzes 3+ year historical trends, examines off-balance sheet exposures comprehensively, assesses actual borrower demographics and creditworthiness, and stress-tests assumptions against severe downturn scenarios.  </w:t>
      </w:r>
    </w:p>
    <w:p w:rsidR="00000000" w:rsidDel="00000000" w:rsidP="00000000" w:rsidRDefault="00000000" w:rsidRPr="00000000" w14:paraId="0000004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4B">
      <w:pPr>
        <w:rPr>
          <w:rFonts w:ascii="Courier New" w:cs="Courier New" w:eastAsia="Courier New" w:hAnsi="Courier New"/>
          <w:color w:val="141413"/>
          <w:sz w:val="18"/>
          <w:szCs w:val="18"/>
          <w:highlight w:val="white"/>
        </w:rPr>
      </w:pPr>
      <w:r w:rsidDel="00000000" w:rsidR="00000000" w:rsidRPr="00000000">
        <w:rPr>
          <w:rFonts w:ascii="Gungsuh" w:cs="Gungsuh" w:eastAsia="Gungsuh" w:hAnsi="Gungsuh"/>
          <w:color w:val="141413"/>
          <w:sz w:val="18"/>
          <w:szCs w:val="18"/>
          <w:highlight w:val="white"/>
          <w:rtl w:val="0"/>
        </w:rPr>
        <w:t xml:space="preserve">**Specific threshold guidance** provides actionable criteria. The loan-to-deposit ratio threshold of ≤80% represents a hard preference, with ratios of 80-100% requiring deeper analysis and ratios ≥100% signaling probable reliance on dangerous wholesale funding. Any derivatives exposure on or off balance sheet triggers automatic exclusion. Volatile cost of risk or NPL trends indicate instability regardless of current levels. Complex capital structures with AT1 or hybrid instruments raise red flags about true capital adequacy. </w:t>
      </w:r>
    </w:p>
    <w:p w:rsidR="00000000" w:rsidDel="00000000" w:rsidP="00000000" w:rsidRDefault="00000000" w:rsidRPr="00000000" w14:paraId="0000004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4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hierarchical screening process** should follow this sequence: first, apply red flag elimination to remove banks with derivatives exposure, excessive securities portfolio risk, high-risk loan concentrations, volatile historical trends, or complex capital structures. Second, conduct quantitative scoring across the 20 metrics using peer-relative assessment. Third, perform qualitative deep dives on candidates scoring 75+ to validate that quantitative scores reflect genuine safety rather than hidden risks. Fourth, prioritize smaller community banks over large institutions given current systemic risk concentrations. This process requires substantial time investment—the initial analysis and ranking of 15 banks took over one year to complete. </w:t>
      </w:r>
    </w:p>
    <w:p w:rsidR="00000000" w:rsidDel="00000000" w:rsidP="00000000" w:rsidRDefault="00000000" w:rsidRPr="00000000" w14:paraId="0000004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4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**Key differentiators to evaluate** include loan portfolio quality factors such as borrower income profiles (avoiding concentration in low-to-moderate income), lending segments (minimizing C&amp;I, credit card, unsecured consumer, shadow banking exposure), and credit card commitments that may be hidden off-balance sheet. Securities portfolio assessment should verify heavy weighting toward US Treasuries and municipal bonds, minimal or zero corporate bond exposure, no emerging market or non-US sovereign exposures, and complete absence of derivatives or exotic instruments. Funding profile analysis must examine core deposit composition and stability, wholesale funding dependence that creates liquidity vulnerabilities, uninsured deposit concentrations at large institutions, and actual versus stated loan-to-deposit ratios. Capital structure evaluation should distinguish accounting capital from economic capital, identify simple versus complex instruments, assess adequacy relative to actual (not risk-weighted) risk exposure, and evaluate organic capital generation through sustainable ROE.</w:t>
      </w:r>
    </w:p>
    <w:p w:rsidR="00000000" w:rsidDel="00000000" w:rsidP="00000000" w:rsidRDefault="00000000" w:rsidRPr="00000000" w14:paraId="0000005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5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forward-looking stress orientation** distinguishes this methodology from conventional bank analysis. Rather than analyzing banks for normal operating conditions or mild recessions, the framework explicitly prepares for severe economic downturns comparable to or exceeding the Great Depression. This stress-testing mentality means selecting banks capable of surviving multiple years of economic contraction, elevated default rates across all lending segments, sustained deposit outflows, frozen wholesale funding markets, and regulatory/FDIC resource exhaustion. The research philosophy emphasizes “by failing to prepare, you are preparing to fail,” advocating defensive positioning ahead of crisis rather than reactive scrambling during market stress.</w:t>
      </w:r>
    </w:p>
    <w:p w:rsidR="00000000" w:rsidDel="00000000" w:rsidP="00000000" w:rsidRDefault="00000000" w:rsidRPr="00000000" w14:paraId="0000005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5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**Replication challenges** require honest assessment. Full methodology implementation demands access to detailed regulatory filings including complete call reports and 10-K forms, sophisticated understanding of bank balance sheet structures and interrelationships, historical data analysis capabilities spanning multiple economic cycles, willingness to exercise subjective judgment on numerous qualitative factors, and substantial time investment for deep dive analysis of each institution. The organization emphasizes their approach “CANNOT be automated”—the qualitative screening that eliminates high-scoring banks requires expert human judgment synthesizing multiple data sources and contextual factors. </w:t>
      </w:r>
    </w:p>
    <w:p w:rsidR="00000000" w:rsidDel="00000000" w:rsidP="00000000" w:rsidRDefault="00000000" w:rsidRPr="00000000" w14:paraId="0000005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5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Conclusion: A crisis-focused framework challenging conventional assumptions</w:t>
      </w:r>
    </w:p>
    <w:p w:rsidR="00000000" w:rsidDel="00000000" w:rsidP="00000000" w:rsidRDefault="00000000" w:rsidRPr="00000000" w14:paraId="0000005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5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Safer Banking Research provides a comprehensive methodology for identifying genuinely safe banking institutions through a hybrid quantitative-qualitative approach that extends far beyond simple ratio analysis. Their 100-point scoring system across 20 equally-weighted metrics establishes objective baselines, while rigorous qualitative screening eliminates banks with structural vulnerabilities that ratios alone cannot capture.  The research team’s contrarian insight—that larger banks concentrate systemic risks while selected smaller community banks offer superior safety—challenges decades of conventional wisdom but finds support in regulatory data, Fed research, and the 2023 regional banking crisis outcomes.  </w:t>
      </w:r>
    </w:p>
    <w:p w:rsidR="00000000" w:rsidDel="00000000" w:rsidP="00000000" w:rsidRDefault="00000000" w:rsidRPr="00000000" w14:paraId="0000005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5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For practitioners incorporating this methodology, the key lesson involves recognizing that **bank safety analysis requires expertise, time, and judgment that resists automation**. The framework succeeds not through algorithmic screening but through experienced analysts identifying hidden risks in loan portfolios, securities holdings, funding structures, and capital composition that regulatory filings obscure. The organization’s track record predicting the SVB collapse before mainstream recognition, combined with their institutional research partnership and independence from bank remuneration, establishes credibility for their contrarian positions.  Their emphasis on stress-scenario resilience rather than normal-condition performance, preparation for potential FDIC inadequacy, and explicit focus on depositor capital preservation over investment returns fills an important gap in banking analysis that conventional equity research largely ignores.</w:t>
      </w:r>
    </w:p>
    <w:p w:rsidR="00000000" w:rsidDel="00000000" w:rsidP="00000000" w:rsidRDefault="00000000" w:rsidRPr="00000000" w14:paraId="0000005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Courier New" w:cs="Courier New" w:eastAsia="Courier New" w:hAnsi="Courier New"/>
          <w:color w:val="141413"/>
          <w:sz w:val="18"/>
          <w:szCs w:val="18"/>
          <w:highlight w:val="white"/>
          <w:rtl w:val="0"/>
        </w:rPr>
        <w:t xml:space="preserve">The six major systemic risks they identify—CRE exposure, credit card delinquencies, underwater securities, OTC derivatives, shadow banking, and C&amp;I lending—paint a sobering picture of current banking sector vulnerabilities exceeding those present before the 2008 financial crisis.  Whether their dire predictions materialize or not, their methodology offers depositors, financial advisors, and conservative investors a systematic framework for evaluating bank safety that prioritizes survival in worst-case scenarios. In an environment where 2,000 banks face potential CRE-driven failure between 2026-2027 according to their analysis, and where shadow banking exposures potentially double the banking system’s total equity, their framework provides essential tools for identifying the minority of institutions genuinely positioned to weather severe financial storms.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