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>
          <w:rFonts w:ascii="Google Sans" w:hAnsi="Google Sans" w:eastAsia="Google Sans" w:cs="Google Sans"/>
          <w:b/>
          <w:color w:val="0070C0"/>
          <w:u w:val="single"/>
        </w:rPr>
      </w:pPr>
      <w:r>
        <w:rPr>
          <w:rFonts w:eastAsia="Google Sans" w:cs="Google Sans" w:ascii="Google Sans" w:hAnsi="Google Sans"/>
          <w:b/>
          <w:color w:val="0070C0"/>
          <w:u w:val="single"/>
        </w:rPr>
      </w:r>
    </w:p>
    <w:p>
      <w:pPr>
        <w:pStyle w:val="Normal1"/>
        <w:spacing w:lineRule="auto" w:line="360" w:before="200" w:after="200"/>
        <w:ind w:hanging="0" w:left="-360" w:right="-36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report analysis</w: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just to take notes on what you've learned about a specific tool or concept. You can also use this chart as a way to continue practicing applying the NIST CSF framework to different situations you may encounter.</w:t>
      </w:r>
    </w:p>
    <w:tbl>
      <w:tblPr>
        <w:tblStyle w:val="Table1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Summary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The company faced a security incident when all network services became unresponsive due to a DDoS attack caused by a flood of ICMP packets. The cybersecurity team blocked the attack and halted non-critical services to restore essential ones.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Identify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</w:t>
            </w:r>
            <w:r>
              <w:rPr>
                <w:rFonts w:eastAsia="Google Sans" w:cs="Google Sans" w:ascii="Google Sans" w:hAnsi="Google Sans"/>
              </w:rPr>
              <w:t>n unsub</w:t>
            </w:r>
            <w:r>
              <w:rPr>
                <w:rFonts w:eastAsia="Google Sans" w:cs="Google Sans" w:ascii="Google Sans" w:hAnsi="Google Sans"/>
              </w:rPr>
              <w:t xml:space="preserve"> malicious actor or actors </w:t>
            </w:r>
            <w:r>
              <w:rPr>
                <w:rFonts w:eastAsia="Google Sans" w:cs="Google Sans" w:ascii="Google Sans" w:hAnsi="Google Sans"/>
              </w:rPr>
              <w:t>exposed</w:t>
            </w:r>
            <w:r>
              <w:rPr>
                <w:rFonts w:eastAsia="Google Sans" w:cs="Google Sans" w:ascii="Google Sans" w:hAnsi="Google Sans"/>
              </w:rPr>
              <w:t xml:space="preserve"> the compan</w:t>
            </w:r>
            <w:r>
              <w:rPr>
                <w:rFonts w:eastAsia="Google Sans" w:cs="Google Sans" w:ascii="Google Sans" w:hAnsi="Google Sans"/>
              </w:rPr>
              <w:t xml:space="preserve">ies vulnerabilities </w:t>
            </w:r>
            <w:r>
              <w:rPr>
                <w:rFonts w:eastAsia="Google Sans" w:cs="Google Sans" w:ascii="Google Sans" w:hAnsi="Google Sans"/>
              </w:rPr>
              <w:t xml:space="preserve">with an ICMP flood attack. The entire internal network </w:t>
            </w:r>
            <w:r>
              <w:rPr>
                <w:rFonts w:eastAsia="Google Sans" w:cs="Google Sans" w:ascii="Google Sans" w:hAnsi="Google Sans"/>
              </w:rPr>
              <w:t>became</w:t>
            </w:r>
            <w:r>
              <w:rPr>
                <w:rFonts w:eastAsia="Google Sans" w:cs="Google Sans" w:ascii="Google Sans" w:hAnsi="Google Sans"/>
              </w:rPr>
              <w:t xml:space="preserve"> affected. All critical network resources needed to be secured and restored to a </w:t>
            </w:r>
            <w:r>
              <w:rPr>
                <w:rFonts w:eastAsia="Google Sans" w:cs="Google Sans" w:ascii="Google Sans" w:hAnsi="Google Sans"/>
              </w:rPr>
              <w:t>baseline functioning</w:t>
            </w:r>
            <w:r>
              <w:rPr>
                <w:rFonts w:eastAsia="Google Sans" w:cs="Google Sans" w:ascii="Google Sans" w:hAnsi="Google Sans"/>
              </w:rPr>
              <w:t xml:space="preserve"> state.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Protect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cybersecurity team implemented a new firewall rule to limit the </w:t>
            </w:r>
            <w:r>
              <w:rPr>
                <w:rFonts w:eastAsia="Google Sans" w:cs="Google Sans" w:ascii="Google Sans" w:hAnsi="Google Sans"/>
              </w:rPr>
              <w:t>amount</w:t>
            </w:r>
            <w:r>
              <w:rPr>
                <w:rFonts w:eastAsia="Google Sans" w:cs="Google Sans" w:ascii="Google Sans" w:hAnsi="Google Sans"/>
              </w:rPr>
              <w:t xml:space="preserve"> of incoming ICMP packets and an IDS/IPS system to filter out some ICMP traffic based on suspicious characteristics </w:t>
            </w:r>
            <w:r>
              <w:rPr>
                <w:rFonts w:eastAsia="Google Sans" w:cs="Google Sans" w:ascii="Google Sans" w:hAnsi="Google Sans"/>
              </w:rPr>
              <w:t>that we recently experienced</w:t>
            </w:r>
            <w:r>
              <w:rPr>
                <w:rFonts w:eastAsia="Google Sans" w:cs="Google Sans" w:ascii="Google Sans" w:hAnsi="Google Sans"/>
              </w:rPr>
              <w:t xml:space="preserve">. 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Detect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ind w:hanging="0" w:left="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The cybersecurity team set up source IP address verification on the firewall to block spoofed IP addresses and deployed network monitoring software to detect abnormal traffic patterns.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Respond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In future security events, the cybersecurity team will isolate affected systems, restore critical services, analyze network logs for suspicious activity, and report incidents to upper management and legal authorities if necessary.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Recover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 recover from an ICMP flood DDoS attack, network services must be restored to a normal state. Future ICMP flood DDoS attacks can be blocked at the firewall. Next non-critical services should be stopped to reduce internal traffic, while critical services are prioritized for restoration. Once the ICMP flood attack has ended, non-critical services can be brought back online.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2"/>
        <w:tblW w:w="10065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065"/>
      </w:tblGrid>
      <w:tr>
        <w:trPr/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Reflections/Notes:</w:t>
            </w:r>
          </w:p>
        </w:tc>
      </w:tr>
    </w:tbl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ogle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1096645" cy="814070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940" t="28617" r="18910" b="26277"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814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4161</TotalTime>
  <Application>LibreOffice/7.6.7.2$Linux_X86_64 LibreOffice_project/60$Build-2</Application>
  <AppVersion>15.0000</AppVersion>
  <Pages>2</Pages>
  <Words>293</Words>
  <Characters>1640</Characters>
  <CharactersWithSpaces>1918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2024-08-08T18:35:08Z</dcterms:modified>
  <cp:revision>1</cp:revision>
  <dc:subject/>
  <dc:title/>
</cp:coreProperties>
</file>