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Informe de exploraci?n funcional</w:t>
      </w:r>
    </w:p>
    <w:p>
      <w:pPr>
        <w:pStyle w:val="Subtitle"/>
      </w:pPr>
      <w:r>
        <w:t>M?dulo de convocatorias ? Escuela Nacional de Instructores (ENI)</w:t>
      </w:r>
    </w:p>
    <w:p>
      <w:r>
        <w:t>Fecha de ejecuci?n: 7 de octubre de 2026</w:t>
      </w:r>
    </w:p>
    <w:p>
      <w:r>
        <w:t>Duraci?n de exploraci?n: 2 minutos en /convocatorias/.</w:t>
      </w:r>
    </w:p>
    <w:p>
      <w:r>
        <w:t>Entorno: http://127.0.0.1:8000 ? autenticaci?n realizada correctamente con el usuario de prueba proporcionado. La contrase?a no se incluye en este informe.</w:t>
      </w:r>
    </w:p>
    <w:p/>
    <w:p>
      <w:pPr>
        <w:pStyle w:val="Heading1"/>
      </w:pPr>
      <w:r>
        <w:t>Alcance y m?todo</w:t>
      </w:r>
    </w:p>
    <w:p>
      <w:r>
        <w:t>Se revisaron la carga del listado, la b?squeda, los filtros de ?rea y ciudad, la recuperaci?n del listado, la vista de consulta administrativa, el formulario de cambio de estado y el formulario de edici?n. Las acciones de escritura se limitaron a abrir formularios; no se guardaron cambios. El intento de guardar la edici?n se detuvo por validaci?n HTML del navegador.</w:t>
      </w:r>
    </w:p>
    <w:p>
      <w:pPr>
        <w:pStyle w:val="Heading1"/>
      </w:pPr>
      <w:r>
        <w:t>Pruebas realizadas</w:t>
      </w:r>
    </w:p>
    <w:tbl>
      <w:tblPr>
        <w:tblBorders>
          <w:top w:val="single" w:sz="4" w:color="B7C9D6"/>
          <w:left w:val="single" w:sz="4" w:color="B7C9D6"/>
          <w:bottom w:val="single" w:sz="4" w:color="B7C9D6"/>
          <w:right w:val="single" w:sz="4" w:color="B7C9D6"/>
          <w:insideH w:val="single" w:sz="4" w:color="B7C9D6"/>
          <w:insideV w:val="single" w:sz="4" w:color="B7C9D6"/>
        </w:tblBorders>
      </w:tblPr>
      <w:tblGrid>
        <w:gridCol w:w="2100"/>
        <w:gridCol w:w="4300"/>
        <w:gridCol w:w="5000"/>
      </w:tblGrid>
      <w:tr>
        <w:tc>
          <w:tcPr>
            <w:tcW w:w="2100" w:type="dxa"/>
            <w:shd w:fill="E2F0D9"/>
          </w:tcPr>
          <w:p>
            <w:pPr>
              <w:spacing w:after="60"/>
            </w:pPr>
            <w:r>
              <w:rPr>
                <w:b/>
              </w:rPr>
              <w:t>Prueba</w:t>
            </w:r>
          </w:p>
        </w:tc>
        <w:tc>
          <w:tcPr>
            <w:tcW w:w="4300" w:type="dxa"/>
            <w:shd w:fill="E2F0D9"/>
          </w:tcPr>
          <w:p>
            <w:pPr>
              <w:spacing w:after="60"/>
            </w:pPr>
            <w:r>
              <w:rPr>
                <w:b/>
              </w:rPr>
              <w:t>Procedimiento</w:t>
            </w:r>
          </w:p>
        </w:tc>
        <w:tc>
          <w:tcPr>
            <w:tcW w:w="5000" w:type="dxa"/>
            <w:shd w:fill="E2F0D9"/>
          </w:tcPr>
          <w:p>
            <w:pPr>
              <w:spacing w:after="60"/>
            </w:pPr>
            <w:r>
              <w:rPr>
                <w:b/>
              </w:rPr>
              <w:t>Resultado observado</w:t>
            </w:r>
          </w:p>
        </w:tc>
      </w:tr>
      <w:tr>
        <w:tc>
          <w:tcPr>
            <w:tcW w:w="2100" w:type="dxa"/>
          </w:tcPr>
          <w:p>
            <w:pPr>
              <w:spacing w:after="60"/>
            </w:pPr>
            <w:r>
              <w:t>Inicio de sesi?n</w:t>
            </w:r>
          </w:p>
        </w:tc>
        <w:tc>
          <w:tcPr>
            <w:tcW w:w="4300" w:type="dxa"/>
          </w:tcPr>
          <w:p>
            <w:pPr>
              <w:spacing w:after="60"/>
            </w:pPr>
            <w:r>
              <w:t>Autenticaci?n con las credenciales de prueba.</w:t>
            </w:r>
          </w:p>
        </w:tc>
        <w:tc>
          <w:tcPr>
            <w:tcW w:w="5000" w:type="dxa"/>
          </w:tcPr>
          <w:p>
            <w:pPr>
              <w:spacing w:after="60"/>
            </w:pPr>
            <w:r>
              <w:t>Acceso exitoso; redirecci?n al listado de convocatorias.</w:t>
            </w:r>
          </w:p>
        </w:tc>
      </w:tr>
      <w:tr>
        <w:tc>
          <w:tcPr>
            <w:tcW w:w="2100" w:type="dxa"/>
          </w:tcPr>
          <w:p>
            <w:pPr>
              <w:spacing w:after="60"/>
            </w:pPr>
            <w:r>
              <w:t>Listado inicial</w:t>
            </w:r>
          </w:p>
        </w:tc>
        <w:tc>
          <w:tcPr>
            <w:tcW w:w="4300" w:type="dxa"/>
          </w:tcPr>
          <w:p>
            <w:pPr>
              <w:spacing w:after="60"/>
            </w:pPr>
            <w:r>
              <w:t>Carga del listado sin filtros.</w:t>
            </w:r>
          </w:p>
        </w:tc>
        <w:tc>
          <w:tcPr>
            <w:tcW w:w="5000" w:type="dxa"/>
          </w:tcPr>
          <w:p>
            <w:pPr>
              <w:spacing w:after="60"/>
            </w:pPr>
            <w:r>
              <w:t>Se muestran 4 registros con t?tulo, ?rea, fechas, ciudad, cupos, estado y acciones.</w:t>
            </w:r>
          </w:p>
        </w:tc>
      </w:tr>
      <w:tr>
        <w:tc>
          <w:tcPr>
            <w:tcW w:w="2100" w:type="dxa"/>
          </w:tcPr>
          <w:p>
            <w:pPr>
              <w:spacing w:after="60"/>
            </w:pPr>
            <w:r>
              <w:t>B?squeda</w:t>
            </w:r>
          </w:p>
        </w:tc>
        <w:tc>
          <w:tcPr>
            <w:tcW w:w="4300" w:type="dxa"/>
          </w:tcPr>
          <w:p>
            <w:pPr>
              <w:spacing w:after="60"/>
            </w:pPr>
            <w:r>
              <w:t>Buscar ?Python?.</w:t>
            </w:r>
          </w:p>
        </w:tc>
        <w:tc>
          <w:tcPr>
            <w:tcW w:w="5000" w:type="dxa"/>
          </w:tcPr>
          <w:p>
            <w:pPr>
              <w:spacing w:after="60"/>
            </w:pPr>
            <w:r>
              <w:t>Se obtienen 2 coincidencias; la consulta se refleja en la URL.</w:t>
            </w:r>
          </w:p>
        </w:tc>
      </w:tr>
      <w:tr>
        <w:tc>
          <w:tcPr>
            <w:tcW w:w="2100" w:type="dxa"/>
          </w:tcPr>
          <w:p>
            <w:pPr>
              <w:spacing w:after="60"/>
            </w:pPr>
            <w:r>
              <w:t>Filtros combinados</w:t>
            </w:r>
          </w:p>
        </w:tc>
        <w:tc>
          <w:tcPr>
            <w:tcW w:w="4300" w:type="dxa"/>
          </w:tcPr>
          <w:p>
            <w:pPr>
              <w:spacing w:after="60"/>
            </w:pPr>
            <w:r>
              <w:t>B?squeda ?Python?, ?rea ?software? y ciudad ?Cali?.</w:t>
            </w:r>
          </w:p>
        </w:tc>
        <w:tc>
          <w:tcPr>
            <w:tcW w:w="5000" w:type="dxa"/>
          </w:tcPr>
          <w:p>
            <w:pPr>
              <w:spacing w:after="60"/>
            </w:pPr>
            <w:r>
              <w:t>Se obtiene 1 registro: ?Python 4?, estado Publicada, 0 / 0 cupos.</w:t>
            </w:r>
          </w:p>
        </w:tc>
      </w:tr>
      <w:tr>
        <w:tc>
          <w:tcPr>
            <w:tcW w:w="2100" w:type="dxa"/>
          </w:tcPr>
          <w:p>
            <w:pPr>
              <w:spacing w:after="60"/>
            </w:pPr>
            <w:r>
              <w:t>Sin coincidencias y limpiar</w:t>
            </w:r>
          </w:p>
        </w:tc>
        <w:tc>
          <w:tcPr>
            <w:tcW w:w="4300" w:type="dxa"/>
          </w:tcPr>
          <w:p>
            <w:pPr>
              <w:spacing w:after="60"/>
            </w:pPr>
            <w:r>
              <w:t>Buscar una cadena inexistente; luego usar ?Limpiar?.</w:t>
            </w:r>
          </w:p>
        </w:tc>
        <w:tc>
          <w:tcPr>
            <w:tcW w:w="5000" w:type="dxa"/>
          </w:tcPr>
          <w:p>
            <w:pPr>
              <w:spacing w:after="60"/>
            </w:pPr>
            <w:r>
              <w:t>Se presenta ?No hay resultados?; Limpiar restaura los 4 registros.</w:t>
            </w:r>
          </w:p>
        </w:tc>
      </w:tr>
      <w:tr>
        <w:tc>
          <w:tcPr>
            <w:tcW w:w="2100" w:type="dxa"/>
          </w:tcPr>
          <w:p>
            <w:pPr>
              <w:spacing w:after="60"/>
            </w:pPr>
            <w:r>
              <w:t>Consulta administrativa</w:t>
            </w:r>
          </w:p>
        </w:tc>
        <w:tc>
          <w:tcPr>
            <w:tcW w:w="4300" w:type="dxa"/>
          </w:tcPr>
          <w:p>
            <w:pPr>
              <w:spacing w:after="60"/>
            </w:pPr>
            <w:r>
              <w:t>Abrir Consultar para ?Python 4?.</w:t>
            </w:r>
          </w:p>
        </w:tc>
        <w:tc>
          <w:tcPr>
            <w:tcW w:w="5000" w:type="dxa"/>
          </w:tcPr>
          <w:p>
            <w:pPr>
              <w:spacing w:after="60"/>
            </w:pPr>
            <w:r>
              <w:t>La vista carga: 0 inscritos, 0%, 0 / 0 cupos y mensaje de que no hay inscripciones.</w:t>
            </w:r>
          </w:p>
        </w:tc>
      </w:tr>
      <w:tr>
        <w:tc>
          <w:tcPr>
            <w:tcW w:w="2100" w:type="dxa"/>
          </w:tcPr>
          <w:p>
            <w:pPr>
              <w:spacing w:after="60"/>
            </w:pPr>
            <w:r>
              <w:t>Estado y edici?n</w:t>
            </w:r>
          </w:p>
        </w:tc>
        <w:tc>
          <w:tcPr>
            <w:tcW w:w="4300" w:type="dxa"/>
          </w:tcPr>
          <w:p>
            <w:pPr>
              <w:spacing w:after="60"/>
            </w:pPr>
            <w:r>
              <w:t>Abrir Modificar estado y Editar; no confirmar ni guardar cambios.</w:t>
            </w:r>
          </w:p>
        </w:tc>
        <w:tc>
          <w:tcPr>
            <w:tcW w:w="5000" w:type="dxa"/>
          </w:tcPr>
          <w:p>
            <w:pPr>
              <w:spacing w:after="60"/>
            </w:pPr>
            <w:r>
              <w:t>Estados disponibles: Borrador, Publicada, Cerrada y Cancelada. En edici?n, Cupos totales est? vac?o y es obligatorio.</w:t>
            </w:r>
          </w:p>
        </w:tc>
      </w:tr>
      <w:tr>
        <w:tc>
          <w:tcPr>
            <w:tcW w:w="2100" w:type="dxa"/>
          </w:tcPr>
          <w:p>
            <w:pPr>
              <w:spacing w:after="60"/>
            </w:pPr>
            <w:r>
              <w:t>Validaci?n de edici?n</w:t>
            </w:r>
          </w:p>
        </w:tc>
        <w:tc>
          <w:tcPr>
            <w:tcW w:w="4300" w:type="dxa"/>
          </w:tcPr>
          <w:p>
            <w:pPr>
              <w:spacing w:after="60"/>
            </w:pPr>
            <w:r>
              <w:t>Intentar guardar sin alterar el formulario con Cupos totales vac?o.</w:t>
            </w:r>
          </w:p>
        </w:tc>
        <w:tc>
          <w:tcPr>
            <w:tcW w:w="5000" w:type="dxa"/>
          </w:tcPr>
          <w:p>
            <w:pPr>
              <w:spacing w:after="60"/>
            </w:pPr>
            <w:r>
              <w:t>El navegador bloquea el env?o con ?Please fill out this field.?; no hay guardado ni cambio de datos.</w:t>
            </w:r>
          </w:p>
        </w:tc>
      </w:tr>
    </w:tbl>
    <w:p>
      <w:pPr>
        <w:pStyle w:val="Heading1"/>
      </w:pPr>
      <w:r>
        <w:t>Hallazgos</w:t>
      </w:r>
    </w:p>
    <w:p>
      <w:pPr>
        <w:pStyle w:val="Heading2"/>
      </w:pPr>
      <w:r>
        <w:t>H-01 ? Cupos totales no precargados al editar (prioridad media)</w:t>
      </w:r>
    </w:p>
    <w:p>
      <w:r>
        <w:t>La convocatoria ?Python 4? aparece publicada con 0 / 0 cupos en el listado y en su consulta administrativa. Al abrir Editar, el campo obligatorio ?Cupos totales? est? vac?o. El env?o sin cambios es bloqueado por la validaci?n del navegador. Esto impide guardar la ficha sin completar manualmente un valor, incluso si el usuario solo pretend?a confirmar o editar otro dato. No se modific? el registro durante la prueba.</w:t>
      </w:r>
    </w:p>
    <w:p>
      <w:pPr>
        <w:pStyle w:val="Heading1"/>
      </w:pPr>
      <w:r>
        <w:t>Resultado general</w:t>
      </w:r>
    </w:p>
    <w:p>
      <w:r>
        <w:t>La autenticaci?n, b?squeda, filtros, estado vac?o, consulta y navegaci?n a formularios respondieron correctamente durante el alcance probado. Se recomienda revisar el valor almacenado/representado de cupos y c?mo se precarga un valor cero en el formulario de edici?n.</w:t>
      </w:r>
    </w:p>
    <w:p>
      <w:pPr/>
      <w:r>
        <w:br w:type="page"/>
      </w:r>
    </w:p>
    <w:p>
      <w:pPr>
        <w:pStyle w:val="Heading1"/>
      </w:pPr>
      <w:r>
        <w:t>Captura de pantalla ? listado filtrado</w:t>
      </w:r>
    </w:p>
    <w:p>
      <w:r>
        <w:t>Criterios aplicados: b?squeda ?Python?, ?rea ?software? y ciudad ?Cali?. Resultado: 1 registro.</w:t>
      </w:r>
    </w:p>
    <w:p>
      <w:r>
        <w:drawing>
          <wp:inline distT="0" distB="0" distL="0" distR="0">
            <wp:extent cx="5000000" cy="6379457"/>
            <wp:docPr id="1" name="Captura listado convocatorias" descr="Listado ENI con filtro Python, ?rea software y ciudad Cali."/>
            <wp:cNvGraphicFramePr>
              <a:graphicFrameLocks noChangeAspect="1"/>
            </wp:cNvGraphicFramePr>
            <a:graphic>
              <a:graphicData uri="http://schemas.openxmlformats.org/drawingml/2006/picture">
                <pic:pic>
                  <pic:nvPicPr>
                    <pic:cNvPr id="0" name="captura_convocatorias.png"/>
                    <pic:cNvPicPr/>
                  </pic:nvPicPr>
                  <pic:blipFill>
                    <a:blip r:embed="rId1"/>
                    <a:stretch>
                      <a:fillRect/>
                    </a:stretch>
                  </pic:blipFill>
                  <pic:spPr>
                    <a:xfrm>
                      <a:off x="0" y="0"/>
                      <a:ext cx="5000000" cy="6379457"/>
                    </a:xfrm>
                    <a:prstGeom prst="rect">
                      <a:avLst/>
                    </a:prstGeom>
                  </pic:spPr>
                </pic:pic>
              </a:graphicData>
            </a:graphic>
          </wp:inline>
        </w:drawing>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Calibri" w:hAnsi="Calibri"/>
        <w:sz w:val="20"/>
      </w:rPr>
    </w:rPrDefault>
    <w:pPrDefault>
      <w:pPr>
        <w:spacing w:after="120" w:line="276" w:lineRule="auto"/>
      </w:pPr>
    </w:pPrDefault>
  </w:docDefaults>
  <w:style w:type="paragraph" w:default="1" w:styleId="Normal">
    <w:name w:val="Normal"/>
  </w:style>
  <w:style w:type="paragraph" w:styleId="Title">
    <w:name w:val="Title"/>
    <w:pPr>
      <w:spacing w:after="160"/>
    </w:pPr>
    <w:rPr>
      <w:b/>
      <w:color w:val="166534"/>
      <w:sz w:val="36"/>
    </w:rPr>
  </w:style>
  <w:style w:type="paragraph" w:styleId="Subtitle">
    <w:name w:val="Subtitle"/>
    <w:rPr>
      <w:color w:val="52677A"/>
      <w:sz w:val="24"/>
    </w:rPr>
  </w:style>
  <w:style w:type="paragraph" w:styleId="Heading1">
    <w:name w:val="heading 1"/>
    <w:basedOn w:val="Normal"/>
    <w:pPr>
      <w:keepNext/>
      <w:spacing w:before="220" w:after="100"/>
    </w:pPr>
    <w:rPr>
      <w:b/>
      <w:color w:val="166534"/>
      <w:sz w:val="26"/>
    </w:rPr>
  </w:style>
  <w:style w:type="paragraph" w:styleId="Heading2">
    <w:name w:val="heading 2"/>
    <w:basedOn w:val="Normal"/>
    <w:pPr>
      <w:keepNext/>
      <w:spacing w:before="140" w:after="80"/>
    </w:pPr>
    <w:rPr>
      <w:b/>
      <w:color w:val="1F2937"/>
      <w:sz w:val="22"/>
    </w:rPr>
  </w:style>
</w:styles>
</file>

<file path=word/_rels/document.xml.rels><?xml version='1.0' encoding='utf-8'?>
<ns0:Relationships xmlns:ns0="http://schemas.openxmlformats.org/package/2006/relationships"><ns0:Relationship Id="rId1" Type="http://schemas.openxmlformats.org/officeDocument/2006/relationships/image" Target="media/captura_convocatorias.png" /><ns0:Relationship Id="rId2" Type="http://schemas.openxmlformats.org/officeDocument/2006/relationships/styles" Target="styles.xml" /></ns0:Relationships>
</file>