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240"/>
        <w:jc w:val="center"/>
      </w:pPr>
      <w:r>
        <w:rPr>
          <w:rFonts w:ascii="Calibri" w:hAnsi="Calibri"/>
          <w:b/>
          <w:color w:val="2E74B5"/>
          <w:sz w:val="22"/>
        </w:rPr>
        <w:t>DATA MANAGEMENT PROJECT</w:t>
      </w:r>
    </w:p>
    <w:p>
      <w:pPr>
        <w:spacing w:after="200"/>
        <w:jc w:val="center"/>
      </w:pPr>
      <w:r>
        <w:rPr>
          <w:rFonts w:ascii="Calibri" w:hAnsi="Calibri"/>
          <w:b/>
          <w:color w:val="0B2545"/>
          <w:sz w:val="58"/>
        </w:rPr>
        <w:t>OULAD Dataset</w:t>
      </w:r>
    </w:p>
    <w:p>
      <w:pPr>
        <w:spacing w:after="560"/>
        <w:jc w:val="center"/>
      </w:pPr>
      <w:r>
        <w:rPr>
          <w:rFonts w:ascii="Calibri" w:hAnsi="Calibri"/>
          <w:color w:val="1F4D78"/>
          <w:sz w:val="32"/>
        </w:rPr>
        <w:t>Task 2: Conceptual ERD and Logical Relational Schema</w:t>
      </w:r>
    </w:p>
    <w:p>
      <w:pPr>
        <w:spacing w:after="60"/>
        <w:jc w:val="center"/>
      </w:pPr>
      <w:r>
        <w:rPr>
          <w:rFonts w:ascii="Calibri" w:hAnsi="Calibri"/>
          <w:b/>
          <w:color w:val="5F6B7A"/>
          <w:sz w:val="21"/>
        </w:rPr>
        <w:t xml:space="preserve">Prepared by: </w:t>
      </w:r>
      <w:r>
        <w:rPr>
          <w:rFonts w:ascii="Calibri" w:hAnsi="Calibri"/>
          <w:color w:val="000000"/>
          <w:sz w:val="21"/>
        </w:rPr>
        <w:t>Edem Komla Gbena</w:t>
      </w:r>
    </w:p>
    <w:p>
      <w:pPr>
        <w:spacing w:after="60"/>
        <w:jc w:val="center"/>
      </w:pPr>
      <w:r>
        <w:rPr>
          <w:rFonts w:ascii="Calibri" w:hAnsi="Calibri"/>
          <w:b/>
          <w:color w:val="5F6B7A"/>
          <w:sz w:val="21"/>
        </w:rPr>
        <w:t xml:space="preserve">Database platform: </w:t>
      </w:r>
      <w:r>
        <w:rPr>
          <w:rFonts w:ascii="Calibri" w:hAnsi="Calibri"/>
          <w:color w:val="000000"/>
          <w:sz w:val="21"/>
        </w:rPr>
        <w:t>MySQL 8.4 / MySQL Workbench</w:t>
      </w:r>
    </w:p>
    <w:p>
      <w:pPr>
        <w:spacing w:after="60"/>
        <w:jc w:val="center"/>
      </w:pPr>
      <w:r>
        <w:rPr>
          <w:rFonts w:ascii="Calibri" w:hAnsi="Calibri"/>
          <w:b/>
          <w:color w:val="5F6B7A"/>
          <w:sz w:val="21"/>
        </w:rPr>
        <w:t xml:space="preserve">Design scope: </w:t>
      </w:r>
      <w:r>
        <w:rPr>
          <w:rFonts w:ascii="Calibri" w:hAnsi="Calibri"/>
          <w:color w:val="000000"/>
          <w:sz w:val="21"/>
        </w:rPr>
        <w:t>Entities, relationships, keys and integrity constraints</w:t>
      </w:r>
    </w:p>
    <w:p>
      <w:pPr>
        <w:spacing w:after="60"/>
        <w:jc w:val="center"/>
      </w:pPr>
      <w:r>
        <w:rPr>
          <w:rFonts w:ascii="Calibri" w:hAnsi="Calibri"/>
          <w:b/>
          <w:color w:val="5F6B7A"/>
          <w:sz w:val="21"/>
        </w:rPr>
        <w:t xml:space="preserve">Report date: </w:t>
      </w:r>
      <w:r>
        <w:rPr>
          <w:rFonts w:ascii="Calibri" w:hAnsi="Calibri"/>
          <w:color w:val="000000"/>
          <w:sz w:val="21"/>
        </w:rPr>
        <w:t>20 July 2026</w:t>
      </w:r>
    </w:p>
    <w:p>
      <w:pPr>
        <w:spacing w:after="160"/>
      </w:pPr>
    </w:p>
    <w:p>
      <w:pPr>
        <w:spacing w:before="80" w:after="160" w:line="259" w:lineRule="auto"/>
        <w:ind w:left="173" w:right="86"/>
        <w:shd w:fill="FFF4CE"/>
        <w:pBdr>
          <w:left w:val="single" w:sz="18" w:space="7" w:color="C49000"/>
        </w:pBdr>
      </w:pPr>
      <w:r>
        <w:rPr>
          <w:rFonts w:ascii="Calibri" w:hAnsi="Calibri"/>
          <w:b/>
          <w:color w:val="0B2545"/>
          <w:sz w:val="21"/>
        </w:rPr>
        <w:t xml:space="preserve">Design status: </w:t>
      </w:r>
      <w:r>
        <w:rPr>
          <w:rFonts w:ascii="Calibri" w:hAnsi="Calibri"/>
          <w:color w:val="000000"/>
          <w:sz w:val="21"/>
        </w:rPr>
        <w:t>The conceptual and logical models are complete for all seven OULAD files. Final profiling of studentVle.csv is still in progress; this affects later validation of click-specific range constraints, not the entity structure or relationships defined here.</w:t>
      </w:r>
    </w:p>
    <w:p>
      <w:r>
        <w:br w:type="page"/>
      </w:r>
    </w:p>
    <w:p>
      <w:pPr>
        <w:pStyle w:val="Heading1"/>
      </w:pPr>
      <w:r>
        <w:t>Executive Summary</w:t>
      </w:r>
    </w:p>
    <w:p>
      <w:r>
        <w:rPr>
          <w:rFonts w:ascii="Calibri" w:hAnsi="Calibri"/>
          <w:color w:val="000000"/>
          <w:sz w:val="22"/>
        </w:rPr>
        <w:t>This report presents a conceptual entity-relationship design and a logical relational schema for the Open University Learning Analytics Dataset (OULAD). The design represents module presentations, students, registrations, assessments, Virtual Learning Environment (VLE) resources, student assessment results and daily VLE interactions. It was produced from the organisation described by the case study and from the structures and quality findings observed during Task 1.</w:t>
      </w:r>
    </w:p>
    <w:p>
      <w:r>
        <w:rPr>
          <w:rFonts w:ascii="Calibri" w:hAnsi="Calibri"/>
          <w:color w:val="000000"/>
          <w:sz w:val="22"/>
        </w:rPr>
        <w:t>Seven relations are used. Module presentation and student are principal entities; registration records a student's participation in a particular presentation; assessment and VLE resource describe learning objects attached to that presentation; student assessment and student VLE interaction record operational events. Composite keys preserve the natural module-presentation and enrolment grains, while foreign keys prevent orphan records and enforce contextual consistency.</w:t>
      </w:r>
    </w:p>
    <w:p>
      <w:pPr>
        <w:spacing w:before="80" w:after="160" w:line="259" w:lineRule="auto"/>
        <w:ind w:left="173" w:right="86"/>
        <w:shd w:fill="F4F6F9"/>
        <w:pBdr>
          <w:left w:val="single" w:sz="18" w:space="7" w:color="2E74B5"/>
        </w:pBdr>
      </w:pPr>
      <w:r>
        <w:rPr>
          <w:rFonts w:ascii="Calibri" w:hAnsi="Calibri"/>
          <w:b/>
          <w:color w:val="0B2545"/>
          <w:sz w:val="21"/>
        </w:rPr>
        <w:t xml:space="preserve">Key design decision: </w:t>
      </w:r>
      <w:r>
        <w:rPr>
          <w:rFonts w:ascii="Calibri" w:hAnsi="Calibri"/>
          <w:color w:val="000000"/>
          <w:sz w:val="21"/>
        </w:rPr>
        <w:t>age_band is stored in registration rather than student because Task 1 identified 72 students whose age band changes between presentations. Stable attributes remain in student, preserving normalization without losing historical age context.</w:t>
      </w:r>
    </w:p>
    <w:p>
      <w:pPr>
        <w:pStyle w:val="Heading1"/>
      </w:pPr>
      <w:r>
        <w:t>1. Requirement and Design Scope</w:t>
      </w:r>
    </w:p>
    <w:p>
      <w:r>
        <w:rPr>
          <w:rFonts w:ascii="Calibri" w:hAnsi="Calibri"/>
          <w:color w:val="000000"/>
          <w:sz w:val="22"/>
        </w:rPr>
        <w:t>Task 2 requires a conceptual ERD and a logical relational schema showing entities, relationships, keys and constraints, together with a justification based on the case-study organisation and the actual dataset. The conceptual design explains the business view. The logical design translates that view into implementable MySQL relations and integrity rules.</w:t>
      </w:r>
    </w:p>
    <w:p>
      <w:r>
        <w:rPr>
          <w:rFonts w:ascii="Calibri" w:hAnsi="Calibri"/>
          <w:color w:val="000000"/>
          <w:sz w:val="22"/>
        </w:rPr>
        <w:t>The scope includes the seven supplied CSV files. Staging tables are excluded from the ERDs because they are temporary ETL structures rather than permanent organisational entities. The design is intended for the cleaned relational layer that will be implemented in Task 3.</w:t>
      </w:r>
    </w:p>
    <w:p>
      <w:pPr>
        <w:pStyle w:val="Heading2"/>
      </w:pPr>
      <w:r>
        <w:t>1.1 Source-to-entity mapping</w:t>
      </w:r>
    </w:p>
    <w:tbl>
      <w:tblPr>
        <w:tblStyle w:val="TableGrid"/>
        <w:tblW w:type="dxa" w:w="9360"/>
        <w:jc w:val="left"/>
        <w:tblLayout w:type="fixed"/>
        <w:tblLook w:firstColumn="1" w:firstRow="1" w:lastColumn="0" w:lastRow="0" w:noHBand="0" w:noVBand="1" w:val="04A0"/>
        <w:tblInd w:w="120" w:type="dxa"/>
      </w:tblPr>
      <w:tblGrid>
        <w:gridCol w:w="2100"/>
        <w:gridCol w:w="2650"/>
        <w:gridCol w:w="4610"/>
      </w:tblGrid>
      <w:tr>
        <w:trPr>
          <w:tblHeader w:val="true"/>
          <w:cantSplit w:val="true"/>
        </w:trPr>
        <w:tc>
          <w:tcPr>
            <w:tcW w:type="dxa" w:w="210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Source file</w:t>
            </w:r>
          </w:p>
        </w:tc>
        <w:tc>
          <w:tcPr>
            <w:tcW w:type="dxa" w:w="265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Logical relation</w:t>
            </w:r>
          </w:p>
        </w:tc>
        <w:tc>
          <w:tcPr>
            <w:tcW w:type="dxa" w:w="461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Role</w:t>
            </w:r>
          </w:p>
        </w:tc>
      </w:tr>
      <w:tr>
        <w:trPr>
          <w:cantSplit w:val="true"/>
        </w:trPr>
        <w:tc>
          <w:tcPr>
            <w:tcW w:type="dxa" w:w="2100"/>
            <w:tcMar>
              <w:top w:w="80" w:type="dxa"/>
              <w:start w:w="120" w:type="dxa"/>
              <w:bottom w:w="80" w:type="dxa"/>
              <w:end w:w="120" w:type="dxa"/>
            </w:tcMar>
            <w:vAlign w:val="center"/>
          </w:tcPr>
          <w:p>
            <w:pPr>
              <w:spacing w:before="0" w:after="30" w:line="252" w:lineRule="auto"/>
            </w:pPr>
            <w:r>
              <w:rPr>
                <w:rFonts w:ascii="Calibri" w:hAnsi="Calibri"/>
                <w:b w:val="0"/>
                <w:color w:val="000000"/>
                <w:sz w:val="17"/>
              </w:rPr>
              <w:t>courses.csv</w:t>
            </w:r>
          </w:p>
        </w:tc>
        <w:tc>
          <w:tcPr>
            <w:tcW w:type="dxa" w:w="2650"/>
            <w:tcMar>
              <w:top w:w="80" w:type="dxa"/>
              <w:start w:w="120" w:type="dxa"/>
              <w:bottom w:w="80" w:type="dxa"/>
              <w:end w:w="120" w:type="dxa"/>
            </w:tcMar>
            <w:vAlign w:val="center"/>
          </w:tcPr>
          <w:p>
            <w:pPr>
              <w:spacing w:before="0" w:after="30" w:line="252" w:lineRule="auto"/>
            </w:pPr>
            <w:r>
              <w:rPr>
                <w:rFonts w:ascii="Calibri" w:hAnsi="Calibri"/>
                <w:b w:val="0"/>
                <w:color w:val="000000"/>
                <w:sz w:val="17"/>
              </w:rPr>
              <w:t>module_presentation</w:t>
            </w:r>
          </w:p>
        </w:tc>
        <w:tc>
          <w:tcPr>
            <w:tcW w:type="dxa" w:w="4610"/>
            <w:tcMar>
              <w:top w:w="80" w:type="dxa"/>
              <w:start w:w="120" w:type="dxa"/>
              <w:bottom w:w="80" w:type="dxa"/>
              <w:end w:w="120" w:type="dxa"/>
            </w:tcMar>
            <w:vAlign w:val="center"/>
          </w:tcPr>
          <w:p>
            <w:pPr>
              <w:spacing w:before="0" w:after="30" w:line="252" w:lineRule="auto"/>
            </w:pPr>
            <w:r>
              <w:rPr>
                <w:rFonts w:ascii="Calibri" w:hAnsi="Calibri"/>
                <w:b w:val="0"/>
                <w:color w:val="000000"/>
                <w:sz w:val="17"/>
              </w:rPr>
              <w:t>One module delivery and its duration</w:t>
            </w:r>
          </w:p>
        </w:tc>
      </w:tr>
      <w:tr>
        <w:trPr>
          <w:cantSplit w:val="true"/>
        </w:trPr>
        <w:tc>
          <w:tcPr>
            <w:tcW w:type="dxa" w:w="210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studentInfo.csv</w:t>
            </w:r>
          </w:p>
        </w:tc>
        <w:tc>
          <w:tcPr>
            <w:tcW w:type="dxa" w:w="265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 + registration</w:t>
            </w:r>
          </w:p>
        </w:tc>
        <w:tc>
          <w:tcPr>
            <w:tcW w:type="dxa" w:w="4610"/>
            <w:tcMar>
              <w:top w:w="80" w:type="dxa"/>
              <w:start w:w="120" w:type="dxa"/>
              <w:bottom w:w="80" w:type="dxa"/>
              <w:end w:w="120" w:type="dxa"/>
            </w:tcMar>
            <w:vAlign w:val="center"/>
          </w:tcPr>
          <w:p>
            <w:pPr>
              <w:spacing w:before="0" w:after="30" w:line="252" w:lineRule="auto"/>
            </w:pPr>
            <w:r>
              <w:rPr>
                <w:rFonts w:ascii="Calibri" w:hAnsi="Calibri"/>
                <w:b w:val="0"/>
                <w:color w:val="000000"/>
                <w:sz w:val="17"/>
              </w:rPr>
              <w:t>Stable student attributes and presentation-specific enrolment facts</w:t>
            </w:r>
          </w:p>
        </w:tc>
      </w:tr>
      <w:tr>
        <w:trPr>
          <w:cantSplit w:val="true"/>
        </w:trPr>
        <w:tc>
          <w:tcPr>
            <w:tcW w:type="dxa" w:w="210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studentRegistration.csv</w:t>
            </w:r>
          </w:p>
        </w:tc>
        <w:tc>
          <w:tcPr>
            <w:tcW w:type="dxa" w:w="2650"/>
            <w:tcMar>
              <w:top w:w="80" w:type="dxa"/>
              <w:start w:w="120" w:type="dxa"/>
              <w:bottom w:w="80" w:type="dxa"/>
              <w:end w:w="120" w:type="dxa"/>
            </w:tcMar>
            <w:vAlign w:val="center"/>
          </w:tcPr>
          <w:p>
            <w:pPr>
              <w:spacing w:before="0" w:after="30" w:line="252" w:lineRule="auto"/>
            </w:pPr>
            <w:r>
              <w:rPr>
                <w:rFonts w:ascii="Calibri" w:hAnsi="Calibri"/>
                <w:b w:val="0"/>
                <w:color w:val="000000"/>
                <w:sz w:val="17"/>
              </w:rPr>
              <w:t>registration</w:t>
            </w:r>
          </w:p>
        </w:tc>
        <w:tc>
          <w:tcPr>
            <w:tcW w:type="dxa" w:w="4610"/>
            <w:tcMar>
              <w:top w:w="80" w:type="dxa"/>
              <w:start w:w="120" w:type="dxa"/>
              <w:bottom w:w="80" w:type="dxa"/>
              <w:end w:w="120" w:type="dxa"/>
            </w:tcMar>
            <w:vAlign w:val="center"/>
          </w:tcPr>
          <w:p>
            <w:pPr>
              <w:spacing w:before="0" w:after="30" w:line="252" w:lineRule="auto"/>
            </w:pPr>
            <w:r>
              <w:rPr>
                <w:rFonts w:ascii="Calibri" w:hAnsi="Calibri"/>
                <w:b w:val="0"/>
                <w:color w:val="000000"/>
                <w:sz w:val="17"/>
              </w:rPr>
              <w:t>Registration and unregistration timing</w:t>
            </w:r>
          </w:p>
        </w:tc>
      </w:tr>
      <w:tr>
        <w:trPr>
          <w:cantSplit w:val="true"/>
        </w:trPr>
        <w:tc>
          <w:tcPr>
            <w:tcW w:type="dxa" w:w="2100"/>
            <w:tcMar>
              <w:top w:w="80" w:type="dxa"/>
              <w:start w:w="120" w:type="dxa"/>
              <w:bottom w:w="80" w:type="dxa"/>
              <w:end w:w="120" w:type="dxa"/>
            </w:tcMar>
            <w:vAlign w:val="center"/>
          </w:tcPr>
          <w:p>
            <w:pPr>
              <w:spacing w:before="0" w:after="30" w:line="252" w:lineRule="auto"/>
            </w:pPr>
            <w:r>
              <w:rPr>
                <w:rFonts w:ascii="Calibri" w:hAnsi="Calibri"/>
                <w:b w:val="0"/>
                <w:color w:val="000000"/>
                <w:sz w:val="17"/>
              </w:rPr>
              <w:t>assessments.csv</w:t>
            </w:r>
          </w:p>
        </w:tc>
        <w:tc>
          <w:tcPr>
            <w:tcW w:type="dxa" w:w="2650"/>
            <w:tcMar>
              <w:top w:w="80" w:type="dxa"/>
              <w:start w:w="120" w:type="dxa"/>
              <w:bottom w:w="80" w:type="dxa"/>
              <w:end w:w="120" w:type="dxa"/>
            </w:tcMar>
            <w:vAlign w:val="center"/>
          </w:tcPr>
          <w:p>
            <w:pPr>
              <w:spacing w:before="0" w:after="30" w:line="252" w:lineRule="auto"/>
            </w:pPr>
            <w:r>
              <w:rPr>
                <w:rFonts w:ascii="Calibri" w:hAnsi="Calibri"/>
                <w:b w:val="0"/>
                <w:color w:val="000000"/>
                <w:sz w:val="17"/>
              </w:rPr>
              <w:t>assessment</w:t>
            </w:r>
          </w:p>
        </w:tc>
        <w:tc>
          <w:tcPr>
            <w:tcW w:type="dxa" w:w="4610"/>
            <w:tcMar>
              <w:top w:w="80" w:type="dxa"/>
              <w:start w:w="120" w:type="dxa"/>
              <w:bottom w:w="80" w:type="dxa"/>
              <w:end w:w="120" w:type="dxa"/>
            </w:tcMar>
            <w:vAlign w:val="center"/>
          </w:tcPr>
          <w:p>
            <w:pPr>
              <w:spacing w:before="0" w:after="30" w:line="252" w:lineRule="auto"/>
            </w:pPr>
            <w:r>
              <w:rPr>
                <w:rFonts w:ascii="Calibri" w:hAnsi="Calibri"/>
                <w:b w:val="0"/>
                <w:color w:val="000000"/>
                <w:sz w:val="17"/>
              </w:rPr>
              <w:t>Assessment definitions, deadlines and weights</w:t>
            </w:r>
          </w:p>
        </w:tc>
      </w:tr>
      <w:tr>
        <w:trPr>
          <w:cantSplit w:val="true"/>
        </w:trPr>
        <w:tc>
          <w:tcPr>
            <w:tcW w:type="dxa" w:w="2100"/>
            <w:tcMar>
              <w:top w:w="80" w:type="dxa"/>
              <w:start w:w="120" w:type="dxa"/>
              <w:bottom w:w="80" w:type="dxa"/>
              <w:end w:w="120" w:type="dxa"/>
            </w:tcMar>
            <w:vAlign w:val="center"/>
          </w:tcPr>
          <w:p>
            <w:pPr>
              <w:spacing w:before="0" w:after="30" w:line="252" w:lineRule="auto"/>
            </w:pPr>
            <w:r>
              <w:rPr>
                <w:rFonts w:ascii="Calibri" w:hAnsi="Calibri"/>
                <w:b w:val="0"/>
                <w:color w:val="000000"/>
                <w:sz w:val="17"/>
              </w:rPr>
              <w:t>vle.csv</w:t>
            </w:r>
          </w:p>
        </w:tc>
        <w:tc>
          <w:tcPr>
            <w:tcW w:type="dxa" w:w="2650"/>
            <w:tcMar>
              <w:top w:w="80" w:type="dxa"/>
              <w:start w:w="120" w:type="dxa"/>
              <w:bottom w:w="80" w:type="dxa"/>
              <w:end w:w="120" w:type="dxa"/>
            </w:tcMar>
            <w:vAlign w:val="center"/>
          </w:tcPr>
          <w:p>
            <w:pPr>
              <w:spacing w:before="0" w:after="30" w:line="252" w:lineRule="auto"/>
            </w:pPr>
            <w:r>
              <w:rPr>
                <w:rFonts w:ascii="Calibri" w:hAnsi="Calibri"/>
                <w:b w:val="0"/>
                <w:color w:val="000000"/>
                <w:sz w:val="17"/>
              </w:rPr>
              <w:t>vle_resource</w:t>
            </w:r>
          </w:p>
        </w:tc>
        <w:tc>
          <w:tcPr>
            <w:tcW w:type="dxa" w:w="4610"/>
            <w:tcMar>
              <w:top w:w="80" w:type="dxa"/>
              <w:start w:w="120" w:type="dxa"/>
              <w:bottom w:w="80" w:type="dxa"/>
              <w:end w:w="120" w:type="dxa"/>
            </w:tcMar>
            <w:vAlign w:val="center"/>
          </w:tcPr>
          <w:p>
            <w:pPr>
              <w:spacing w:before="0" w:after="30" w:line="252" w:lineRule="auto"/>
            </w:pPr>
            <w:r>
              <w:rPr>
                <w:rFonts w:ascii="Calibri" w:hAnsi="Calibri"/>
                <w:b w:val="0"/>
                <w:color w:val="000000"/>
                <w:sz w:val="17"/>
              </w:rPr>
              <w:t>VLE resources and optional planned-use weeks</w:t>
            </w:r>
          </w:p>
        </w:tc>
      </w:tr>
      <w:tr>
        <w:trPr>
          <w:cantSplit w:val="true"/>
        </w:trPr>
        <w:tc>
          <w:tcPr>
            <w:tcW w:type="dxa" w:w="210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studentAssessment.csv</w:t>
            </w:r>
          </w:p>
        </w:tc>
        <w:tc>
          <w:tcPr>
            <w:tcW w:type="dxa" w:w="265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student_assessment</w:t>
            </w:r>
          </w:p>
        </w:tc>
        <w:tc>
          <w:tcPr>
            <w:tcW w:type="dxa" w:w="461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 submissions, banking status and scores</w:t>
            </w:r>
          </w:p>
        </w:tc>
      </w:tr>
      <w:tr>
        <w:trPr>
          <w:cantSplit w:val="true"/>
        </w:trPr>
        <w:tc>
          <w:tcPr>
            <w:tcW w:type="dxa" w:w="210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studentVle.csv</w:t>
            </w:r>
          </w:p>
        </w:tc>
        <w:tc>
          <w:tcPr>
            <w:tcW w:type="dxa" w:w="265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student_vle_interaction</w:t>
            </w:r>
          </w:p>
        </w:tc>
        <w:tc>
          <w:tcPr>
            <w:tcW w:type="dxa" w:w="4610"/>
            <w:tcMar>
              <w:top w:w="80" w:type="dxa"/>
              <w:start w:w="120" w:type="dxa"/>
              <w:bottom w:w="80" w:type="dxa"/>
              <w:end w:w="120" w:type="dxa"/>
            </w:tcMar>
            <w:vAlign w:val="center"/>
          </w:tcPr>
          <w:p>
            <w:pPr>
              <w:spacing w:before="0" w:after="30" w:line="252" w:lineRule="auto"/>
            </w:pPr>
            <w:r>
              <w:rPr>
                <w:rFonts w:ascii="Calibri" w:hAnsi="Calibri"/>
                <w:b w:val="0"/>
                <w:color w:val="000000"/>
                <w:sz w:val="17"/>
              </w:rPr>
              <w:t>Daily student-resource interaction totals</w:t>
            </w:r>
          </w:p>
        </w:tc>
      </w:tr>
    </w:tbl>
    <w:p>
      <w:pPr>
        <w:spacing w:after="0"/>
      </w:pPr>
    </w:p>
    <w:p>
      <w:pPr>
        <w:spacing w:before="80" w:after="80"/>
        <w:jc w:val="left"/>
      </w:pPr>
      <w:r>
        <w:rPr>
          <w:rFonts w:ascii="Calibri" w:hAnsi="Calibri"/>
          <w:i/>
          <w:color w:val="5F6B7A"/>
          <w:sz w:val="18"/>
        </w:rPr>
        <w:t>Table 1. Mapping from the supplied OULAD files to the proposed relational design.</w:t>
      </w:r>
    </w:p>
    <w:p>
      <w:pPr>
        <w:pStyle w:val="Heading1"/>
        <w:pageBreakBefore/>
      </w:pPr>
      <w:r>
        <w:t>2. Conceptual Entity-Relationship Design</w:t>
      </w:r>
    </w:p>
    <w:p>
      <w:r>
        <w:rPr>
          <w:rFonts w:ascii="Calibri" w:hAnsi="Calibri"/>
          <w:color w:val="000000"/>
          <w:sz w:val="22"/>
        </w:rPr>
        <w:t>The conceptual model describes the organisation without implementation details. The Open University offers module presentations. Students register for presentations, presentations contain assessments and VLE resources, and registered students produce assessment results and VLE-interaction events.</w:t>
      </w:r>
    </w:p>
    <w:p>
      <w:pPr>
        <w:keepNext/>
        <w:spacing w:before="80" w:after="40"/>
        <w:jc w:val="center"/>
      </w:pPr>
      <w:r>
        <w:drawing>
          <wp:inline xmlns:a="http://schemas.openxmlformats.org/drawingml/2006/main" xmlns:pic="http://schemas.openxmlformats.org/drawingml/2006/picture">
            <wp:extent cx="5806440" cy="5516586"/>
            <wp:docPr id="1" name="Picture 1" descr="Conceptual ERD for the OULAD database showing seven entities and their cardinalities" title="Conceptual ERD for the OULAD database showing seven entities and their cardinalities"/>
            <wp:cNvGraphicFramePr>
              <a:graphicFrameLocks noChangeAspect="1"/>
            </wp:cNvGraphicFramePr>
            <a:graphic>
              <a:graphicData uri="http://schemas.openxmlformats.org/drawingml/2006/picture">
                <pic:pic>
                  <pic:nvPicPr>
                    <pic:cNvPr id="0" name="OULAD_Conceptual_ERD.png"/>
                    <pic:cNvPicPr/>
                  </pic:nvPicPr>
                  <pic:blipFill>
                    <a:blip r:embed="rId11"/>
                    <a:stretch>
                      <a:fillRect/>
                    </a:stretch>
                  </pic:blipFill>
                  <pic:spPr>
                    <a:xfrm>
                      <a:off x="0" y="0"/>
                      <a:ext cx="5806440" cy="5516586"/>
                    </a:xfrm>
                    <a:prstGeom prst="rect"/>
                  </pic:spPr>
                </pic:pic>
              </a:graphicData>
            </a:graphic>
          </wp:inline>
        </w:drawing>
      </w:r>
    </w:p>
    <w:p>
      <w:pPr>
        <w:spacing w:before="80" w:after="80"/>
        <w:jc w:val="left"/>
      </w:pPr>
      <w:r>
        <w:rPr>
          <w:rFonts w:ascii="Calibri" w:hAnsi="Calibri"/>
          <w:i/>
          <w:color w:val="5F6B7A"/>
          <w:sz w:val="18"/>
        </w:rPr>
        <w:t>Figure 1. Conceptual ERD showing the principal OULAD entities and their relationships.</w:t>
      </w:r>
    </w:p>
    <w:p>
      <w:pPr>
        <w:pStyle w:val="Heading2"/>
      </w:pPr>
      <w:r>
        <w:t>2.1 Entity meanings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val="true"/>
        </w:trPr>
        <w:tc>
          <w:tcPr>
            <w:tcW w:type="dxa" w:w="2500"/>
            <w:tcMar>
              <w:top w:w="80" w:type="dxa"/>
              <w:start w:w="120" w:type="dxa"/>
              <w:bottom w:w="80" w:type="dxa"/>
              <w:end w:w="120" w:type="dxa"/>
            </w:tcMar>
            <w:vAlign w:val="center"/>
            <w:shd w:fill="F2F4F7"/>
          </w:tcPr>
          <w:p>
            <w:pPr>
              <w:spacing w:before="0" w:after="30" w:line="252" w:lineRule="auto"/>
            </w:pPr>
            <w:r>
              <w:rPr>
                <w:rFonts w:ascii="Calibri" w:hAnsi="Calibri"/>
                <w:b/>
                <w:color w:val="000000"/>
                <w:sz w:val="18"/>
              </w:rPr>
              <w:t>Entity</w:t>
            </w:r>
          </w:p>
        </w:tc>
        <w:tc>
          <w:tcPr>
            <w:tcW w:type="dxa" w:w="6860"/>
            <w:tcMar>
              <w:top w:w="80" w:type="dxa"/>
              <w:start w:w="120" w:type="dxa"/>
              <w:bottom w:w="80" w:type="dxa"/>
              <w:end w:w="120" w:type="dxa"/>
            </w:tcMar>
            <w:vAlign w:val="center"/>
            <w:shd w:fill="F2F4F7"/>
          </w:tcPr>
          <w:p>
            <w:pPr>
              <w:spacing w:before="0" w:after="30" w:line="252" w:lineRule="auto"/>
            </w:pPr>
            <w:r>
              <w:rPr>
                <w:rFonts w:ascii="Calibri" w:hAnsi="Calibri"/>
                <w:b/>
                <w:color w:val="000000"/>
                <w:sz w:val="18"/>
              </w:rPr>
              <w:t>Business meaning</w:t>
            </w:r>
          </w:p>
        </w:tc>
      </w:tr>
      <w:tr>
        <w:trPr>
          <w:cantSplit w:val="true"/>
        </w:trPr>
        <w:tc>
          <w:tcPr>
            <w:tcW w:type="dxa" w:w="2500"/>
            <w:tcMar>
              <w:top w:w="80" w:type="dxa"/>
              <w:start w:w="120" w:type="dxa"/>
              <w:bottom w:w="80" w:type="dxa"/>
              <w:end w:w="120" w:type="dxa"/>
            </w:tcMar>
            <w:vAlign w:val="center"/>
          </w:tcPr>
          <w:p>
            <w:pPr>
              <w:spacing w:before="0" w:after="30" w:line="252" w:lineRule="auto"/>
            </w:pPr>
            <w:r>
              <w:rPr>
                <w:rFonts w:ascii="Calibri" w:hAnsi="Calibri"/>
                <w:b w:val="0"/>
                <w:color w:val="000000"/>
                <w:sz w:val="18"/>
              </w:rPr>
              <w:t>Student</w:t>
            </w:r>
          </w:p>
        </w:tc>
        <w:tc>
          <w:tcPr>
            <w:tcW w:type="dxa" w:w="6860"/>
            <w:tcMar>
              <w:top w:w="80" w:type="dxa"/>
              <w:start w:w="120" w:type="dxa"/>
              <w:bottom w:w="80" w:type="dxa"/>
              <w:end w:w="120" w:type="dxa"/>
            </w:tcMar>
            <w:vAlign w:val="center"/>
          </w:tcPr>
          <w:p>
            <w:pPr>
              <w:spacing w:before="0" w:after="30" w:line="252" w:lineRule="auto"/>
            </w:pPr>
            <w:r>
              <w:rPr>
                <w:rFonts w:ascii="Calibri" w:hAnsi="Calibri"/>
                <w:b w:val="0"/>
                <w:color w:val="000000"/>
                <w:sz w:val="18"/>
              </w:rPr>
              <w:t>An anonymised learner with attributes stable across observed presentations.</w:t>
            </w:r>
          </w:p>
        </w:tc>
      </w:tr>
      <w:tr>
        <w:trPr>
          <w:cantSplit w:val="true"/>
        </w:trPr>
        <w:tc>
          <w:tcPr>
            <w:tcW w:type="dxa" w:w="2500"/>
            <w:tcMar>
              <w:top w:w="80" w:type="dxa"/>
              <w:start w:w="120" w:type="dxa"/>
              <w:bottom w:w="80" w:type="dxa"/>
              <w:end w:w="120" w:type="dxa"/>
            </w:tcMar>
            <w:vAlign w:val="center"/>
          </w:tcPr>
          <w:p>
            <w:pPr>
              <w:spacing w:before="0" w:after="30" w:line="252" w:lineRule="auto"/>
            </w:pPr>
            <w:r>
              <w:rPr>
                <w:rFonts w:ascii="Calibri" w:hAnsi="Calibri"/>
                <w:b w:val="0"/>
                <w:color w:val="000000"/>
                <w:sz w:val="18"/>
              </w:rPr>
              <w:t>Module Presentation</w:t>
            </w:r>
          </w:p>
        </w:tc>
        <w:tc>
          <w:tcPr>
            <w:tcW w:type="dxa" w:w="6860"/>
            <w:tcMar>
              <w:top w:w="80" w:type="dxa"/>
              <w:start w:w="120" w:type="dxa"/>
              <w:bottom w:w="80" w:type="dxa"/>
              <w:end w:w="120" w:type="dxa"/>
            </w:tcMar>
            <w:vAlign w:val="center"/>
          </w:tcPr>
          <w:p>
            <w:pPr>
              <w:spacing w:before="0" w:after="30" w:line="252" w:lineRule="auto"/>
            </w:pPr>
            <w:r>
              <w:rPr>
                <w:rFonts w:ascii="Calibri" w:hAnsi="Calibri"/>
                <w:b w:val="0"/>
                <w:color w:val="000000"/>
                <w:sz w:val="18"/>
              </w:rPr>
              <w:t>A particular delivery of a module, identified by module and presentation codes.</w:t>
            </w:r>
          </w:p>
        </w:tc>
      </w:tr>
      <w:tr>
        <w:trPr>
          <w:cantSplit w:val="true"/>
        </w:trPr>
        <w:tc>
          <w:tcPr>
            <w:tcW w:type="dxa" w:w="2500"/>
            <w:tcMar>
              <w:top w:w="80" w:type="dxa"/>
              <w:start w:w="120" w:type="dxa"/>
              <w:bottom w:w="80" w:type="dxa"/>
              <w:end w:w="120" w:type="dxa"/>
            </w:tcMar>
            <w:vAlign w:val="center"/>
          </w:tcPr>
          <w:p>
            <w:pPr>
              <w:spacing w:before="0" w:after="30" w:line="252" w:lineRule="auto"/>
            </w:pPr>
            <w:r>
              <w:rPr>
                <w:rFonts w:ascii="Calibri" w:hAnsi="Calibri"/>
                <w:b w:val="0"/>
                <w:color w:val="000000"/>
                <w:sz w:val="18"/>
              </w:rPr>
              <w:t>Registration</w:t>
            </w:r>
          </w:p>
        </w:tc>
        <w:tc>
          <w:tcPr>
            <w:tcW w:type="dxa" w:w="6860"/>
            <w:tcMar>
              <w:top w:w="80" w:type="dxa"/>
              <w:start w:w="120" w:type="dxa"/>
              <w:bottom w:w="80" w:type="dxa"/>
              <w:end w:w="120" w:type="dxa"/>
            </w:tcMar>
            <w:vAlign w:val="center"/>
          </w:tcPr>
          <w:p>
            <w:pPr>
              <w:spacing w:before="0" w:after="30" w:line="252" w:lineRule="auto"/>
            </w:pPr>
            <w:r>
              <w:rPr>
                <w:rFonts w:ascii="Calibri" w:hAnsi="Calibri"/>
                <w:b w:val="0"/>
                <w:color w:val="000000"/>
                <w:sz w:val="18"/>
              </w:rPr>
              <w:t>One student's enrolment in one module presentation.</w:t>
            </w:r>
          </w:p>
        </w:tc>
      </w:tr>
      <w:tr>
        <w:trPr>
          <w:cantSplit w:val="true"/>
        </w:trPr>
        <w:tc>
          <w:tcPr>
            <w:tcW w:type="dxa" w:w="2500"/>
            <w:tcMar>
              <w:top w:w="80" w:type="dxa"/>
              <w:start w:w="120" w:type="dxa"/>
              <w:bottom w:w="80" w:type="dxa"/>
              <w:end w:w="120" w:type="dxa"/>
            </w:tcMar>
            <w:vAlign w:val="center"/>
          </w:tcPr>
          <w:p>
            <w:pPr>
              <w:spacing w:before="0" w:after="30" w:line="252" w:lineRule="auto"/>
            </w:pPr>
            <w:r>
              <w:rPr>
                <w:rFonts w:ascii="Calibri" w:hAnsi="Calibri"/>
                <w:b w:val="0"/>
                <w:color w:val="000000"/>
                <w:sz w:val="18"/>
              </w:rPr>
              <w:t>Assessment</w:t>
            </w:r>
          </w:p>
        </w:tc>
        <w:tc>
          <w:tcPr>
            <w:tcW w:type="dxa" w:w="6860"/>
            <w:tcMar>
              <w:top w:w="80" w:type="dxa"/>
              <w:start w:w="120" w:type="dxa"/>
              <w:bottom w:w="80" w:type="dxa"/>
              <w:end w:w="120" w:type="dxa"/>
            </w:tcMar>
            <w:vAlign w:val="center"/>
          </w:tcPr>
          <w:p>
            <w:pPr>
              <w:spacing w:before="0" w:after="30" w:line="252" w:lineRule="auto"/>
            </w:pPr>
            <w:r>
              <w:rPr>
                <w:rFonts w:ascii="Calibri" w:hAnsi="Calibri"/>
                <w:b w:val="0"/>
                <w:color w:val="000000"/>
                <w:sz w:val="18"/>
              </w:rPr>
              <w:t>A TMA, CMA or Exam belonging to one module presentation.</w:t>
            </w:r>
          </w:p>
        </w:tc>
      </w:tr>
      <w:tr>
        <w:trPr>
          <w:cantSplit w:val="true"/>
        </w:trPr>
        <w:tc>
          <w:tcPr>
            <w:tcW w:type="dxa" w:w="2500"/>
            <w:tcMar>
              <w:top w:w="80" w:type="dxa"/>
              <w:start w:w="120" w:type="dxa"/>
              <w:bottom w:w="80" w:type="dxa"/>
              <w:end w:w="120" w:type="dxa"/>
            </w:tcMar>
            <w:vAlign w:val="center"/>
          </w:tcPr>
          <w:p>
            <w:pPr>
              <w:spacing w:before="0" w:after="30" w:line="252" w:lineRule="auto"/>
            </w:pPr>
            <w:r>
              <w:rPr>
                <w:rFonts w:ascii="Calibri" w:hAnsi="Calibri"/>
                <w:b w:val="0"/>
                <w:color w:val="000000"/>
                <w:sz w:val="18"/>
              </w:rPr>
              <w:t>VLE Resource</w:t>
            </w:r>
          </w:p>
        </w:tc>
        <w:tc>
          <w:tcPr>
            <w:tcW w:type="dxa" w:w="6860"/>
            <w:tcMar>
              <w:top w:w="80" w:type="dxa"/>
              <w:start w:w="120" w:type="dxa"/>
              <w:bottom w:w="80" w:type="dxa"/>
              <w:end w:w="120" w:type="dxa"/>
            </w:tcMar>
            <w:vAlign w:val="center"/>
          </w:tcPr>
          <w:p>
            <w:pPr>
              <w:spacing w:before="0" w:after="30" w:line="252" w:lineRule="auto"/>
            </w:pPr>
            <w:r>
              <w:rPr>
                <w:rFonts w:ascii="Calibri" w:hAnsi="Calibri"/>
                <w:b w:val="0"/>
                <w:color w:val="000000"/>
                <w:sz w:val="18"/>
              </w:rPr>
              <w:t>A learning material or activity made available in one presentation.</w:t>
            </w:r>
          </w:p>
        </w:tc>
      </w:tr>
      <w:tr>
        <w:trPr>
          <w:cantSplit w:val="true"/>
        </w:trPr>
        <w:tc>
          <w:tcPr>
            <w:tcW w:type="dxa" w:w="2500"/>
            <w:tcMar>
              <w:top w:w="80" w:type="dxa"/>
              <w:start w:w="120" w:type="dxa"/>
              <w:bottom w:w="80" w:type="dxa"/>
              <w:end w:w="120" w:type="dxa"/>
            </w:tcMar>
            <w:vAlign w:val="center"/>
          </w:tcPr>
          <w:p>
            <w:pPr>
              <w:spacing w:before="0" w:after="30" w:line="252" w:lineRule="auto"/>
            </w:pPr>
            <w:r>
              <w:rPr>
                <w:rFonts w:ascii="Calibri" w:hAnsi="Calibri"/>
                <w:b w:val="0"/>
                <w:color w:val="000000"/>
                <w:sz w:val="18"/>
              </w:rPr>
              <w:t>Student Assessment</w:t>
            </w:r>
          </w:p>
        </w:tc>
        <w:tc>
          <w:tcPr>
            <w:tcW w:type="dxa" w:w="6860"/>
            <w:tcMar>
              <w:top w:w="80" w:type="dxa"/>
              <w:start w:w="120" w:type="dxa"/>
              <w:bottom w:w="80" w:type="dxa"/>
              <w:end w:w="120" w:type="dxa"/>
            </w:tcMar>
            <w:vAlign w:val="center"/>
          </w:tcPr>
          <w:p>
            <w:pPr>
              <w:spacing w:before="0" w:after="30" w:line="252" w:lineRule="auto"/>
            </w:pPr>
            <w:r>
              <w:rPr>
                <w:rFonts w:ascii="Calibri" w:hAnsi="Calibri"/>
                <w:b w:val="0"/>
                <w:color w:val="000000"/>
                <w:sz w:val="18"/>
              </w:rPr>
              <w:t>A student's submission or banked result for an assessment.</w:t>
            </w:r>
          </w:p>
        </w:tc>
      </w:tr>
      <w:tr>
        <w:trPr>
          <w:cantSplit w:val="true"/>
        </w:trPr>
        <w:tc>
          <w:tcPr>
            <w:tcW w:type="dxa" w:w="2500"/>
            <w:tcMar>
              <w:top w:w="80" w:type="dxa"/>
              <w:start w:w="120" w:type="dxa"/>
              <w:bottom w:w="80" w:type="dxa"/>
              <w:end w:w="120" w:type="dxa"/>
            </w:tcMar>
            <w:vAlign w:val="center"/>
          </w:tcPr>
          <w:p>
            <w:pPr>
              <w:spacing w:before="0" w:after="30" w:line="252" w:lineRule="auto"/>
            </w:pPr>
            <w:r>
              <w:rPr>
                <w:rFonts w:ascii="Calibri" w:hAnsi="Calibri"/>
                <w:b w:val="0"/>
                <w:color w:val="000000"/>
                <w:sz w:val="18"/>
              </w:rPr>
              <w:t>Student VLE Interaction</w:t>
            </w:r>
          </w:p>
        </w:tc>
        <w:tc>
          <w:tcPr>
            <w:tcW w:type="dxa" w:w="6860"/>
            <w:tcMar>
              <w:top w:w="80" w:type="dxa"/>
              <w:start w:w="120" w:type="dxa"/>
              <w:bottom w:w="80" w:type="dxa"/>
              <w:end w:w="120" w:type="dxa"/>
            </w:tcMar>
            <w:vAlign w:val="center"/>
          </w:tcPr>
          <w:p>
            <w:pPr>
              <w:spacing w:before="0" w:after="30" w:line="252" w:lineRule="auto"/>
            </w:pPr>
            <w:r>
              <w:rPr>
                <w:rFonts w:ascii="Calibri" w:hAnsi="Calibri"/>
                <w:b w:val="0"/>
                <w:color w:val="000000"/>
                <w:sz w:val="18"/>
              </w:rPr>
              <w:t>A student's aggregated clicks on one resource on one relative day.</w:t>
            </w:r>
          </w:p>
        </w:tc>
      </w:tr>
    </w:tbl>
    <w:p>
      <w:pPr>
        <w:spacing w:after="0"/>
      </w:pPr>
    </w:p>
    <w:p>
      <w:pPr>
        <w:spacing w:before="80" w:after="80"/>
        <w:jc w:val="left"/>
      </w:pPr>
      <w:r>
        <w:rPr>
          <w:rFonts w:ascii="Calibri" w:hAnsi="Calibri"/>
          <w:i/>
          <w:color w:val="5F6B7A"/>
          <w:sz w:val="18"/>
        </w:rPr>
        <w:t>Table 2. Conceptual entity definitions.</w:t>
      </w:r>
    </w:p>
    <w:p>
      <w:pPr>
        <w:pStyle w:val="Heading2"/>
      </w:pPr>
      <w:r>
        <w:t>2.2 Relationships and cardinalities</w:t>
      </w:r>
    </w:p>
    <w:tbl>
      <w:tblPr>
        <w:tblStyle w:val="TableGrid"/>
        <w:tblW w:type="dxa" w:w="9360"/>
        <w:jc w:val="left"/>
        <w:tblLayout w:type="fixed"/>
        <w:tblLook w:firstColumn="1" w:firstRow="1" w:lastColumn="0" w:lastRow="0" w:noHBand="0" w:noVBand="1" w:val="04A0"/>
        <w:tblInd w:w="120" w:type="dxa"/>
      </w:tblPr>
      <w:tblGrid>
        <w:gridCol w:w="3150"/>
        <w:gridCol w:w="1150"/>
        <w:gridCol w:w="5060"/>
      </w:tblGrid>
      <w:tr>
        <w:trPr>
          <w:tblHeader w:val="true"/>
          <w:cantSplit w:val="true"/>
        </w:trPr>
        <w:tc>
          <w:tcPr>
            <w:tcW w:type="dxa" w:w="315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Relationship</w:t>
            </w:r>
          </w:p>
        </w:tc>
        <w:tc>
          <w:tcPr>
            <w:tcW w:type="dxa" w:w="115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Cardinality</w:t>
            </w:r>
          </w:p>
        </w:tc>
        <w:tc>
          <w:tcPr>
            <w:tcW w:type="dxa" w:w="506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Interpretation</w:t>
            </w:r>
          </w:p>
        </w:tc>
      </w:tr>
      <w:tr>
        <w:trPr>
          <w:cantSplit w:val="true"/>
        </w:trPr>
        <w:tc>
          <w:tcPr>
            <w:tcW w:type="dxa" w:w="315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 - Registration</w:t>
            </w:r>
          </w:p>
        </w:tc>
        <w:tc>
          <w:tcPr>
            <w:tcW w:type="dxa" w:w="1150"/>
            <w:tcMar>
              <w:top w:w="80" w:type="dxa"/>
              <w:start w:w="120" w:type="dxa"/>
              <w:bottom w:w="80" w:type="dxa"/>
              <w:end w:w="120" w:type="dxa"/>
            </w:tcMar>
            <w:vAlign w:val="center"/>
          </w:tcPr>
          <w:p>
            <w:pPr>
              <w:spacing w:before="0" w:after="30" w:line="252" w:lineRule="auto"/>
            </w:pPr>
            <w:r>
              <w:rPr>
                <w:rFonts w:ascii="Calibri" w:hAnsi="Calibri"/>
                <w:b w:val="0"/>
                <w:color w:val="000000"/>
                <w:sz w:val="17"/>
              </w:rPr>
              <w:t>1:M</w:t>
            </w:r>
          </w:p>
        </w:tc>
        <w:tc>
          <w:tcPr>
            <w:tcW w:type="dxa" w:w="5060"/>
            <w:tcMar>
              <w:top w:w="80" w:type="dxa"/>
              <w:start w:w="120" w:type="dxa"/>
              <w:bottom w:w="80" w:type="dxa"/>
              <w:end w:w="120" w:type="dxa"/>
            </w:tcMar>
            <w:vAlign w:val="center"/>
          </w:tcPr>
          <w:p>
            <w:pPr>
              <w:spacing w:before="0" w:after="30" w:line="252" w:lineRule="auto"/>
            </w:pPr>
            <w:r>
              <w:rPr>
                <w:rFonts w:ascii="Calibri" w:hAnsi="Calibri"/>
                <w:b w:val="0"/>
                <w:color w:val="000000"/>
                <w:sz w:val="17"/>
              </w:rPr>
              <w:t>A student can have many registrations; each registration belongs to one student.</w:t>
            </w:r>
          </w:p>
        </w:tc>
      </w:tr>
      <w:tr>
        <w:trPr>
          <w:cantSplit w:val="true"/>
        </w:trPr>
        <w:tc>
          <w:tcPr>
            <w:tcW w:type="dxa" w:w="3150"/>
            <w:tcMar>
              <w:top w:w="80" w:type="dxa"/>
              <w:start w:w="120" w:type="dxa"/>
              <w:bottom w:w="80" w:type="dxa"/>
              <w:end w:w="120" w:type="dxa"/>
            </w:tcMar>
            <w:vAlign w:val="center"/>
          </w:tcPr>
          <w:p>
            <w:pPr>
              <w:spacing w:before="0" w:after="30" w:line="252" w:lineRule="auto"/>
            </w:pPr>
            <w:r>
              <w:rPr>
                <w:rFonts w:ascii="Calibri" w:hAnsi="Calibri"/>
                <w:b w:val="0"/>
                <w:color w:val="000000"/>
                <w:sz w:val="17"/>
              </w:rPr>
              <w:t>Module Presentation - Registration</w:t>
            </w:r>
          </w:p>
        </w:tc>
        <w:tc>
          <w:tcPr>
            <w:tcW w:type="dxa" w:w="1150"/>
            <w:tcMar>
              <w:top w:w="80" w:type="dxa"/>
              <w:start w:w="120" w:type="dxa"/>
              <w:bottom w:w="80" w:type="dxa"/>
              <w:end w:w="120" w:type="dxa"/>
            </w:tcMar>
            <w:vAlign w:val="center"/>
          </w:tcPr>
          <w:p>
            <w:pPr>
              <w:spacing w:before="0" w:after="30" w:line="252" w:lineRule="auto"/>
            </w:pPr>
            <w:r>
              <w:rPr>
                <w:rFonts w:ascii="Calibri" w:hAnsi="Calibri"/>
                <w:b w:val="0"/>
                <w:color w:val="000000"/>
                <w:sz w:val="17"/>
              </w:rPr>
              <w:t>1:M</w:t>
            </w:r>
          </w:p>
        </w:tc>
        <w:tc>
          <w:tcPr>
            <w:tcW w:type="dxa" w:w="5060"/>
            <w:tcMar>
              <w:top w:w="80" w:type="dxa"/>
              <w:start w:w="120" w:type="dxa"/>
              <w:bottom w:w="80" w:type="dxa"/>
              <w:end w:w="120" w:type="dxa"/>
            </w:tcMar>
            <w:vAlign w:val="center"/>
          </w:tcPr>
          <w:p>
            <w:pPr>
              <w:spacing w:before="0" w:after="30" w:line="252" w:lineRule="auto"/>
            </w:pPr>
            <w:r>
              <w:rPr>
                <w:rFonts w:ascii="Calibri" w:hAnsi="Calibri"/>
                <w:b w:val="0"/>
                <w:color w:val="000000"/>
                <w:sz w:val="17"/>
              </w:rPr>
              <w:t>A presentation accepts many registrations; each registration is for one presentation.</w:t>
            </w:r>
          </w:p>
        </w:tc>
      </w:tr>
      <w:tr>
        <w:trPr>
          <w:cantSplit w:val="true"/>
        </w:trPr>
        <w:tc>
          <w:tcPr>
            <w:tcW w:type="dxa" w:w="3150"/>
            <w:tcMar>
              <w:top w:w="80" w:type="dxa"/>
              <w:start w:w="120" w:type="dxa"/>
              <w:bottom w:w="80" w:type="dxa"/>
              <w:end w:w="120" w:type="dxa"/>
            </w:tcMar>
            <w:vAlign w:val="center"/>
          </w:tcPr>
          <w:p>
            <w:pPr>
              <w:spacing w:before="0" w:after="30" w:line="252" w:lineRule="auto"/>
            </w:pPr>
            <w:r>
              <w:rPr>
                <w:rFonts w:ascii="Calibri" w:hAnsi="Calibri"/>
                <w:b w:val="0"/>
                <w:color w:val="000000"/>
                <w:sz w:val="17"/>
              </w:rPr>
              <w:t>Module Presentation - Assessment</w:t>
            </w:r>
          </w:p>
        </w:tc>
        <w:tc>
          <w:tcPr>
            <w:tcW w:type="dxa" w:w="1150"/>
            <w:tcMar>
              <w:top w:w="80" w:type="dxa"/>
              <w:start w:w="120" w:type="dxa"/>
              <w:bottom w:w="80" w:type="dxa"/>
              <w:end w:w="120" w:type="dxa"/>
            </w:tcMar>
            <w:vAlign w:val="center"/>
          </w:tcPr>
          <w:p>
            <w:pPr>
              <w:spacing w:before="0" w:after="30" w:line="252" w:lineRule="auto"/>
            </w:pPr>
            <w:r>
              <w:rPr>
                <w:rFonts w:ascii="Calibri" w:hAnsi="Calibri"/>
                <w:b w:val="0"/>
                <w:color w:val="000000"/>
                <w:sz w:val="17"/>
              </w:rPr>
              <w:t>1:M</w:t>
            </w:r>
          </w:p>
        </w:tc>
        <w:tc>
          <w:tcPr>
            <w:tcW w:type="dxa" w:w="5060"/>
            <w:tcMar>
              <w:top w:w="80" w:type="dxa"/>
              <w:start w:w="120" w:type="dxa"/>
              <w:bottom w:w="80" w:type="dxa"/>
              <w:end w:w="120" w:type="dxa"/>
            </w:tcMar>
            <w:vAlign w:val="center"/>
          </w:tcPr>
          <w:p>
            <w:pPr>
              <w:spacing w:before="0" w:after="30" w:line="252" w:lineRule="auto"/>
            </w:pPr>
            <w:r>
              <w:rPr>
                <w:rFonts w:ascii="Calibri" w:hAnsi="Calibri"/>
                <w:b w:val="0"/>
                <w:color w:val="000000"/>
                <w:sz w:val="17"/>
              </w:rPr>
              <w:t>A presentation contains many assessments; each assessment belongs to one presentation.</w:t>
            </w:r>
          </w:p>
        </w:tc>
      </w:tr>
      <w:tr>
        <w:trPr>
          <w:cantSplit w:val="true"/>
        </w:trPr>
        <w:tc>
          <w:tcPr>
            <w:tcW w:type="dxa" w:w="3150"/>
            <w:tcMar>
              <w:top w:w="80" w:type="dxa"/>
              <w:start w:w="120" w:type="dxa"/>
              <w:bottom w:w="80" w:type="dxa"/>
              <w:end w:w="120" w:type="dxa"/>
            </w:tcMar>
            <w:vAlign w:val="center"/>
          </w:tcPr>
          <w:p>
            <w:pPr>
              <w:spacing w:before="0" w:after="30" w:line="252" w:lineRule="auto"/>
            </w:pPr>
            <w:r>
              <w:rPr>
                <w:rFonts w:ascii="Calibri" w:hAnsi="Calibri"/>
                <w:b w:val="0"/>
                <w:color w:val="000000"/>
                <w:sz w:val="17"/>
              </w:rPr>
              <w:t>Module Presentation - VLE Resource</w:t>
            </w:r>
          </w:p>
        </w:tc>
        <w:tc>
          <w:tcPr>
            <w:tcW w:type="dxa" w:w="1150"/>
            <w:tcMar>
              <w:top w:w="80" w:type="dxa"/>
              <w:start w:w="120" w:type="dxa"/>
              <w:bottom w:w="80" w:type="dxa"/>
              <w:end w:w="120" w:type="dxa"/>
            </w:tcMar>
            <w:vAlign w:val="center"/>
          </w:tcPr>
          <w:p>
            <w:pPr>
              <w:spacing w:before="0" w:after="30" w:line="252" w:lineRule="auto"/>
            </w:pPr>
            <w:r>
              <w:rPr>
                <w:rFonts w:ascii="Calibri" w:hAnsi="Calibri"/>
                <w:b w:val="0"/>
                <w:color w:val="000000"/>
                <w:sz w:val="17"/>
              </w:rPr>
              <w:t>1:M</w:t>
            </w:r>
          </w:p>
        </w:tc>
        <w:tc>
          <w:tcPr>
            <w:tcW w:type="dxa" w:w="5060"/>
            <w:tcMar>
              <w:top w:w="80" w:type="dxa"/>
              <w:start w:w="120" w:type="dxa"/>
              <w:bottom w:w="80" w:type="dxa"/>
              <w:end w:w="120" w:type="dxa"/>
            </w:tcMar>
            <w:vAlign w:val="center"/>
          </w:tcPr>
          <w:p>
            <w:pPr>
              <w:spacing w:before="0" w:after="30" w:line="252" w:lineRule="auto"/>
            </w:pPr>
            <w:r>
              <w:rPr>
                <w:rFonts w:ascii="Calibri" w:hAnsi="Calibri"/>
                <w:b w:val="0"/>
                <w:color w:val="000000"/>
                <w:sz w:val="17"/>
              </w:rPr>
              <w:t>A presentation provides many resources; each resource belongs to one presentation.</w:t>
            </w:r>
          </w:p>
        </w:tc>
      </w:tr>
      <w:tr>
        <w:trPr>
          <w:cantSplit w:val="true"/>
        </w:trPr>
        <w:tc>
          <w:tcPr>
            <w:tcW w:type="dxa" w:w="3150"/>
            <w:tcMar>
              <w:top w:w="80" w:type="dxa"/>
              <w:start w:w="120" w:type="dxa"/>
              <w:bottom w:w="80" w:type="dxa"/>
              <w:end w:w="120" w:type="dxa"/>
            </w:tcMar>
            <w:vAlign w:val="center"/>
          </w:tcPr>
          <w:p>
            <w:pPr>
              <w:spacing w:before="0" w:after="30" w:line="252" w:lineRule="auto"/>
            </w:pPr>
            <w:r>
              <w:rPr>
                <w:rFonts w:ascii="Calibri" w:hAnsi="Calibri"/>
                <w:b w:val="0"/>
                <w:color w:val="000000"/>
                <w:sz w:val="17"/>
              </w:rPr>
              <w:t>Registration - Student Assessment</w:t>
            </w:r>
          </w:p>
        </w:tc>
        <w:tc>
          <w:tcPr>
            <w:tcW w:type="dxa" w:w="1150"/>
            <w:tcMar>
              <w:top w:w="80" w:type="dxa"/>
              <w:start w:w="120" w:type="dxa"/>
              <w:bottom w:w="80" w:type="dxa"/>
              <w:end w:w="120" w:type="dxa"/>
            </w:tcMar>
            <w:vAlign w:val="center"/>
          </w:tcPr>
          <w:p>
            <w:pPr>
              <w:spacing w:before="0" w:after="30" w:line="252" w:lineRule="auto"/>
            </w:pPr>
            <w:r>
              <w:rPr>
                <w:rFonts w:ascii="Calibri" w:hAnsi="Calibri"/>
                <w:b w:val="0"/>
                <w:color w:val="000000"/>
                <w:sz w:val="17"/>
              </w:rPr>
              <w:t>1:M</w:t>
            </w:r>
          </w:p>
        </w:tc>
        <w:tc>
          <w:tcPr>
            <w:tcW w:type="dxa" w:w="5060"/>
            <w:tcMar>
              <w:top w:w="80" w:type="dxa"/>
              <w:start w:w="120" w:type="dxa"/>
              <w:bottom w:w="80" w:type="dxa"/>
              <w:end w:w="120" w:type="dxa"/>
            </w:tcMar>
            <w:vAlign w:val="center"/>
          </w:tcPr>
          <w:p>
            <w:pPr>
              <w:spacing w:before="0" w:after="30" w:line="252" w:lineRule="auto"/>
            </w:pPr>
            <w:r>
              <w:rPr>
                <w:rFonts w:ascii="Calibri" w:hAnsi="Calibri"/>
                <w:b w:val="0"/>
                <w:color w:val="000000"/>
                <w:sz w:val="17"/>
              </w:rPr>
              <w:t>A registration can produce many results; each result is tied to one registration context.</w:t>
            </w:r>
          </w:p>
        </w:tc>
      </w:tr>
      <w:tr>
        <w:trPr>
          <w:cantSplit w:val="true"/>
        </w:trPr>
        <w:tc>
          <w:tcPr>
            <w:tcW w:type="dxa" w:w="3150"/>
            <w:tcMar>
              <w:top w:w="80" w:type="dxa"/>
              <w:start w:w="120" w:type="dxa"/>
              <w:bottom w:w="80" w:type="dxa"/>
              <w:end w:w="120" w:type="dxa"/>
            </w:tcMar>
            <w:vAlign w:val="center"/>
          </w:tcPr>
          <w:p>
            <w:pPr>
              <w:spacing w:before="0" w:after="30" w:line="252" w:lineRule="auto"/>
            </w:pPr>
            <w:r>
              <w:rPr>
                <w:rFonts w:ascii="Calibri" w:hAnsi="Calibri"/>
                <w:b w:val="0"/>
                <w:color w:val="000000"/>
                <w:sz w:val="17"/>
              </w:rPr>
              <w:t>Assessment - Student Assessment</w:t>
            </w:r>
          </w:p>
        </w:tc>
        <w:tc>
          <w:tcPr>
            <w:tcW w:type="dxa" w:w="1150"/>
            <w:tcMar>
              <w:top w:w="80" w:type="dxa"/>
              <w:start w:w="120" w:type="dxa"/>
              <w:bottom w:w="80" w:type="dxa"/>
              <w:end w:w="120" w:type="dxa"/>
            </w:tcMar>
            <w:vAlign w:val="center"/>
          </w:tcPr>
          <w:p>
            <w:pPr>
              <w:spacing w:before="0" w:after="30" w:line="252" w:lineRule="auto"/>
            </w:pPr>
            <w:r>
              <w:rPr>
                <w:rFonts w:ascii="Calibri" w:hAnsi="Calibri"/>
                <w:b w:val="0"/>
                <w:color w:val="000000"/>
                <w:sz w:val="17"/>
              </w:rPr>
              <w:t>1:M</w:t>
            </w:r>
          </w:p>
        </w:tc>
        <w:tc>
          <w:tcPr>
            <w:tcW w:type="dxa" w:w="5060"/>
            <w:tcMar>
              <w:top w:w="80" w:type="dxa"/>
              <w:start w:w="120" w:type="dxa"/>
              <w:bottom w:w="80" w:type="dxa"/>
              <w:end w:w="120" w:type="dxa"/>
            </w:tcMar>
            <w:vAlign w:val="center"/>
          </w:tcPr>
          <w:p>
            <w:pPr>
              <w:spacing w:before="0" w:after="30" w:line="252" w:lineRule="auto"/>
            </w:pPr>
            <w:r>
              <w:rPr>
                <w:rFonts w:ascii="Calibri" w:hAnsi="Calibri"/>
                <w:b w:val="0"/>
                <w:color w:val="000000"/>
                <w:sz w:val="17"/>
              </w:rPr>
              <w:t>An assessment can receive many student results; each result refers to one assessment.</w:t>
            </w:r>
          </w:p>
        </w:tc>
      </w:tr>
      <w:tr>
        <w:trPr>
          <w:cantSplit w:val="true"/>
        </w:trPr>
        <w:tc>
          <w:tcPr>
            <w:tcW w:type="dxa" w:w="3150"/>
            <w:tcMar>
              <w:top w:w="80" w:type="dxa"/>
              <w:start w:w="120" w:type="dxa"/>
              <w:bottom w:w="80" w:type="dxa"/>
              <w:end w:w="120" w:type="dxa"/>
            </w:tcMar>
            <w:vAlign w:val="center"/>
          </w:tcPr>
          <w:p>
            <w:pPr>
              <w:spacing w:before="0" w:after="30" w:line="252" w:lineRule="auto"/>
            </w:pPr>
            <w:r>
              <w:rPr>
                <w:rFonts w:ascii="Calibri" w:hAnsi="Calibri"/>
                <w:b w:val="0"/>
                <w:color w:val="000000"/>
                <w:sz w:val="17"/>
              </w:rPr>
              <w:t>Registration - Student VLE Interaction</w:t>
            </w:r>
          </w:p>
        </w:tc>
        <w:tc>
          <w:tcPr>
            <w:tcW w:type="dxa" w:w="1150"/>
            <w:tcMar>
              <w:top w:w="80" w:type="dxa"/>
              <w:start w:w="120" w:type="dxa"/>
              <w:bottom w:w="80" w:type="dxa"/>
              <w:end w:w="120" w:type="dxa"/>
            </w:tcMar>
            <w:vAlign w:val="center"/>
          </w:tcPr>
          <w:p>
            <w:pPr>
              <w:spacing w:before="0" w:after="30" w:line="252" w:lineRule="auto"/>
            </w:pPr>
            <w:r>
              <w:rPr>
                <w:rFonts w:ascii="Calibri" w:hAnsi="Calibri"/>
                <w:b w:val="0"/>
                <w:color w:val="000000"/>
                <w:sz w:val="17"/>
              </w:rPr>
              <w:t>1:M</w:t>
            </w:r>
          </w:p>
        </w:tc>
        <w:tc>
          <w:tcPr>
            <w:tcW w:type="dxa" w:w="5060"/>
            <w:tcMar>
              <w:top w:w="80" w:type="dxa"/>
              <w:start w:w="120" w:type="dxa"/>
              <w:bottom w:w="80" w:type="dxa"/>
              <w:end w:w="120" w:type="dxa"/>
            </w:tcMar>
            <w:vAlign w:val="center"/>
          </w:tcPr>
          <w:p>
            <w:pPr>
              <w:spacing w:before="0" w:after="30" w:line="252" w:lineRule="auto"/>
            </w:pPr>
            <w:r>
              <w:rPr>
                <w:rFonts w:ascii="Calibri" w:hAnsi="Calibri"/>
                <w:b w:val="0"/>
                <w:color w:val="000000"/>
                <w:sz w:val="17"/>
              </w:rPr>
              <w:t>A registration can generate many daily interactions.</w:t>
            </w:r>
          </w:p>
        </w:tc>
      </w:tr>
      <w:tr>
        <w:trPr>
          <w:cantSplit w:val="true"/>
        </w:trPr>
        <w:tc>
          <w:tcPr>
            <w:tcW w:type="dxa" w:w="3150"/>
            <w:tcMar>
              <w:top w:w="80" w:type="dxa"/>
              <w:start w:w="120" w:type="dxa"/>
              <w:bottom w:w="80" w:type="dxa"/>
              <w:end w:w="120" w:type="dxa"/>
            </w:tcMar>
            <w:vAlign w:val="center"/>
          </w:tcPr>
          <w:p>
            <w:pPr>
              <w:spacing w:before="0" w:after="30" w:line="252" w:lineRule="auto"/>
            </w:pPr>
            <w:r>
              <w:rPr>
                <w:rFonts w:ascii="Calibri" w:hAnsi="Calibri"/>
                <w:b w:val="0"/>
                <w:color w:val="000000"/>
                <w:sz w:val="17"/>
              </w:rPr>
              <w:t>VLE Resource - Student VLE Interaction</w:t>
            </w:r>
          </w:p>
        </w:tc>
        <w:tc>
          <w:tcPr>
            <w:tcW w:type="dxa" w:w="1150"/>
            <w:tcMar>
              <w:top w:w="80" w:type="dxa"/>
              <w:start w:w="120" w:type="dxa"/>
              <w:bottom w:w="80" w:type="dxa"/>
              <w:end w:w="120" w:type="dxa"/>
            </w:tcMar>
            <w:vAlign w:val="center"/>
          </w:tcPr>
          <w:p>
            <w:pPr>
              <w:spacing w:before="0" w:after="30" w:line="252" w:lineRule="auto"/>
            </w:pPr>
            <w:r>
              <w:rPr>
                <w:rFonts w:ascii="Calibri" w:hAnsi="Calibri"/>
                <w:b w:val="0"/>
                <w:color w:val="000000"/>
                <w:sz w:val="17"/>
              </w:rPr>
              <w:t>1:M</w:t>
            </w:r>
          </w:p>
        </w:tc>
        <w:tc>
          <w:tcPr>
            <w:tcW w:type="dxa" w:w="5060"/>
            <w:tcMar>
              <w:top w:w="80" w:type="dxa"/>
              <w:start w:w="120" w:type="dxa"/>
              <w:bottom w:w="80" w:type="dxa"/>
              <w:end w:w="120" w:type="dxa"/>
            </w:tcMar>
            <w:vAlign w:val="center"/>
          </w:tcPr>
          <w:p>
            <w:pPr>
              <w:spacing w:before="0" w:after="30" w:line="252" w:lineRule="auto"/>
            </w:pPr>
            <w:r>
              <w:rPr>
                <w:rFonts w:ascii="Calibri" w:hAnsi="Calibri"/>
                <w:b w:val="0"/>
                <w:color w:val="000000"/>
                <w:sz w:val="17"/>
              </w:rPr>
              <w:t>A resource can receive interactions from many registered students.</w:t>
            </w:r>
          </w:p>
        </w:tc>
      </w:tr>
    </w:tbl>
    <w:p>
      <w:pPr>
        <w:spacing w:after="0"/>
      </w:pPr>
    </w:p>
    <w:p>
      <w:pPr>
        <w:spacing w:before="80" w:after="80"/>
        <w:jc w:val="left"/>
      </w:pPr>
      <w:r>
        <w:rPr>
          <w:rFonts w:ascii="Calibri" w:hAnsi="Calibri"/>
          <w:i/>
          <w:color w:val="5F6B7A"/>
          <w:sz w:val="18"/>
        </w:rPr>
        <w:t>Table 3. Relationship cardinalities and their organisational interpretation.</w:t>
      </w:r>
    </w:p>
    <w:p>
      <w:pPr>
        <w:pStyle w:val="Heading1"/>
        <w:pageBreakBefore/>
      </w:pPr>
      <w:r>
        <w:t>3. Logical Relational Schema</w:t>
      </w:r>
    </w:p>
    <w:p>
      <w:r>
        <w:rPr>
          <w:rFonts w:ascii="Calibri" w:hAnsi="Calibri"/>
          <w:color w:val="000000"/>
          <w:sz w:val="22"/>
        </w:rPr>
        <w:t>The logical model adds attributes, datatypes, primary keys and foreign keys. Key symbols in the diagram identify primary-key columns; relationship connectors are generated from the foreign-key definitions in the MySQL Workbench model.</w:t>
      </w:r>
    </w:p>
    <w:p>
      <w:pPr>
        <w:keepNext/>
        <w:spacing w:before="80" w:after="40"/>
        <w:jc w:val="center"/>
      </w:pPr>
      <w:r>
        <w:drawing>
          <wp:inline xmlns:a="http://schemas.openxmlformats.org/drawingml/2006/main" xmlns:pic="http://schemas.openxmlformats.org/drawingml/2006/picture">
            <wp:extent cx="5806440" cy="5741662"/>
            <wp:docPr id="2" name="Picture 2" descr="Logical ERD for OULAD showing relations, attributes, datatypes, primary keys and foreign-key relationships" title="Logical ERD for OULAD showing relations, attributes, datatypes, primary keys and foreign-key relationships"/>
            <wp:cNvGraphicFramePr>
              <a:graphicFrameLocks noChangeAspect="1"/>
            </wp:cNvGraphicFramePr>
            <a:graphic>
              <a:graphicData uri="http://schemas.openxmlformats.org/drawingml/2006/picture">
                <pic:pic>
                  <pic:nvPicPr>
                    <pic:cNvPr id="0" name="OULAD_Logical_ERD.png"/>
                    <pic:cNvPicPr/>
                  </pic:nvPicPr>
                  <pic:blipFill>
                    <a:blip r:embed="rId12"/>
                    <a:stretch>
                      <a:fillRect/>
                    </a:stretch>
                  </pic:blipFill>
                  <pic:spPr>
                    <a:xfrm>
                      <a:off x="0" y="0"/>
                      <a:ext cx="5806440" cy="5741662"/>
                    </a:xfrm>
                    <a:prstGeom prst="rect"/>
                  </pic:spPr>
                </pic:pic>
              </a:graphicData>
            </a:graphic>
          </wp:inline>
        </w:drawing>
      </w:r>
    </w:p>
    <w:p>
      <w:pPr>
        <w:spacing w:before="80" w:after="80"/>
        <w:jc w:val="left"/>
      </w:pPr>
      <w:r>
        <w:rPr>
          <w:rFonts w:ascii="Calibri" w:hAnsi="Calibri"/>
          <w:i/>
          <w:color w:val="5F6B7A"/>
          <w:sz w:val="18"/>
        </w:rPr>
        <w:t>Figure 2. Logical ERD reverse-engineered from the Task 2 MySQL CREATE script.</w:t>
      </w:r>
    </w:p>
    <w:p>
      <w:pPr>
        <w:pStyle w:val="Heading1"/>
        <w:pageBreakBefore/>
      </w:pPr>
      <w:r>
        <w:t>3.1 Relation definitions</w:t>
      </w:r>
    </w:p>
    <w:p>
      <w:pPr>
        <w:pStyle w:val="Heading2"/>
      </w:pPr>
      <w:r>
        <w:t>3.1.1 module_presentation</w:t>
      </w:r>
    </w:p>
    <w:p>
      <w:r>
        <w:rPr>
          <w:rFonts w:ascii="Calibri" w:hAnsi="Calibri"/>
          <w:color w:val="000000"/>
          <w:sz w:val="22"/>
        </w:rPr>
        <w:t>Represents one delivery of an anonymised module and records its duration in days.</w:t>
      </w:r>
    </w:p>
    <w:p>
      <w:pPr>
        <w:pStyle w:val="ListBullet"/>
        <w:spacing w:after="80" w:line="264" w:lineRule="auto"/>
      </w:pPr>
      <w:r>
        <w:rPr>
          <w:rFonts w:ascii="Calibri" w:hAnsi="Calibri"/>
          <w:color w:val="000000"/>
          <w:sz w:val="22"/>
        </w:rPr>
        <w:t>Primary key: (code_module, code_presentation)</w:t>
      </w:r>
    </w:p>
    <w:p>
      <w:pPr>
        <w:pStyle w:val="ListBullet"/>
        <w:spacing w:after="80" w:line="264" w:lineRule="auto"/>
      </w:pPr>
      <w:r>
        <w:rPr>
          <w:rFonts w:ascii="Calibri" w:hAnsi="Calibri"/>
          <w:color w:val="000000"/>
          <w:sz w:val="22"/>
        </w:rPr>
        <w:t>Foreign keys: None; this is the central presentation parent.</w:t>
      </w:r>
    </w:p>
    <w:p>
      <w:pPr>
        <w:pStyle w:val="ListBullet"/>
        <w:spacing w:after="80" w:line="264" w:lineRule="auto"/>
      </w:pPr>
      <w:r>
        <w:rPr>
          <w:rFonts w:ascii="Calibri" w:hAnsi="Calibri"/>
          <w:color w:val="000000"/>
          <w:sz w:val="22"/>
        </w:rPr>
        <w:t>Source: courses.csv</w:t>
      </w:r>
    </w:p>
    <w:p>
      <w:pPr>
        <w:pStyle w:val="Heading2"/>
      </w:pPr>
      <w:r>
        <w:t>3.1.2 student</w:t>
      </w:r>
    </w:p>
    <w:p>
      <w:r>
        <w:rPr>
          <w:rFonts w:ascii="Calibri" w:hAnsi="Calibri"/>
          <w:color w:val="000000"/>
          <w:sz w:val="22"/>
        </w:rPr>
        <w:t>Stores one row per anonymised student and the attributes found to be stable across the inspected dataset.</w:t>
      </w:r>
    </w:p>
    <w:p>
      <w:pPr>
        <w:pStyle w:val="ListBullet"/>
        <w:spacing w:after="80" w:line="264" w:lineRule="auto"/>
      </w:pPr>
      <w:r>
        <w:rPr>
          <w:rFonts w:ascii="Calibri" w:hAnsi="Calibri"/>
          <w:color w:val="000000"/>
          <w:sz w:val="22"/>
        </w:rPr>
        <w:t>Primary key: id_student</w:t>
      </w:r>
    </w:p>
    <w:p>
      <w:pPr>
        <w:pStyle w:val="ListBullet"/>
        <w:spacing w:after="80" w:line="264" w:lineRule="auto"/>
      </w:pPr>
      <w:r>
        <w:rPr>
          <w:rFonts w:ascii="Calibri" w:hAnsi="Calibri"/>
          <w:color w:val="000000"/>
          <w:sz w:val="22"/>
        </w:rPr>
        <w:t>Foreign keys: None.</w:t>
      </w:r>
    </w:p>
    <w:p>
      <w:pPr>
        <w:pStyle w:val="ListBullet"/>
        <w:spacing w:after="80" w:line="264" w:lineRule="auto"/>
      </w:pPr>
      <w:r>
        <w:rPr>
          <w:rFonts w:ascii="Calibri" w:hAnsi="Calibri"/>
          <w:color w:val="000000"/>
          <w:sz w:val="22"/>
        </w:rPr>
        <w:t>Source: Distinct student attributes from studentInfo.csv after quality cleaning.</w:t>
      </w:r>
    </w:p>
    <w:p>
      <w:pPr>
        <w:pStyle w:val="Heading2"/>
      </w:pPr>
      <w:r>
        <w:t>3.1.3 registration</w:t>
      </w:r>
    </w:p>
    <w:p>
      <w:r>
        <w:rPr>
          <w:rFonts w:ascii="Calibri" w:hAnsi="Calibri"/>
          <w:color w:val="000000"/>
          <w:sz w:val="22"/>
        </w:rPr>
        <w:t>Represents one student's enrolment in one module presentation. It combines presentation-specific fields from studentInfo.csv with dates from studentRegistration.csv.</w:t>
      </w:r>
    </w:p>
    <w:p>
      <w:pPr>
        <w:pStyle w:val="ListBullet"/>
        <w:spacing w:after="80" w:line="264" w:lineRule="auto"/>
      </w:pPr>
      <w:r>
        <w:rPr>
          <w:rFonts w:ascii="Calibri" w:hAnsi="Calibri"/>
          <w:color w:val="000000"/>
          <w:sz w:val="22"/>
        </w:rPr>
        <w:t>Primary key: (id_student, code_module, code_presentation)</w:t>
      </w:r>
    </w:p>
    <w:p>
      <w:pPr>
        <w:pStyle w:val="ListBullet"/>
        <w:spacing w:after="80" w:line="264" w:lineRule="auto"/>
      </w:pPr>
      <w:r>
        <w:rPr>
          <w:rFonts w:ascii="Calibri" w:hAnsi="Calibri"/>
          <w:color w:val="000000"/>
          <w:sz w:val="22"/>
        </w:rPr>
        <w:t>Foreign keys: id_student -&gt; student; (code_module, code_presentation) -&gt; module_presentation.</w:t>
      </w:r>
    </w:p>
    <w:p>
      <w:pPr>
        <w:pStyle w:val="ListBullet"/>
        <w:spacing w:after="80" w:line="264" w:lineRule="auto"/>
      </w:pPr>
      <w:r>
        <w:rPr>
          <w:rFonts w:ascii="Calibri" w:hAnsi="Calibri"/>
          <w:color w:val="000000"/>
          <w:sz w:val="22"/>
        </w:rPr>
        <w:t>Source: studentInfo.csv joined one-to-one with studentRegistration.csv.</w:t>
      </w:r>
    </w:p>
    <w:p>
      <w:pPr>
        <w:pStyle w:val="Heading2"/>
      </w:pPr>
      <w:r>
        <w:t>3.1.4 assessment</w:t>
      </w:r>
    </w:p>
    <w:p>
      <w:r>
        <w:rPr>
          <w:rFonts w:ascii="Calibri" w:hAnsi="Calibri"/>
          <w:color w:val="000000"/>
          <w:sz w:val="22"/>
        </w:rPr>
        <w:t>Stores each assessment definition, including its type, relative deadline and weight.</w:t>
      </w:r>
    </w:p>
    <w:p>
      <w:pPr>
        <w:pStyle w:val="ListBullet"/>
        <w:spacing w:after="80" w:line="264" w:lineRule="auto"/>
      </w:pPr>
      <w:r>
        <w:rPr>
          <w:rFonts w:ascii="Calibri" w:hAnsi="Calibri"/>
          <w:color w:val="000000"/>
          <w:sz w:val="22"/>
        </w:rPr>
        <w:t>Primary key: id_assessment</w:t>
      </w:r>
    </w:p>
    <w:p>
      <w:pPr>
        <w:pStyle w:val="ListBullet"/>
        <w:spacing w:after="80" w:line="264" w:lineRule="auto"/>
      </w:pPr>
      <w:r>
        <w:rPr>
          <w:rFonts w:ascii="Calibri" w:hAnsi="Calibri"/>
          <w:color w:val="000000"/>
          <w:sz w:val="22"/>
        </w:rPr>
        <w:t>Foreign keys: (code_module, code_presentation) -&gt; module_presentation.</w:t>
      </w:r>
    </w:p>
    <w:p>
      <w:pPr>
        <w:pStyle w:val="ListBullet"/>
        <w:spacing w:after="80" w:line="264" w:lineRule="auto"/>
      </w:pPr>
      <w:r>
        <w:rPr>
          <w:rFonts w:ascii="Calibri" w:hAnsi="Calibri"/>
          <w:color w:val="000000"/>
          <w:sz w:val="22"/>
        </w:rPr>
        <w:t>Source: assessments.csv</w:t>
      </w:r>
    </w:p>
    <w:p>
      <w:pPr>
        <w:pStyle w:val="Heading2"/>
      </w:pPr>
      <w:r>
        <w:t>3.1.5 vle_resource</w:t>
      </w:r>
    </w:p>
    <w:p>
      <w:r>
        <w:rPr>
          <w:rFonts w:ascii="Calibri" w:hAnsi="Calibri"/>
          <w:color w:val="000000"/>
          <w:sz w:val="22"/>
        </w:rPr>
        <w:t>Stores VLE learning materials and their optional planned-use week range.</w:t>
      </w:r>
    </w:p>
    <w:p>
      <w:pPr>
        <w:pStyle w:val="ListBullet"/>
        <w:spacing w:after="80" w:line="264" w:lineRule="auto"/>
      </w:pPr>
      <w:r>
        <w:rPr>
          <w:rFonts w:ascii="Calibri" w:hAnsi="Calibri"/>
          <w:color w:val="000000"/>
          <w:sz w:val="22"/>
        </w:rPr>
        <w:t>Primary key: id_site</w:t>
      </w:r>
    </w:p>
    <w:p>
      <w:pPr>
        <w:pStyle w:val="ListBullet"/>
        <w:spacing w:after="80" w:line="264" w:lineRule="auto"/>
      </w:pPr>
      <w:r>
        <w:rPr>
          <w:rFonts w:ascii="Calibri" w:hAnsi="Calibri"/>
          <w:color w:val="000000"/>
          <w:sz w:val="22"/>
        </w:rPr>
        <w:t>Foreign keys: (code_module, code_presentation) -&gt; module_presentation.</w:t>
      </w:r>
    </w:p>
    <w:p>
      <w:pPr>
        <w:pStyle w:val="ListBullet"/>
        <w:spacing w:after="80" w:line="264" w:lineRule="auto"/>
      </w:pPr>
      <w:r>
        <w:rPr>
          <w:rFonts w:ascii="Calibri" w:hAnsi="Calibri"/>
          <w:color w:val="000000"/>
          <w:sz w:val="22"/>
        </w:rPr>
        <w:t>Source: vle.csv</w:t>
      </w:r>
    </w:p>
    <w:p>
      <w:pPr>
        <w:pStyle w:val="Heading2"/>
      </w:pPr>
      <w:r>
        <w:t>3.1.6 student_assessment</w:t>
      </w:r>
    </w:p>
    <w:p>
      <w:r>
        <w:rPr>
          <w:rFonts w:ascii="Calibri" w:hAnsi="Calibri"/>
          <w:color w:val="000000"/>
          <w:sz w:val="22"/>
        </w:rPr>
        <w:t>Stores one student's result for one assessment. Module and presentation context is derived from assessment during ETL and retained to enforce registration consistency.</w:t>
      </w:r>
    </w:p>
    <w:p>
      <w:pPr>
        <w:pStyle w:val="ListBullet"/>
        <w:spacing w:after="80" w:line="264" w:lineRule="auto"/>
      </w:pPr>
      <w:r>
        <w:rPr>
          <w:rFonts w:ascii="Calibri" w:hAnsi="Calibri"/>
          <w:color w:val="000000"/>
          <w:sz w:val="22"/>
        </w:rPr>
        <w:t>Primary key: (id_assessment, id_student)</w:t>
      </w:r>
    </w:p>
    <w:p>
      <w:pPr>
        <w:pStyle w:val="ListBullet"/>
        <w:spacing w:after="80" w:line="264" w:lineRule="auto"/>
      </w:pPr>
      <w:r>
        <w:rPr>
          <w:rFonts w:ascii="Calibri" w:hAnsi="Calibri"/>
          <w:color w:val="000000"/>
          <w:sz w:val="22"/>
        </w:rPr>
        <w:t>Foreign keys: (id_assessment, code_module, code_presentation) -&gt; assessment; (id_student, code_module, code_presentation) -&gt; registration.</w:t>
      </w:r>
    </w:p>
    <w:p>
      <w:pPr>
        <w:pStyle w:val="ListBullet"/>
        <w:spacing w:after="80" w:line="264" w:lineRule="auto"/>
      </w:pPr>
      <w:r>
        <w:rPr>
          <w:rFonts w:ascii="Calibri" w:hAnsi="Calibri"/>
          <w:color w:val="000000"/>
          <w:sz w:val="22"/>
        </w:rPr>
        <w:t>Source: studentAssessment.csv plus assessment context from assessments.csv.</w:t>
      </w:r>
    </w:p>
    <w:p>
      <w:pPr>
        <w:pStyle w:val="Heading2"/>
      </w:pPr>
      <w:r>
        <w:t>3.1.7 student_vle_interaction</w:t>
      </w:r>
    </w:p>
    <w:p>
      <w:r>
        <w:rPr>
          <w:rFonts w:ascii="Calibri" w:hAnsi="Calibri"/>
          <w:color w:val="000000"/>
          <w:sz w:val="22"/>
        </w:rPr>
        <w:t>Stores a student's aggregated daily interaction count for one VLE resource.</w:t>
      </w:r>
    </w:p>
    <w:p>
      <w:pPr>
        <w:pStyle w:val="ListBullet"/>
        <w:spacing w:after="80" w:line="264" w:lineRule="auto"/>
      </w:pPr>
      <w:r>
        <w:rPr>
          <w:rFonts w:ascii="Calibri" w:hAnsi="Calibri"/>
          <w:color w:val="000000"/>
          <w:sz w:val="22"/>
        </w:rPr>
        <w:t>Primary key: (code_module, code_presentation, id_student, id_site, interaction_date)</w:t>
      </w:r>
    </w:p>
    <w:p>
      <w:pPr>
        <w:pStyle w:val="ListBullet"/>
        <w:spacing w:after="80" w:line="264" w:lineRule="auto"/>
      </w:pPr>
      <w:r>
        <w:rPr>
          <w:rFonts w:ascii="Calibri" w:hAnsi="Calibri"/>
          <w:color w:val="000000"/>
          <w:sz w:val="22"/>
        </w:rPr>
        <w:t>Foreign keys: (id_student, code_module, code_presentation) -&gt; registration; (id_site, code_module, code_presentation) -&gt; vle_resource.</w:t>
      </w:r>
    </w:p>
    <w:p>
      <w:pPr>
        <w:pStyle w:val="ListBullet"/>
        <w:spacing w:after="80" w:line="264" w:lineRule="auto"/>
      </w:pPr>
      <w:r>
        <w:rPr>
          <w:rFonts w:ascii="Calibri" w:hAnsi="Calibri"/>
          <w:color w:val="000000"/>
          <w:sz w:val="22"/>
        </w:rPr>
        <w:t>Source: studentVle.csv</w:t>
      </w:r>
    </w:p>
    <w:p>
      <w:pPr>
        <w:pStyle w:val="Heading1"/>
      </w:pPr>
      <w:r>
        <w:t>4. Keys and Referential Constraints</w:t>
      </w:r>
    </w:p>
    <w:tbl>
      <w:tblPr>
        <w:tblStyle w:val="TableGrid"/>
        <w:tblW w:type="dxa" w:w="9360"/>
        <w:jc w:val="left"/>
        <w:tblLayout w:type="fixed"/>
        <w:tblLook w:firstColumn="1" w:firstRow="1" w:lastColumn="0" w:lastRow="0" w:noHBand="0" w:noVBand="1" w:val="04A0"/>
        <w:tblInd w:w="120" w:type="dxa"/>
      </w:tblPr>
      <w:tblGrid>
        <w:gridCol w:w="2400"/>
        <w:gridCol w:w="3350"/>
        <w:gridCol w:w="3610"/>
      </w:tblGrid>
      <w:tr>
        <w:trPr>
          <w:tblHeader w:val="true"/>
          <w:cantSplit w:val="true"/>
        </w:trPr>
        <w:tc>
          <w:tcPr>
            <w:tcW w:type="dxa" w:w="240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Relation</w:t>
            </w:r>
          </w:p>
        </w:tc>
        <w:tc>
          <w:tcPr>
            <w:tcW w:type="dxa" w:w="335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Primary key</w:t>
            </w:r>
          </w:p>
        </w:tc>
        <w:tc>
          <w:tcPr>
            <w:tcW w:type="dxa" w:w="3610"/>
            <w:tcMar>
              <w:top w:w="80" w:type="dxa"/>
              <w:start w:w="120" w:type="dxa"/>
              <w:bottom w:w="80" w:type="dxa"/>
              <w:end w:w="120" w:type="dxa"/>
            </w:tcMar>
            <w:vAlign w:val="center"/>
            <w:shd w:fill="E8EEF5"/>
          </w:tcPr>
          <w:p>
            <w:pPr>
              <w:spacing w:before="0" w:after="30" w:line="252" w:lineRule="auto"/>
            </w:pPr>
            <w:r>
              <w:rPr>
                <w:rFonts w:ascii="Calibri" w:hAnsi="Calibri"/>
                <w:b/>
                <w:color w:val="000000"/>
                <w:sz w:val="17"/>
              </w:rPr>
              <w:t>Justification</w:t>
            </w:r>
          </w:p>
        </w:tc>
      </w:tr>
      <w:tr>
        <w:trPr>
          <w:cantSplit w:val="true"/>
        </w:trPr>
        <w:tc>
          <w:tcPr>
            <w:tcW w:type="dxa" w:w="2400"/>
            <w:tcMar>
              <w:top w:w="80" w:type="dxa"/>
              <w:start w:w="120" w:type="dxa"/>
              <w:bottom w:w="80" w:type="dxa"/>
              <w:end w:w="120" w:type="dxa"/>
            </w:tcMar>
            <w:vAlign w:val="center"/>
          </w:tcPr>
          <w:p>
            <w:pPr>
              <w:spacing w:before="0" w:after="30" w:line="252" w:lineRule="auto"/>
            </w:pPr>
            <w:r>
              <w:rPr>
                <w:rFonts w:ascii="Calibri" w:hAnsi="Calibri"/>
                <w:b w:val="0"/>
                <w:color w:val="000000"/>
                <w:sz w:val="17"/>
              </w:rPr>
              <w:t>module_presentation</w:t>
            </w:r>
          </w:p>
        </w:tc>
        <w:tc>
          <w:tcPr>
            <w:tcW w:type="dxa" w:w="3350"/>
            <w:tcMar>
              <w:top w:w="80" w:type="dxa"/>
              <w:start w:w="120" w:type="dxa"/>
              <w:bottom w:w="80" w:type="dxa"/>
              <w:end w:w="120" w:type="dxa"/>
            </w:tcMar>
            <w:vAlign w:val="center"/>
          </w:tcPr>
          <w:p>
            <w:pPr>
              <w:spacing w:before="0" w:after="30" w:line="252" w:lineRule="auto"/>
            </w:pPr>
            <w:r>
              <w:rPr>
                <w:rFonts w:ascii="Calibri" w:hAnsi="Calibri"/>
                <w:b w:val="0"/>
                <w:color w:val="000000"/>
                <w:sz w:val="17"/>
              </w:rPr>
              <w:t>code_module + code_presentation</w:t>
            </w:r>
          </w:p>
        </w:tc>
        <w:tc>
          <w:tcPr>
            <w:tcW w:type="dxa" w:w="3610"/>
            <w:tcMar>
              <w:top w:w="80" w:type="dxa"/>
              <w:start w:w="120" w:type="dxa"/>
              <w:bottom w:w="80" w:type="dxa"/>
              <w:end w:w="120" w:type="dxa"/>
            </w:tcMar>
            <w:vAlign w:val="center"/>
          </w:tcPr>
          <w:p>
            <w:pPr>
              <w:spacing w:before="0" w:after="30" w:line="252" w:lineRule="auto"/>
            </w:pPr>
            <w:r>
              <w:rPr>
                <w:rFonts w:ascii="Calibri" w:hAnsi="Calibri"/>
                <w:b w:val="0"/>
                <w:color w:val="000000"/>
                <w:sz w:val="17"/>
              </w:rPr>
              <w:t>Natural composite identifier for a module delivery</w:t>
            </w:r>
          </w:p>
        </w:tc>
      </w:tr>
      <w:tr>
        <w:trPr>
          <w:cantSplit w:val="true"/>
        </w:trPr>
        <w:tc>
          <w:tcPr>
            <w:tcW w:type="dxa" w:w="240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w:t>
            </w:r>
          </w:p>
        </w:tc>
        <w:tc>
          <w:tcPr>
            <w:tcW w:type="dxa" w:w="3350"/>
            <w:tcMar>
              <w:top w:w="80" w:type="dxa"/>
              <w:start w:w="120" w:type="dxa"/>
              <w:bottom w:w="80" w:type="dxa"/>
              <w:end w:w="120" w:type="dxa"/>
            </w:tcMar>
            <w:vAlign w:val="center"/>
          </w:tcPr>
          <w:p>
            <w:pPr>
              <w:spacing w:before="0" w:after="30" w:line="252" w:lineRule="auto"/>
            </w:pPr>
            <w:r>
              <w:rPr>
                <w:rFonts w:ascii="Calibri" w:hAnsi="Calibri"/>
                <w:b w:val="0"/>
                <w:color w:val="000000"/>
                <w:sz w:val="17"/>
              </w:rPr>
              <w:t>id_student</w:t>
            </w:r>
          </w:p>
        </w:tc>
        <w:tc>
          <w:tcPr>
            <w:tcW w:type="dxa" w:w="3610"/>
            <w:tcMar>
              <w:top w:w="80" w:type="dxa"/>
              <w:start w:w="120" w:type="dxa"/>
              <w:bottom w:w="80" w:type="dxa"/>
              <w:end w:w="120" w:type="dxa"/>
            </w:tcMar>
            <w:vAlign w:val="center"/>
          </w:tcPr>
          <w:p>
            <w:pPr>
              <w:spacing w:before="0" w:after="30" w:line="252" w:lineRule="auto"/>
            </w:pPr>
            <w:r>
              <w:rPr>
                <w:rFonts w:ascii="Calibri" w:hAnsi="Calibri"/>
                <w:b w:val="0"/>
                <w:color w:val="000000"/>
                <w:sz w:val="17"/>
              </w:rPr>
              <w:t>Anonymised permanent student identifier</w:t>
            </w:r>
          </w:p>
        </w:tc>
      </w:tr>
      <w:tr>
        <w:trPr>
          <w:cantSplit w:val="true"/>
        </w:trPr>
        <w:tc>
          <w:tcPr>
            <w:tcW w:type="dxa" w:w="2400"/>
            <w:tcMar>
              <w:top w:w="80" w:type="dxa"/>
              <w:start w:w="120" w:type="dxa"/>
              <w:bottom w:w="80" w:type="dxa"/>
              <w:end w:w="120" w:type="dxa"/>
            </w:tcMar>
            <w:vAlign w:val="center"/>
          </w:tcPr>
          <w:p>
            <w:pPr>
              <w:spacing w:before="0" w:after="30" w:line="252" w:lineRule="auto"/>
            </w:pPr>
            <w:r>
              <w:rPr>
                <w:rFonts w:ascii="Calibri" w:hAnsi="Calibri"/>
                <w:b w:val="0"/>
                <w:color w:val="000000"/>
                <w:sz w:val="17"/>
              </w:rPr>
              <w:t>registration</w:t>
            </w:r>
          </w:p>
        </w:tc>
        <w:tc>
          <w:tcPr>
            <w:tcW w:type="dxa" w:w="3350"/>
            <w:tcMar>
              <w:top w:w="80" w:type="dxa"/>
              <w:start w:w="120" w:type="dxa"/>
              <w:bottom w:w="80" w:type="dxa"/>
              <w:end w:w="120" w:type="dxa"/>
            </w:tcMar>
            <w:vAlign w:val="center"/>
          </w:tcPr>
          <w:p>
            <w:pPr>
              <w:spacing w:before="0" w:after="30" w:line="252" w:lineRule="auto"/>
            </w:pPr>
            <w:r>
              <w:rPr>
                <w:rFonts w:ascii="Calibri" w:hAnsi="Calibri"/>
                <w:b w:val="0"/>
                <w:color w:val="000000"/>
                <w:sz w:val="17"/>
              </w:rPr>
              <w:t>id_student + module + presentation</w:t>
            </w:r>
          </w:p>
        </w:tc>
        <w:tc>
          <w:tcPr>
            <w:tcW w:type="dxa" w:w="3610"/>
            <w:tcMar>
              <w:top w:w="80" w:type="dxa"/>
              <w:start w:w="120" w:type="dxa"/>
              <w:bottom w:w="80" w:type="dxa"/>
              <w:end w:w="120" w:type="dxa"/>
            </w:tcMar>
            <w:vAlign w:val="center"/>
          </w:tcPr>
          <w:p>
            <w:pPr>
              <w:spacing w:before="0" w:after="30" w:line="252" w:lineRule="auto"/>
            </w:pPr>
            <w:r>
              <w:rPr>
                <w:rFonts w:ascii="Calibri" w:hAnsi="Calibri"/>
                <w:b w:val="0"/>
                <w:color w:val="000000"/>
                <w:sz w:val="17"/>
              </w:rPr>
              <w:t>One enrolment per student and presentation</w:t>
            </w:r>
          </w:p>
        </w:tc>
      </w:tr>
      <w:tr>
        <w:trPr>
          <w:cantSplit w:val="true"/>
        </w:trPr>
        <w:tc>
          <w:tcPr>
            <w:tcW w:type="dxa" w:w="2400"/>
            <w:tcMar>
              <w:top w:w="80" w:type="dxa"/>
              <w:start w:w="120" w:type="dxa"/>
              <w:bottom w:w="80" w:type="dxa"/>
              <w:end w:w="120" w:type="dxa"/>
            </w:tcMar>
            <w:vAlign w:val="center"/>
          </w:tcPr>
          <w:p>
            <w:pPr>
              <w:spacing w:before="0" w:after="30" w:line="252" w:lineRule="auto"/>
            </w:pPr>
            <w:r>
              <w:rPr>
                <w:rFonts w:ascii="Calibri" w:hAnsi="Calibri"/>
                <w:b w:val="0"/>
                <w:color w:val="000000"/>
                <w:sz w:val="17"/>
              </w:rPr>
              <w:t>assessment</w:t>
            </w:r>
          </w:p>
        </w:tc>
        <w:tc>
          <w:tcPr>
            <w:tcW w:type="dxa" w:w="3350"/>
            <w:tcMar>
              <w:top w:w="80" w:type="dxa"/>
              <w:start w:w="120" w:type="dxa"/>
              <w:bottom w:w="80" w:type="dxa"/>
              <w:end w:w="120" w:type="dxa"/>
            </w:tcMar>
            <w:vAlign w:val="center"/>
          </w:tcPr>
          <w:p>
            <w:pPr>
              <w:spacing w:before="0" w:after="30" w:line="252" w:lineRule="auto"/>
            </w:pPr>
            <w:r>
              <w:rPr>
                <w:rFonts w:ascii="Calibri" w:hAnsi="Calibri"/>
                <w:b w:val="0"/>
                <w:color w:val="000000"/>
                <w:sz w:val="17"/>
              </w:rPr>
              <w:t>id_assessment</w:t>
            </w:r>
          </w:p>
        </w:tc>
        <w:tc>
          <w:tcPr>
            <w:tcW w:type="dxa" w:w="3610"/>
            <w:tcMar>
              <w:top w:w="80" w:type="dxa"/>
              <w:start w:w="120" w:type="dxa"/>
              <w:bottom w:w="80" w:type="dxa"/>
              <w:end w:w="120" w:type="dxa"/>
            </w:tcMar>
            <w:vAlign w:val="center"/>
          </w:tcPr>
          <w:p>
            <w:pPr>
              <w:spacing w:before="0" w:after="30" w:line="252" w:lineRule="auto"/>
            </w:pPr>
            <w:r>
              <w:rPr>
                <w:rFonts w:ascii="Calibri" w:hAnsi="Calibri"/>
                <w:b w:val="0"/>
                <w:color w:val="000000"/>
                <w:sz w:val="17"/>
              </w:rPr>
              <w:t>Unique in the inspected assessment file</w:t>
            </w:r>
          </w:p>
        </w:tc>
      </w:tr>
      <w:tr>
        <w:trPr>
          <w:cantSplit w:val="true"/>
        </w:trPr>
        <w:tc>
          <w:tcPr>
            <w:tcW w:type="dxa" w:w="2400"/>
            <w:tcMar>
              <w:top w:w="80" w:type="dxa"/>
              <w:start w:w="120" w:type="dxa"/>
              <w:bottom w:w="80" w:type="dxa"/>
              <w:end w:w="120" w:type="dxa"/>
            </w:tcMar>
            <w:vAlign w:val="center"/>
          </w:tcPr>
          <w:p>
            <w:pPr>
              <w:spacing w:before="0" w:after="30" w:line="252" w:lineRule="auto"/>
            </w:pPr>
            <w:r>
              <w:rPr>
                <w:rFonts w:ascii="Calibri" w:hAnsi="Calibri"/>
                <w:b w:val="0"/>
                <w:color w:val="000000"/>
                <w:sz w:val="17"/>
              </w:rPr>
              <w:t>vle_resource</w:t>
            </w:r>
          </w:p>
        </w:tc>
        <w:tc>
          <w:tcPr>
            <w:tcW w:type="dxa" w:w="3350"/>
            <w:tcMar>
              <w:top w:w="80" w:type="dxa"/>
              <w:start w:w="120" w:type="dxa"/>
              <w:bottom w:w="80" w:type="dxa"/>
              <w:end w:w="120" w:type="dxa"/>
            </w:tcMar>
            <w:vAlign w:val="center"/>
          </w:tcPr>
          <w:p>
            <w:pPr>
              <w:spacing w:before="0" w:after="30" w:line="252" w:lineRule="auto"/>
            </w:pPr>
            <w:r>
              <w:rPr>
                <w:rFonts w:ascii="Calibri" w:hAnsi="Calibri"/>
                <w:b w:val="0"/>
                <w:color w:val="000000"/>
                <w:sz w:val="17"/>
              </w:rPr>
              <w:t>id_site</w:t>
            </w:r>
          </w:p>
        </w:tc>
        <w:tc>
          <w:tcPr>
            <w:tcW w:type="dxa" w:w="3610"/>
            <w:tcMar>
              <w:top w:w="80" w:type="dxa"/>
              <w:start w:w="120" w:type="dxa"/>
              <w:bottom w:w="80" w:type="dxa"/>
              <w:end w:w="120" w:type="dxa"/>
            </w:tcMar>
            <w:vAlign w:val="center"/>
          </w:tcPr>
          <w:p>
            <w:pPr>
              <w:spacing w:before="0" w:after="30" w:line="252" w:lineRule="auto"/>
            </w:pPr>
            <w:r>
              <w:rPr>
                <w:rFonts w:ascii="Calibri" w:hAnsi="Calibri"/>
                <w:b w:val="0"/>
                <w:color w:val="000000"/>
                <w:sz w:val="17"/>
              </w:rPr>
              <w:t>Unique in the inspected VLE resource file</w:t>
            </w:r>
          </w:p>
        </w:tc>
      </w:tr>
      <w:tr>
        <w:trPr>
          <w:cantSplit w:val="true"/>
        </w:trPr>
        <w:tc>
          <w:tcPr>
            <w:tcW w:type="dxa" w:w="240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student_assessment</w:t>
            </w:r>
          </w:p>
        </w:tc>
        <w:tc>
          <w:tcPr>
            <w:tcW w:type="dxa" w:w="3350"/>
            <w:tcMar>
              <w:top w:w="80" w:type="dxa"/>
              <w:start w:w="120" w:type="dxa"/>
              <w:bottom w:w="80" w:type="dxa"/>
              <w:end w:w="120" w:type="dxa"/>
            </w:tcMar>
            <w:vAlign w:val="center"/>
          </w:tcPr>
          <w:p>
            <w:pPr>
              <w:spacing w:before="0" w:after="30" w:line="252" w:lineRule="auto"/>
            </w:pPr>
            <w:r>
              <w:rPr>
                <w:rFonts w:ascii="Calibri" w:hAnsi="Calibri"/>
                <w:b w:val="0"/>
                <w:color w:val="000000"/>
                <w:sz w:val="17"/>
              </w:rPr>
              <w:t>id_assessment + id_student</w:t>
            </w:r>
          </w:p>
        </w:tc>
        <w:tc>
          <w:tcPr>
            <w:tcW w:type="dxa" w:w="3610"/>
            <w:tcMar>
              <w:top w:w="80" w:type="dxa"/>
              <w:start w:w="120" w:type="dxa"/>
              <w:bottom w:w="80" w:type="dxa"/>
              <w:end w:w="120" w:type="dxa"/>
            </w:tcMar>
            <w:vAlign w:val="center"/>
          </w:tcPr>
          <w:p>
            <w:pPr>
              <w:spacing w:before="0" w:after="30" w:line="252" w:lineRule="auto"/>
            </w:pPr>
            <w:r>
              <w:rPr>
                <w:rFonts w:ascii="Calibri" w:hAnsi="Calibri"/>
                <w:b w:val="0"/>
                <w:color w:val="000000"/>
                <w:sz w:val="17"/>
              </w:rPr>
              <w:t>One result per student and assessment</w:t>
            </w:r>
          </w:p>
        </w:tc>
      </w:tr>
      <w:tr>
        <w:trPr>
          <w:cantSplit w:val="true"/>
        </w:trPr>
        <w:tc>
          <w:tcPr>
            <w:tcW w:type="dxa" w:w="2400"/>
            <w:tcMar>
              <w:top w:w="80" w:type="dxa"/>
              <w:start w:w="120" w:type="dxa"/>
              <w:bottom w:w="80" w:type="dxa"/>
              <w:end w:w="120" w:type="dxa"/>
            </w:tcMar>
            <w:vAlign w:val="center"/>
          </w:tcPr>
          <w:p>
            <w:pPr>
              <w:spacing w:before="0" w:after="30" w:line="252" w:lineRule="auto"/>
            </w:pPr>
            <w:r>
              <w:rPr>
                <w:rFonts w:ascii="Calibri" w:hAnsi="Calibri"/>
                <w:b w:val="0"/>
                <w:color w:val="000000"/>
                <w:sz w:val="17"/>
              </w:rPr>
              <w:t>student_vle_interaction</w:t>
            </w:r>
          </w:p>
        </w:tc>
        <w:tc>
          <w:tcPr>
            <w:tcW w:type="dxa" w:w="3350"/>
            <w:tcMar>
              <w:top w:w="80" w:type="dxa"/>
              <w:start w:w="120" w:type="dxa"/>
              <w:bottom w:w="80" w:type="dxa"/>
              <w:end w:w="120" w:type="dxa"/>
            </w:tcMar>
            <w:vAlign w:val="center"/>
          </w:tcPr>
          <w:p>
            <w:pPr>
              <w:spacing w:before="0" w:after="30" w:line="252" w:lineRule="auto"/>
            </w:pPr>
            <w:r>
              <w:rPr>
                <w:rFonts w:ascii="Calibri" w:hAnsi="Calibri"/>
                <w:b w:val="0"/>
                <w:color w:val="000000"/>
                <w:sz w:val="17"/>
              </w:rPr>
              <w:t>module + presentation + student + site + date</w:t>
            </w:r>
          </w:p>
        </w:tc>
        <w:tc>
          <w:tcPr>
            <w:tcW w:type="dxa" w:w="3610"/>
            <w:tcMar>
              <w:top w:w="80" w:type="dxa"/>
              <w:start w:w="120" w:type="dxa"/>
              <w:bottom w:w="80" w:type="dxa"/>
              <w:end w:w="120" w:type="dxa"/>
            </w:tcMar>
            <w:vAlign w:val="center"/>
          </w:tcPr>
          <w:p>
            <w:pPr>
              <w:spacing w:before="0" w:after="30" w:line="252" w:lineRule="auto"/>
            </w:pPr>
            <w:r>
              <w:rPr>
                <w:rFonts w:ascii="Calibri" w:hAnsi="Calibri"/>
                <w:b w:val="0"/>
                <w:color w:val="000000"/>
                <w:sz w:val="17"/>
              </w:rPr>
              <w:t>Daily resource-interaction grain</w:t>
            </w:r>
          </w:p>
        </w:tc>
      </w:tr>
    </w:tbl>
    <w:p>
      <w:pPr>
        <w:spacing w:after="0"/>
      </w:pPr>
    </w:p>
    <w:p>
      <w:pPr>
        <w:spacing w:before="80" w:after="80"/>
        <w:jc w:val="left"/>
      </w:pPr>
      <w:r>
        <w:rPr>
          <w:rFonts w:ascii="Calibri" w:hAnsi="Calibri"/>
          <w:i/>
          <w:color w:val="5F6B7A"/>
          <w:sz w:val="18"/>
        </w:rPr>
        <w:t>Table 4. Primary keys and the real-world grain they enforce.</w:t>
      </w:r>
    </w:p>
    <w:p>
      <w:r>
        <w:rPr>
          <w:rFonts w:ascii="Calibri" w:hAnsi="Calibri"/>
          <w:color w:val="000000"/>
          <w:sz w:val="22"/>
        </w:rPr>
        <w:t>Foreign keys implement the eight conceptual relationships. Parent records must exist before child rows are loaded. Deletion should normally use RESTRICT/NO ACTION so that academic history cannot be removed accidentally. Cascading deletion is not recommended for students, registrations, results or interactions.</w:t>
      </w:r>
    </w:p>
    <w:p>
      <w:pPr>
        <w:spacing w:before="80" w:after="160" w:line="259" w:lineRule="auto"/>
        <w:ind w:left="173" w:right="86"/>
        <w:shd w:fill="F4F6F9"/>
        <w:pBdr>
          <w:left w:val="single" w:sz="18" w:space="7" w:color="2E74B5"/>
        </w:pBdr>
      </w:pPr>
      <w:r>
        <w:rPr>
          <w:rFonts w:ascii="Calibri" w:hAnsi="Calibri"/>
          <w:b/>
          <w:color w:val="0B2545"/>
          <w:sz w:val="21"/>
        </w:rPr>
        <w:t xml:space="preserve">Integrity evidence: </w:t>
      </w:r>
      <w:r>
        <w:rPr>
          <w:rFonts w:ascii="Calibri" w:hAnsi="Calibri"/>
          <w:color w:val="000000"/>
          <w:sz w:val="21"/>
        </w:rPr>
        <w:t>Task 1 found no unmatched presentation keys in assessments, VLE resources or student information; studentInfo and studentRegistration matched exactly in both directions; all tested student-assessment records matched valid assessments and registrations. Student VLE integrity will be rechecked after its import completes.</w:t>
      </w:r>
    </w:p>
    <w:p>
      <w:pPr>
        <w:pStyle w:val="Heading1"/>
      </w:pPr>
      <w:r>
        <w:t>5. Domain, Nullability and Check Constraints</w:t>
      </w:r>
    </w:p>
    <w:tbl>
      <w:tblPr>
        <w:tblStyle w:val="TableGrid"/>
        <w:tblW w:type="dxa" w:w="9360"/>
        <w:jc w:val="left"/>
        <w:tblLayout w:type="fixed"/>
        <w:tblLook w:firstColumn="1" w:firstRow="1" w:lastColumn="0" w:lastRow="0" w:noHBand="0" w:noVBand="1" w:val="04A0"/>
        <w:tblInd w:w="120" w:type="dxa"/>
      </w:tblPr>
      <w:tblGrid>
        <w:gridCol w:w="2600"/>
        <w:gridCol w:w="2850"/>
        <w:gridCol w:w="3910"/>
      </w:tblGrid>
      <w:tr>
        <w:trPr>
          <w:tblHeader w:val="true"/>
          <w:cantSplit w:val="true"/>
        </w:trPr>
        <w:tc>
          <w:tcPr>
            <w:tcW w:type="dxa" w:w="260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Attribute</w:t>
            </w:r>
          </w:p>
        </w:tc>
        <w:tc>
          <w:tcPr>
            <w:tcW w:type="dxa" w:w="285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Constraint</w:t>
            </w:r>
          </w:p>
        </w:tc>
        <w:tc>
          <w:tcPr>
            <w:tcW w:type="dxa" w:w="3910"/>
            <w:tcMar>
              <w:top w:w="80" w:type="dxa"/>
              <w:start w:w="120" w:type="dxa"/>
              <w:bottom w:w="80" w:type="dxa"/>
              <w:end w:w="120" w:type="dxa"/>
            </w:tcMar>
            <w:vAlign w:val="center"/>
            <w:shd w:fill="E8EEF5"/>
          </w:tcPr>
          <w:p>
            <w:pPr>
              <w:spacing w:before="0" w:after="30" w:line="252" w:lineRule="auto"/>
            </w:pPr>
            <w:r>
              <w:rPr>
                <w:rFonts w:ascii="Calibri" w:hAnsi="Calibri"/>
                <w:b/>
                <w:color w:val="000000"/>
                <w:sz w:val="16"/>
              </w:rPr>
              <w:t>Evidence / rationale</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module_presentation_length</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NOT NULL; &gt; 0</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Observed range 234-269 days</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gender</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M or F</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Only these categories were observed</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disability</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Y or N</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Only these indicators were observed</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imd_band</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NULL allowed; standard bands</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1,111 missing values; normalize '10-20' to '10-20%'</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age_band</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0-35, 35-55 or 55&lt;=</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No missing values; presentation-specific</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num_of_prev_attempts</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&gt;= 0</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Observed range 0-6</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studied_credits</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&gt; 0</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Observed range 30-655; high values retained</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final_result</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Distinction, Pass, Fail or Withdrawn</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Four consistent categories</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registration dates</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NULL and negative values allowed</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45 missing registrations; negative values mean before start</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assessment_type</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TMA, CMA or Exam</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Three consistent assessment categories</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assessment_date</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NULL allowed</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11 Exam dates are missing</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weight</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0-100 inclusive</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56 valid-looking zero-weight assessments</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week_from / week_to</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Both NULL or both present; 0 &lt;= from &lt;= to</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5,243 paired gaps; no partial or reversed ranges</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is_banked</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0 or 1</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Binary indicator</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score</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NULL or 0-100</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173 missing scores; available scores within range</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interaction_date</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Negative values permitted</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Dates are relative to presentation start</w:t>
            </w:r>
          </w:p>
        </w:tc>
      </w:tr>
      <w:tr>
        <w:trPr>
          <w:cantSplit w:val="true"/>
        </w:trPr>
        <w:tc>
          <w:tcPr>
            <w:tcW w:type="dxa" w:w="2600"/>
            <w:tcMar>
              <w:top w:w="80" w:type="dxa"/>
              <w:start w:w="120" w:type="dxa"/>
              <w:bottom w:w="80" w:type="dxa"/>
              <w:end w:w="120" w:type="dxa"/>
            </w:tcMar>
            <w:vAlign w:val="center"/>
          </w:tcPr>
          <w:p>
            <w:pPr>
              <w:spacing w:before="0" w:after="30" w:line="252" w:lineRule="auto"/>
            </w:pPr>
            <w:r>
              <w:rPr>
                <w:rFonts w:ascii="Calibri" w:hAnsi="Calibri"/>
                <w:b w:val="0"/>
                <w:color w:val="000000"/>
                <w:sz w:val="16"/>
              </w:rPr>
              <w:t>sum_click</w:t>
            </w:r>
          </w:p>
        </w:tc>
        <w:tc>
          <w:tcPr>
            <w:tcW w:type="dxa" w:w="2850"/>
            <w:tcMar>
              <w:top w:w="80" w:type="dxa"/>
              <w:start w:w="120" w:type="dxa"/>
              <w:bottom w:w="80" w:type="dxa"/>
              <w:end w:w="120" w:type="dxa"/>
            </w:tcMar>
            <w:vAlign w:val="center"/>
          </w:tcPr>
          <w:p>
            <w:pPr>
              <w:spacing w:before="0" w:after="30" w:line="252" w:lineRule="auto"/>
            </w:pPr>
            <w:r>
              <w:rPr>
                <w:rFonts w:ascii="Calibri" w:hAnsi="Calibri"/>
                <w:b w:val="0"/>
                <w:color w:val="000000"/>
                <w:sz w:val="16"/>
              </w:rPr>
              <w:t>NOT NULL; range rule pending</w:t>
            </w:r>
          </w:p>
        </w:tc>
        <w:tc>
          <w:tcPr>
            <w:tcW w:type="dxa" w:w="3910"/>
            <w:tcMar>
              <w:top w:w="80" w:type="dxa"/>
              <w:start w:w="120" w:type="dxa"/>
              <w:bottom w:w="80" w:type="dxa"/>
              <w:end w:w="120" w:type="dxa"/>
            </w:tcMar>
            <w:vAlign w:val="center"/>
          </w:tcPr>
          <w:p>
            <w:pPr>
              <w:spacing w:before="0" w:after="30" w:line="252" w:lineRule="auto"/>
            </w:pPr>
            <w:r>
              <w:rPr>
                <w:rFonts w:ascii="Calibri" w:hAnsi="Calibri"/>
                <w:b w:val="0"/>
                <w:color w:val="000000"/>
                <w:sz w:val="16"/>
              </w:rPr>
              <w:t>Final studentVle profiling is still incomplete</w:t>
            </w:r>
          </w:p>
        </w:tc>
      </w:tr>
    </w:tbl>
    <w:p>
      <w:pPr>
        <w:spacing w:after="0"/>
      </w:pPr>
    </w:p>
    <w:p>
      <w:pPr>
        <w:spacing w:before="80" w:after="80"/>
        <w:jc w:val="left"/>
      </w:pPr>
      <w:r>
        <w:rPr>
          <w:rFonts w:ascii="Calibri" w:hAnsi="Calibri"/>
          <w:i/>
          <w:color w:val="5F6B7A"/>
          <w:sz w:val="18"/>
        </w:rPr>
        <w:t>Table 5. Proposed constraints derived from the actual data-quality findings.</w:t>
      </w:r>
    </w:p>
    <w:p>
      <w:pPr>
        <w:pStyle w:val="Heading1"/>
      </w:pPr>
      <w:r>
        <w:t>6. Normalization and Design Justification</w:t>
      </w:r>
    </w:p>
    <w:p>
      <w:pPr>
        <w:pStyle w:val="Heading2"/>
      </w:pPr>
      <w:r>
        <w:t>6.1 First normal form</w:t>
      </w:r>
    </w:p>
    <w:p>
      <w:r>
        <w:rPr>
          <w:rFonts w:ascii="Calibri" w:hAnsi="Calibri"/>
          <w:color w:val="000000"/>
          <w:sz w:val="22"/>
        </w:rPr>
        <w:t>Each relation contains atomic values and no repeating column groups. Daily clicks are stored as one aggregate value per student-resource-date rather than as repeated click columns.</w:t>
      </w:r>
    </w:p>
    <w:p>
      <w:pPr>
        <w:pStyle w:val="Heading2"/>
      </w:pPr>
      <w:r>
        <w:t>6.2 Second normal form</w:t>
      </w:r>
    </w:p>
    <w:p>
      <w:r>
        <w:rPr>
          <w:rFonts w:ascii="Calibri" w:hAnsi="Calibri"/>
          <w:color w:val="000000"/>
          <w:sz w:val="22"/>
        </w:rPr>
        <w:t>Attributes that describe a whole composite key remain with that relation. Registration dates, attempts, credits, result and age band depend on the complete student-module-presentation enrolment key. Student attributes that were stable in Task 1 are separated into student and depend only on id_student.</w:t>
      </w:r>
    </w:p>
    <w:p>
      <w:pPr>
        <w:pStyle w:val="Heading2"/>
      </w:pPr>
      <w:r>
        <w:t>6.3 Third normal form</w:t>
      </w:r>
    </w:p>
    <w:p>
      <w:r>
        <w:rPr>
          <w:rFonts w:ascii="Calibri" w:hAnsi="Calibri"/>
          <w:color w:val="000000"/>
          <w:sz w:val="22"/>
        </w:rPr>
        <w:t>Assessment definitions and VLE-resource descriptions are stored once and referenced by event tables. Module-presentation length is not repeated in registrations, assessments or interactions. This reduces update anomalies and prevents conflicting copies of the same descriptive fact.</w:t>
      </w:r>
    </w:p>
    <w:p>
      <w:pPr>
        <w:spacing w:before="80" w:after="160" w:line="259" w:lineRule="auto"/>
        <w:ind w:left="173" w:right="86"/>
        <w:shd w:fill="F4F6F9"/>
        <w:keepLines/>
        <w:pBdr>
          <w:left w:val="single" w:sz="18" w:space="7" w:color="2E74B5"/>
        </w:pBdr>
      </w:pPr>
      <w:r>
        <w:rPr>
          <w:rFonts w:ascii="Calibri" w:hAnsi="Calibri"/>
          <w:b/>
          <w:color w:val="0B2545"/>
          <w:sz w:val="21"/>
        </w:rPr>
        <w:t xml:space="preserve">Controlled contextual columns: </w:t>
      </w:r>
      <w:r>
        <w:rPr>
          <w:rFonts w:ascii="Calibri" w:hAnsi="Calibri"/>
          <w:color w:val="000000"/>
          <w:sz w:val="21"/>
        </w:rPr>
        <w:t>student_assessment includes code_module and code_presentation even though they are derived from id_assessment. This deliberate, controlled redundancy enables composite foreign keys to verify both the assessment context and the student's matching registration. ETL must derive these values from assessment rather than accept independent user entry.</w:t>
      </w:r>
    </w:p>
    <w:p>
      <w:pPr>
        <w:pStyle w:val="Heading2"/>
      </w:pPr>
      <w:r>
        <w:t>6.4 Organisational justification</w:t>
      </w:r>
    </w:p>
    <w:p>
      <w:pPr>
        <w:pStyle w:val="ListNumber"/>
        <w:numPr>
          <w:ilvl w:val="0"/>
          <w:numId w:val="10"/>
        </w:numPr>
        <w:spacing w:after="100" w:line="264" w:lineRule="auto"/>
      </w:pPr>
      <w:r>
        <w:rPr>
          <w:rFonts w:ascii="Calibri" w:hAnsi="Calibri"/>
          <w:color w:val="000000"/>
          <w:sz w:val="22"/>
        </w:rPr>
        <w:t>The university offers modules through dated presentations, so module_presentation is the central academic parent.</w:t>
      </w:r>
    </w:p>
    <w:p>
      <w:pPr>
        <w:pStyle w:val="ListNumber"/>
        <w:numPr>
          <w:ilvl w:val="0"/>
          <w:numId w:val="10"/>
        </w:numPr>
        <w:spacing w:after="100" w:line="264" w:lineRule="auto"/>
      </w:pPr>
      <w:r>
        <w:rPr>
          <w:rFonts w:ascii="Calibri" w:hAnsi="Calibri"/>
          <w:color w:val="000000"/>
          <w:sz w:val="22"/>
        </w:rPr>
        <w:t>A student can study several presentations, so student identity is separated from registration history.</w:t>
      </w:r>
    </w:p>
    <w:p>
      <w:pPr>
        <w:pStyle w:val="ListNumber"/>
        <w:numPr>
          <w:ilvl w:val="0"/>
          <w:numId w:val="10"/>
        </w:numPr>
        <w:spacing w:after="100" w:line="264" w:lineRule="auto"/>
      </w:pPr>
      <w:r>
        <w:rPr>
          <w:rFonts w:ascii="Calibri" w:hAnsi="Calibri"/>
          <w:color w:val="000000"/>
          <w:sz w:val="22"/>
        </w:rPr>
        <w:t>Assessments and VLE resources are owned by presentations because their deadlines, weights and availability differ by delivery.</w:t>
      </w:r>
    </w:p>
    <w:p>
      <w:pPr>
        <w:pStyle w:val="ListNumber"/>
        <w:numPr>
          <w:ilvl w:val="0"/>
          <w:numId w:val="10"/>
        </w:numPr>
        <w:spacing w:after="100" w:line="264" w:lineRule="auto"/>
      </w:pPr>
      <w:r>
        <w:rPr>
          <w:rFonts w:ascii="Calibri" w:hAnsi="Calibri"/>
          <w:color w:val="000000"/>
          <w:sz w:val="22"/>
        </w:rPr>
        <w:t>Results and VLE clicks are high-volume events and are separated from their descriptive parent entities.</w:t>
      </w:r>
    </w:p>
    <w:p>
      <w:pPr>
        <w:pStyle w:val="ListNumber"/>
        <w:numPr>
          <w:ilvl w:val="0"/>
          <w:numId w:val="10"/>
        </w:numPr>
        <w:spacing w:after="100" w:line="264" w:lineRule="auto"/>
      </w:pPr>
      <w:r>
        <w:rPr>
          <w:rFonts w:ascii="Calibri" w:hAnsi="Calibri"/>
          <w:color w:val="000000"/>
          <w:sz w:val="22"/>
        </w:rPr>
        <w:t>Natural composite keys reflect the actual file grains and allow duplicate detection during ETL.</w:t>
      </w:r>
    </w:p>
    <w:p>
      <w:pPr>
        <w:pStyle w:val="ListNumber"/>
        <w:numPr>
          <w:ilvl w:val="0"/>
          <w:numId w:val="10"/>
        </w:numPr>
        <w:spacing w:after="100" w:line="264" w:lineRule="auto"/>
      </w:pPr>
      <w:r>
        <w:rPr>
          <w:rFonts w:ascii="Calibri" w:hAnsi="Calibri"/>
          <w:color w:val="000000"/>
          <w:sz w:val="22"/>
        </w:rPr>
        <w:t>Nullable columns preserve documented missing or optional data rather than replacing it with misleading zero values.</w:t>
      </w:r>
    </w:p>
    <w:p>
      <w:pPr>
        <w:pStyle w:val="ListNumber"/>
        <w:numPr>
          <w:ilvl w:val="0"/>
          <w:numId w:val="10"/>
        </w:numPr>
        <w:spacing w:after="100" w:line="264" w:lineRule="auto"/>
      </w:pPr>
      <w:r>
        <w:rPr>
          <w:rFonts w:ascii="Calibri" w:hAnsi="Calibri"/>
          <w:color w:val="000000"/>
          <w:sz w:val="22"/>
        </w:rPr>
        <w:t>Restrictive foreign keys protect academic history and prevent records from being assigned to nonexistent presentations, registrations, assessments or resources.</w:t>
      </w:r>
    </w:p>
    <w:p>
      <w:pPr>
        <w:pStyle w:val="Heading1"/>
      </w:pPr>
      <w:r>
        <w:t>7. Assumptions and Limitations</w:t>
      </w:r>
    </w:p>
    <w:p>
      <w:pPr>
        <w:pStyle w:val="ListBullet"/>
        <w:spacing w:after="80" w:line="264" w:lineRule="auto"/>
      </w:pPr>
      <w:r>
        <w:rPr>
          <w:rFonts w:ascii="Calibri" w:hAnsi="Calibri"/>
          <w:color w:val="000000"/>
          <w:sz w:val="22"/>
        </w:rPr>
        <w:t>The model represents the supplied dataset and does not introduce unsupported entities such as tutors, departments or qualification programmes.</w:t>
      </w:r>
    </w:p>
    <w:p>
      <w:pPr>
        <w:pStyle w:val="ListBullet"/>
        <w:spacing w:after="80" w:line="264" w:lineRule="auto"/>
      </w:pPr>
      <w:r>
        <w:rPr>
          <w:rFonts w:ascii="Calibri" w:hAnsi="Calibri"/>
          <w:color w:val="000000"/>
          <w:sz w:val="22"/>
        </w:rPr>
        <w:t>A separate module table is not required because the source contains no module-level attributes independent of a presentation. It can be added later if module title, school or credit value becomes available.</w:t>
      </w:r>
    </w:p>
    <w:p>
      <w:pPr>
        <w:pStyle w:val="ListBullet"/>
        <w:spacing w:after="80" w:line="264" w:lineRule="auto"/>
      </w:pPr>
      <w:r>
        <w:rPr>
          <w:rFonts w:ascii="Calibri" w:hAnsi="Calibri"/>
          <w:color w:val="000000"/>
          <w:sz w:val="22"/>
        </w:rPr>
        <w:t>The stable student attributes are based on the inspected dataset. If the organisation needs historical demographic changes, a dated student-profile relation should be introduced.</w:t>
      </w:r>
    </w:p>
    <w:p>
      <w:pPr>
        <w:pStyle w:val="ListBullet"/>
        <w:spacing w:after="80" w:line="264" w:lineRule="auto"/>
      </w:pPr>
      <w:r>
        <w:rPr>
          <w:rFonts w:ascii="Calibri" w:hAnsi="Calibri"/>
          <w:color w:val="000000"/>
          <w:sz w:val="22"/>
        </w:rPr>
        <w:t>The studentVle entity and key are defined from the source structure, but final duplicate, orphan, click-range and temporal validation remains pending until import completion.</w:t>
      </w:r>
    </w:p>
    <w:p>
      <w:pPr>
        <w:pStyle w:val="ListBullet"/>
        <w:spacing w:after="80" w:line="264" w:lineRule="auto"/>
      </w:pPr>
      <w:r>
        <w:rPr>
          <w:rFonts w:ascii="Calibri" w:hAnsi="Calibri"/>
          <w:color w:val="000000"/>
          <w:sz w:val="22"/>
        </w:rPr>
        <w:t>Cross-table timing rules that require values from another relation, such as submission after module end, are better implemented as ETL quality checks or triggers rather than ordinary CHECK constraints.</w:t>
      </w:r>
    </w:p>
    <w:p>
      <w:pPr>
        <w:pStyle w:val="Heading1"/>
      </w:pPr>
      <w:r>
        <w:t>8. Conclusion</w:t>
      </w:r>
    </w:p>
    <w:p>
      <w:r>
        <w:rPr>
          <w:rFonts w:ascii="Calibri" w:hAnsi="Calibri"/>
          <w:color w:val="000000"/>
          <w:sz w:val="22"/>
        </w:rPr>
        <w:t>The proposed design satisfies the Task 2 requirement by providing a conceptual ERD, a logical relational schema and documented keys, cardinalities and constraints. It reflects how the Open University organises module presentations, registrations, learning resources, assessments and student activity, while incorporating the quality evidence observed in Task 1.</w:t>
      </w:r>
    </w:p>
    <w:p>
      <w:r>
        <w:rPr>
          <w:rFonts w:ascii="Calibri" w:hAnsi="Calibri"/>
          <w:color w:val="000000"/>
          <w:sz w:val="22"/>
        </w:rPr>
        <w:t>The design is ready to guide Task 3 implementation after the raw values are cleaned. Parent relations should be loaded first, followed by registrations, assessments and VLE resources, then student results and VLE interactions. All row counts and orphan checks should be repeated after loading the constrained schema.</w:t>
      </w:r>
    </w:p>
    <w:p>
      <w:pPr>
        <w:pStyle w:val="Heading1"/>
      </w:pPr>
      <w:r>
        <w:t>Appendix A. Relational Schema Notation</w:t>
      </w:r>
    </w:p>
    <w:p>
      <w:pPr>
        <w:pStyle w:val="SQLCode"/>
        <w:keepLines/>
        <w:shd w:fill="F2F4F7"/>
      </w:pPr>
      <w:r>
        <w:rPr>
          <w:rFonts w:ascii="Consolas" w:hAnsi="Consolas"/>
          <w:color w:val="000000"/>
          <w:sz w:val="17"/>
        </w:rPr>
        <w:t>MODULE_PRESENTATION(code_module PK, code_presentation PK, module_presentation_length)</w:t>
      </w:r>
      <w:r>
        <w:br/>
      </w:r>
      <w:r>
        <w:rPr>
          <w:rFonts w:ascii="Consolas" w:hAnsi="Consolas"/>
          <w:color w:val="000000"/>
          <w:sz w:val="17"/>
        </w:rPr>
      </w:r>
      <w:r>
        <w:br/>
      </w:r>
      <w:r>
        <w:rPr>
          <w:rFonts w:ascii="Consolas" w:hAnsi="Consolas"/>
          <w:color w:val="000000"/>
          <w:sz w:val="17"/>
        </w:rPr>
        <w:t>STUDENT(id_student PK, gender, region, highest_education, imd_band, disability)</w:t>
      </w:r>
      <w:r>
        <w:br/>
      </w:r>
      <w:r>
        <w:rPr>
          <w:rFonts w:ascii="Consolas" w:hAnsi="Consolas"/>
          <w:color w:val="000000"/>
          <w:sz w:val="17"/>
        </w:rPr>
      </w:r>
      <w:r>
        <w:br/>
      </w:r>
      <w:r>
        <w:rPr>
          <w:rFonts w:ascii="Consolas" w:hAnsi="Consolas"/>
          <w:color w:val="000000"/>
          <w:sz w:val="17"/>
        </w:rPr>
        <w:t>REGISTRATION(id_student PK/FK, code_module PK/FK, code_presentation PK/FK,</w:t>
      </w:r>
      <w:r>
        <w:br/>
      </w:r>
      <w:r>
        <w:rPr>
          <w:rFonts w:ascii="Consolas" w:hAnsi="Consolas"/>
          <w:color w:val="000000"/>
          <w:sz w:val="17"/>
        </w:rPr>
        <w:t xml:space="preserve">             age_band, date_registration, date_unregistration,</w:t>
      </w:r>
      <w:r>
        <w:br/>
      </w:r>
      <w:r>
        <w:rPr>
          <w:rFonts w:ascii="Consolas" w:hAnsi="Consolas"/>
          <w:color w:val="000000"/>
          <w:sz w:val="17"/>
        </w:rPr>
        <w:t xml:space="preserve">             num_of_prev_attempts, studied_credits, final_result)</w:t>
      </w:r>
      <w:r>
        <w:br/>
      </w:r>
      <w:r>
        <w:rPr>
          <w:rFonts w:ascii="Consolas" w:hAnsi="Consolas"/>
          <w:color w:val="000000"/>
          <w:sz w:val="17"/>
        </w:rPr>
      </w:r>
      <w:r>
        <w:br/>
      </w:r>
      <w:r>
        <w:rPr>
          <w:rFonts w:ascii="Consolas" w:hAnsi="Consolas"/>
          <w:color w:val="000000"/>
          <w:sz w:val="17"/>
        </w:rPr>
        <w:t>ASSESSMENT(id_assessment PK, code_module FK, code_presentation FK,</w:t>
      </w:r>
      <w:r>
        <w:br/>
      </w:r>
      <w:r>
        <w:rPr>
          <w:rFonts w:ascii="Consolas" w:hAnsi="Consolas"/>
          <w:color w:val="000000"/>
          <w:sz w:val="17"/>
        </w:rPr>
        <w:t xml:space="preserve">           assessment_type, assessment_date, weight)</w:t>
      </w:r>
      <w:r>
        <w:br/>
      </w:r>
      <w:r>
        <w:rPr>
          <w:rFonts w:ascii="Consolas" w:hAnsi="Consolas"/>
          <w:color w:val="000000"/>
          <w:sz w:val="17"/>
        </w:rPr>
      </w:r>
      <w:r>
        <w:br/>
      </w:r>
      <w:r>
        <w:rPr>
          <w:rFonts w:ascii="Consolas" w:hAnsi="Consolas"/>
          <w:color w:val="000000"/>
          <w:sz w:val="17"/>
        </w:rPr>
        <w:t>VLE_RESOURCE(id_site PK, code_module FK, code_presentation FK,</w:t>
      </w:r>
      <w:r>
        <w:br/>
      </w:r>
      <w:r>
        <w:rPr>
          <w:rFonts w:ascii="Consolas" w:hAnsi="Consolas"/>
          <w:color w:val="000000"/>
          <w:sz w:val="17"/>
        </w:rPr>
        <w:t xml:space="preserve">             activity_type, week_from, week_to)</w:t>
      </w:r>
      <w:r>
        <w:br/>
      </w:r>
      <w:r>
        <w:rPr>
          <w:rFonts w:ascii="Consolas" w:hAnsi="Consolas"/>
          <w:color w:val="000000"/>
          <w:sz w:val="17"/>
        </w:rPr>
      </w:r>
      <w:r>
        <w:br/>
      </w:r>
      <w:r>
        <w:rPr>
          <w:rFonts w:ascii="Consolas" w:hAnsi="Consolas"/>
          <w:color w:val="000000"/>
          <w:sz w:val="17"/>
        </w:rPr>
        <w:t>STUDENT_ASSESSMENT(id_assessment PK/FK, id_student PK, code_module FK,</w:t>
      </w:r>
      <w:r>
        <w:br/>
      </w:r>
      <w:r>
        <w:rPr>
          <w:rFonts w:ascii="Consolas" w:hAnsi="Consolas"/>
          <w:color w:val="000000"/>
          <w:sz w:val="17"/>
        </w:rPr>
        <w:t xml:space="preserve">                   code_presentation FK, date_submitted, is_banked, score)</w:t>
      </w:r>
      <w:r>
        <w:br/>
      </w:r>
      <w:r>
        <w:rPr>
          <w:rFonts w:ascii="Consolas" w:hAnsi="Consolas"/>
          <w:color w:val="000000"/>
          <w:sz w:val="17"/>
        </w:rPr>
      </w:r>
      <w:r>
        <w:br/>
      </w:r>
      <w:r>
        <w:rPr>
          <w:rFonts w:ascii="Consolas" w:hAnsi="Consolas"/>
          <w:color w:val="000000"/>
          <w:sz w:val="17"/>
        </w:rPr>
        <w:t>STUDENT_VLE_INTERACTION(code_module PK/FK, code_presentation PK/FK,</w:t>
      </w:r>
      <w:r>
        <w:br/>
      </w:r>
      <w:r>
        <w:rPr>
          <w:rFonts w:ascii="Consolas" w:hAnsi="Consolas"/>
          <w:color w:val="000000"/>
          <w:sz w:val="17"/>
        </w:rPr>
        <w:t xml:space="preserve">                        id_student PK/FK, id_site PK/FK, interaction_date PK,</w:t>
      </w:r>
      <w:r>
        <w:br/>
      </w:r>
      <w:r>
        <w:rPr>
          <w:rFonts w:ascii="Consolas" w:hAnsi="Consolas"/>
          <w:color w:val="000000"/>
          <w:sz w:val="17"/>
        </w:rPr>
        <w:t xml:space="preserve">                        sum_click)</w:t>
      </w:r>
    </w:p>
    <w:p>
      <w:pPr>
        <w:pStyle w:val="Heading1"/>
      </w:pPr>
      <w:r>
        <w:t>References</w:t>
      </w:r>
    </w:p>
    <w:p>
      <w:r>
        <w:rPr>
          <w:rFonts w:ascii="Calibri" w:hAnsi="Calibri"/>
          <w:color w:val="000000"/>
          <w:sz w:val="22"/>
        </w:rPr>
        <w:t>Kuzilek, J., Hlosta, M., &amp; Zdrahal, Z. (2015). Open University Learning Analytics dataset [Data set]. UCI Machine Learning Repository. https://doi.org/10.24432/C5KK69</w:t>
      </w:r>
    </w:p>
    <w:p>
      <w:r>
        <w:rPr>
          <w:rFonts w:ascii="Calibri" w:hAnsi="Calibri"/>
          <w:color w:val="000000"/>
          <w:sz w:val="22"/>
        </w:rPr>
        <w:t>Kuzilek, J., Hlosta, M., &amp; Zdrahal, Z. (2017). Open University Learning Analytics dataset. Scientific Data, 4, Article 170171. https://doi.org/10.1038/sdata.2017.171</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A"/>
        <w:sz w:val="18"/>
      </w:rPr>
      <w:t xml:space="preserve">OULAD Task 2 Report  |  Page </w:t>
    </w:r>
    <w:r>
      <w:rPr>
        <w:rFonts w:ascii="Calibri" w:hAnsi="Calibri"/>
        <w:color w:val="5F6B7A"/>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8DEE8"/>
      </w:pBdr>
    </w:pPr>
    <w:r>
      <w:rPr>
        <w:rFonts w:ascii="Calibri" w:hAnsi="Calibri"/>
        <w:b/>
        <w:color w:val="5F6B7A"/>
        <w:sz w:val="17"/>
      </w:rPr>
      <w:t>OULAD TASK 2  |  CONCEPTUAL AND LOGICAL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before="80" w:after="120" w:line="240" w:lineRule="auto"/>
      <w:ind w:left="259"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OULAD Task 2 Conceptual ERD and Logical Relational Schema</dc:title>
  <dc:subject>Database design for the Open University Learning Analytics Dataset</dc:subject>
  <dc:creator>Edem Komla Gbena</dc:creator>
  <cp:keywords>OULAD, ERD, relational schema, MySQL, keys, constraints, normalization</cp:keywords>
  <dc:description>generated by python-docx</dc:description>
  <cp:lastModifiedBy/>
  <cp:revision>1</cp:revision>
  <dcterms:created xsi:type="dcterms:W3CDTF">2013-12-23T23:15:00Z</dcterms:created>
  <dcterms:modified xsi:type="dcterms:W3CDTF">2013-12-23T23:15:00Z</dcterms:modified>
  <cp:category/>
</cp:coreProperties>
</file>