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900"/>
      </w:pPr>
    </w:p>
    <w:p>
      <w:pPr>
        <w:spacing w:after="280"/>
        <w:jc w:val="center"/>
      </w:pPr>
      <w:r>
        <w:rPr>
          <w:rFonts w:ascii="Calibri" w:hAnsi="Calibri"/>
          <w:b/>
          <w:color w:val="2E74B5"/>
          <w:sz w:val="20"/>
        </w:rPr>
        <w:t>DATABASE PERFORMANCE REPORT</w:t>
      </w:r>
    </w:p>
    <w:p>
      <w:pPr>
        <w:spacing w:after="160"/>
        <w:jc w:val="center"/>
      </w:pPr>
      <w:r>
        <w:rPr>
          <w:rFonts w:ascii="Calibri" w:hAnsi="Calibri"/>
          <w:b/>
          <w:color w:val="1D2733"/>
          <w:sz w:val="52"/>
        </w:rPr>
        <w:t>OULAD Query Tuning</w:t>
        <w:br/>
        <w:t>and Index Optimisation</w:t>
      </w:r>
    </w:p>
    <w:p>
      <w:pPr>
        <w:spacing w:after="520"/>
        <w:jc w:val="center"/>
      </w:pPr>
      <w:r>
        <w:rPr>
          <w:rFonts w:ascii="Calibri" w:hAnsi="Calibri"/>
          <w:color w:val="66717E"/>
          <w:sz w:val="24"/>
        </w:rPr>
        <w:t>Task 5  |  MySQL 8.4  |  Database: oulad_db</w:t>
      </w:r>
    </w:p>
    <w:tbl>
      <w:tblPr>
        <w:tblStyle w:val="TableGrid"/>
        <w:tblW w:type="dxa" w:w="9360"/>
        <w:tblLayout w:type="fixed"/>
        <w:tblLook w:firstColumn="1" w:firstRow="1" w:lastColumn="0" w:lastRow="0" w:noHBand="0" w:noVBand="1" w:val="04A0"/>
        <w:tblInd w:w="120" w:type="dxa"/>
      </w:tblPr>
      <w:tblGrid>
        <w:gridCol w:w="2800"/>
        <w:gridCol w:w="6560"/>
      </w:tblGrid>
      <w:tr>
        <w:trPr>
          <w:tblHeader w:val="true"/>
          <w:cantSplit/>
        </w:trPr>
        <w:tc>
          <w:tcPr>
            <w:tcW w:type="dxa" w:w="2800"/>
            <w:tcMar>
              <w:top w:w="80" w:type="dxa"/>
              <w:start w:w="120" w:type="dxa"/>
              <w:bottom w:w="80" w:type="dxa"/>
              <w:end w:w="120" w:type="dxa"/>
            </w:tcMar>
            <w:vAlign w:val="center"/>
            <w:shd w:fill="F2F4F7"/>
          </w:tcPr>
          <w:p>
            <w:pPr>
              <w:keepNext/>
              <w:spacing w:after="0"/>
              <w:jc w:val="left"/>
            </w:pPr>
            <w:r>
              <w:rPr>
                <w:rFonts w:ascii="Calibri" w:hAnsi="Calibri"/>
                <w:b/>
                <w:color w:val="1D2733"/>
                <w:sz w:val="18"/>
              </w:rPr>
              <w:t>Requirement</w:t>
            </w:r>
          </w:p>
        </w:tc>
        <w:tc>
          <w:tcPr>
            <w:tcW w:type="dxa" w:w="6560"/>
            <w:tcMar>
              <w:top w:w="80" w:type="dxa"/>
              <w:start w:w="120" w:type="dxa"/>
              <w:bottom w:w="80" w:type="dxa"/>
              <w:end w:w="120" w:type="dxa"/>
            </w:tcMar>
            <w:vAlign w:val="center"/>
            <w:shd w:fill="F2F4F7"/>
          </w:tcPr>
          <w:p>
            <w:pPr>
              <w:keepNext/>
              <w:spacing w:after="0"/>
              <w:jc w:val="left"/>
            </w:pPr>
            <w:r>
              <w:rPr>
                <w:rFonts w:ascii="Calibri" w:hAnsi="Calibri"/>
                <w:b/>
                <w:color w:val="1D2733"/>
                <w:sz w:val="18"/>
              </w:rPr>
              <w:t>Completed evidence</w:t>
            </w:r>
          </w:p>
        </w:tc>
      </w:tr>
      <w:tr>
        <w:trPr>
          <w:cantSplit/>
          <w:cantSplit/>
        </w:trPr>
        <w:tc>
          <w:tcPr>
            <w:tcW w:type="dxa" w:w="280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Three important queries</w:t>
            </w:r>
          </w:p>
        </w:tc>
        <w:tc>
          <w:tcPr>
            <w:tcW w:type="dxa" w:w="656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Completion, assessment and VLE-resource analytics</w:t>
            </w:r>
          </w:p>
        </w:tc>
      </w:tr>
      <w:tr>
        <w:trPr>
          <w:cantSplit/>
          <w:cantSplit/>
        </w:trPr>
        <w:tc>
          <w:tcPr>
            <w:tcW w:type="dxa" w:w="280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Baseline evidence</w:t>
            </w:r>
          </w:p>
        </w:tc>
        <w:tc>
          <w:tcPr>
            <w:tcW w:type="dxa" w:w="656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EXPLAIN ANALYZE plans captured before indexing</w:t>
            </w:r>
          </w:p>
        </w:tc>
      </w:tr>
      <w:tr>
        <w:trPr>
          <w:cantSplit/>
          <w:cantSplit/>
        </w:trPr>
        <w:tc>
          <w:tcPr>
            <w:tcW w:type="dxa" w:w="280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Index tuning</w:t>
            </w:r>
          </w:p>
        </w:tc>
        <w:tc>
          <w:tcPr>
            <w:tcW w:type="dxa" w:w="656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Three retained covering/reporting indexes</w:t>
            </w:r>
          </w:p>
        </w:tc>
      </w:tr>
      <w:tr>
        <w:trPr>
          <w:cantSplit/>
          <w:cantSplit/>
        </w:trPr>
        <w:tc>
          <w:tcPr>
            <w:tcW w:type="dxa" w:w="280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Statistics</w:t>
            </w:r>
          </w:p>
        </w:tc>
        <w:tc>
          <w:tcPr>
            <w:tcW w:type="dxa" w:w="656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ANALYZE TABLE executed after index changes</w:t>
            </w:r>
          </w:p>
        </w:tc>
      </w:tr>
      <w:tr>
        <w:trPr>
          <w:cantSplit/>
          <w:cantSplit/>
        </w:trPr>
        <w:tc>
          <w:tcPr>
            <w:tcW w:type="dxa" w:w="2800"/>
            <w:tcMar>
              <w:top w:w="80" w:type="dxa"/>
              <w:start w:w="120" w:type="dxa"/>
              <w:bottom w:w="80" w:type="dxa"/>
              <w:end w:w="120" w:type="dxa"/>
            </w:tcMar>
            <w:vAlign w:val="center"/>
          </w:tcPr>
          <w:p>
            <w:pPr>
              <w:spacing w:after="0" w:line="252" w:lineRule="auto"/>
              <w:jc w:val="left"/>
            </w:pPr>
            <w:r>
              <w:rPr>
                <w:rFonts w:ascii="Calibri" w:hAnsi="Calibri"/>
                <w:color w:val="1D2733"/>
                <w:sz w:val="18"/>
              </w:rPr>
              <w:t>Evaluation</w:t>
            </w:r>
          </w:p>
        </w:tc>
        <w:tc>
          <w:tcPr>
            <w:tcW w:type="dxa" w:w="6560"/>
            <w:tcMar>
              <w:top w:w="80" w:type="dxa"/>
              <w:start w:w="120" w:type="dxa"/>
              <w:bottom w:w="80" w:type="dxa"/>
              <w:end w:w="120" w:type="dxa"/>
            </w:tcMar>
            <w:vAlign w:val="center"/>
          </w:tcPr>
          <w:p>
            <w:pPr>
              <w:spacing w:after="0" w:line="252" w:lineRule="auto"/>
              <w:jc w:val="left"/>
            </w:pPr>
            <w:r>
              <w:rPr>
                <w:rFonts w:ascii="Calibri" w:hAnsi="Calibri"/>
                <w:color w:val="1D2733"/>
                <w:sz w:val="18"/>
              </w:rPr>
              <w:t>Identical queries rerun and timing changes quantified</w:t>
            </w:r>
          </w:p>
        </w:tc>
      </w:tr>
    </w:tbl>
    <w:p>
      <w:pPr>
        <w:spacing w:after="20"/>
      </w:pPr>
    </w:p>
    <w:p>
      <w:pPr>
        <w:spacing w:before="80" w:after="160"/>
        <w:ind w:left="216" w:right="216"/>
        <w:shd w:fill="EAF2F8"/>
      </w:pPr>
      <w:r>
        <w:rPr>
          <w:rFonts w:ascii="Calibri" w:hAnsi="Calibri"/>
          <w:b/>
          <w:color w:val="1F4D78"/>
        </w:rPr>
        <w:t xml:space="preserve">Submission scope: </w:t>
      </w:r>
      <w:r>
        <w:rPr>
          <w:rFonts w:ascii="Calibri" w:hAnsi="Calibri"/>
          <w:color w:val="1D2733"/>
        </w:rPr>
        <w:t>This report satisfies requirement (v): tune at least three important queries, capture baseline plans, revise indexes, refresh statistics, rerun the queries and explain the changes.</w:t>
      </w:r>
    </w:p>
    <w:p>
      <w:r>
        <w:br w:type="page"/>
      </w:r>
    </w:p>
    <w:p>
      <w:pPr>
        <w:pStyle w:val="Heading1"/>
        <w:keepNext/>
      </w:pPr>
      <w:r>
        <w:t>1. Executive Summary</w:t>
      </w:r>
    </w:p>
    <w:p>
      <w:pPr>
        <w:keepNext w:val="0"/>
        <w:spacing w:after="120" w:line="264" w:lineRule="auto"/>
      </w:pPr>
      <w:r>
        <w:t>Three reporting queries were tuned using baseline and post-index EXPLAIN ANALYZE plans. The completion-outcomes query improved from 111 ms to 13.1 ms, assessment performance improved from 543 ms to 163 ms, and VLE-resource analysis improved from 19.6 ms to 3.02 ms. The retained indexes enabled covering access and removed temporary aggregation from two queries. One experimental student-assessment index was not selected by the optimizer and was removed to avoid unnecessary storage and write-maintenance overhead.</w:t>
      </w:r>
    </w:p>
    <w:p>
      <w:pPr>
        <w:spacing w:before="80" w:after="160"/>
        <w:ind w:left="216" w:right="216"/>
        <w:shd w:fill="EAF5EC"/>
      </w:pPr>
      <w:r>
        <w:rPr>
          <w:rFonts w:ascii="Calibri" w:hAnsi="Calibri"/>
          <w:b/>
          <w:color w:val="1F4D78"/>
        </w:rPr>
        <w:t xml:space="preserve">Outcome: </w:t>
      </w:r>
      <w:r>
        <w:rPr>
          <w:rFonts w:ascii="Calibri" w:hAnsi="Calibri"/>
          <w:color w:val="1D2733"/>
        </w:rPr>
        <w:t>All three queries retained the same logical results while total measured execution time fell by 70.0% to 88.2%.</w:t>
      </w:r>
    </w:p>
    <w:p>
      <w:pPr>
        <w:pStyle w:val="Heading1"/>
        <w:keepNext/>
      </w:pPr>
      <w:r>
        <w:t>2. Method</w:t>
      </w:r>
    </w:p>
    <w:p>
      <w:pPr>
        <w:keepNext w:val="0"/>
        <w:spacing w:after="120" w:line="264" w:lineRule="auto"/>
      </w:pPr>
      <w:r>
        <w:t>Each query followed the same controlled tuning cycle: run EXPLAIN ANALYZE, record the baseline plan and actual time, add a purpose-built index, refresh table statistics, rerun the identical SQL and compare access methods. Result-group counts were also checked so performance improvements were not achieved by changing query semantics.</w:t>
      </w:r>
    </w:p>
    <w:tbl>
      <w:tblPr>
        <w:tblStyle w:val="TableGrid"/>
        <w:tblW w:type="dxa" w:w="9360"/>
        <w:tblLayout w:type="fixed"/>
        <w:tblLook w:firstColumn="1" w:firstRow="1" w:lastColumn="0" w:lastRow="0" w:noHBand="0" w:noVBand="1" w:val="04A0"/>
        <w:tblInd w:w="120" w:type="dxa"/>
      </w:tblPr>
      <w:tblGrid>
        <w:gridCol w:w="900"/>
        <w:gridCol w:w="4550"/>
        <w:gridCol w:w="1900"/>
        <w:gridCol w:w="2010"/>
      </w:tblGrid>
      <w:tr>
        <w:trPr>
          <w:tblHeader w:val="true"/>
          <w:cantSplit/>
        </w:trPr>
        <w:tc>
          <w:tcPr>
            <w:tcW w:type="dxa" w:w="900"/>
            <w:tcMar>
              <w:top w:w="80" w:type="dxa"/>
              <w:start w:w="120" w:type="dxa"/>
              <w:bottom w:w="80" w:type="dxa"/>
              <w:end w:w="120" w:type="dxa"/>
            </w:tcMar>
            <w:vAlign w:val="center"/>
            <w:shd w:fill="F2F4F7"/>
          </w:tcPr>
          <w:p>
            <w:pPr>
              <w:keepNext/>
              <w:spacing w:after="0"/>
              <w:jc w:val="center"/>
            </w:pPr>
            <w:r>
              <w:rPr>
                <w:rFonts w:ascii="Calibri" w:hAnsi="Calibri"/>
                <w:b/>
                <w:color w:val="1D2733"/>
                <w:sz w:val="18"/>
              </w:rPr>
              <w:t>Query</w:t>
            </w:r>
          </w:p>
        </w:tc>
        <w:tc>
          <w:tcPr>
            <w:tcW w:type="dxa" w:w="4550"/>
            <w:tcMar>
              <w:top w:w="80" w:type="dxa"/>
              <w:start w:w="120" w:type="dxa"/>
              <w:bottom w:w="80" w:type="dxa"/>
              <w:end w:w="120" w:type="dxa"/>
            </w:tcMar>
            <w:vAlign w:val="center"/>
            <w:shd w:fill="F2F4F7"/>
          </w:tcPr>
          <w:p>
            <w:pPr>
              <w:keepNext/>
              <w:spacing w:after="0"/>
              <w:jc w:val="left"/>
            </w:pPr>
            <w:r>
              <w:rPr>
                <w:rFonts w:ascii="Calibri" w:hAnsi="Calibri"/>
                <w:b/>
                <w:color w:val="1D2733"/>
                <w:sz w:val="18"/>
              </w:rPr>
              <w:t>Business purpose</w:t>
            </w:r>
          </w:p>
        </w:tc>
        <w:tc>
          <w:tcPr>
            <w:tcW w:type="dxa" w:w="1900"/>
            <w:tcMar>
              <w:top w:w="80" w:type="dxa"/>
              <w:start w:w="120" w:type="dxa"/>
              <w:bottom w:w="80" w:type="dxa"/>
              <w:end w:w="120" w:type="dxa"/>
            </w:tcMar>
            <w:vAlign w:val="center"/>
            <w:shd w:fill="F2F4F7"/>
          </w:tcPr>
          <w:p>
            <w:pPr>
              <w:keepNext/>
              <w:spacing w:after="0"/>
              <w:jc w:val="center"/>
            </w:pPr>
            <w:r>
              <w:rPr>
                <w:rFonts w:ascii="Calibri" w:hAnsi="Calibri"/>
                <w:b/>
                <w:color w:val="1D2733"/>
                <w:sz w:val="18"/>
              </w:rPr>
              <w:t>Rows examined</w:t>
            </w:r>
          </w:p>
        </w:tc>
        <w:tc>
          <w:tcPr>
            <w:tcW w:type="dxa" w:w="2010"/>
            <w:tcMar>
              <w:top w:w="80" w:type="dxa"/>
              <w:start w:w="120" w:type="dxa"/>
              <w:bottom w:w="80" w:type="dxa"/>
              <w:end w:w="120" w:type="dxa"/>
            </w:tcMar>
            <w:vAlign w:val="center"/>
            <w:shd w:fill="F2F4F7"/>
          </w:tcPr>
          <w:p>
            <w:pPr>
              <w:keepNext/>
              <w:spacing w:after="0"/>
              <w:jc w:val="center"/>
            </w:pPr>
            <w:r>
              <w:rPr>
                <w:rFonts w:ascii="Calibri" w:hAnsi="Calibri"/>
                <w:b/>
                <w:color w:val="1D2733"/>
                <w:sz w:val="18"/>
              </w:rPr>
              <w:t>Result groups</w:t>
            </w:r>
          </w:p>
        </w:tc>
      </w:tr>
      <w:tr>
        <w:trPr>
          <w:cantSplit/>
          <w:cantSplit/>
        </w:trPr>
        <w:tc>
          <w:tcPr>
            <w:tcW w:type="dxa" w:w="900"/>
            <w:tcMar>
              <w:top w:w="80" w:type="dxa"/>
              <w:start w:w="120" w:type="dxa"/>
              <w:bottom w:w="80" w:type="dxa"/>
              <w:end w:w="120" w:type="dxa"/>
            </w:tcMar>
            <w:vAlign w:val="center"/>
          </w:tcPr>
          <w:p>
            <w:pPr>
              <w:keepNext/>
              <w:spacing w:after="0" w:line="252" w:lineRule="auto"/>
              <w:jc w:val="center"/>
            </w:pPr>
            <w:r>
              <w:rPr>
                <w:rFonts w:ascii="Calibri" w:hAnsi="Calibri"/>
                <w:color w:val="1D2733"/>
                <w:sz w:val="18"/>
              </w:rPr>
              <w:t>Q1</w:t>
            </w:r>
          </w:p>
        </w:tc>
        <w:tc>
          <w:tcPr>
            <w:tcW w:type="dxa" w:w="455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Completion outcomes by presentation</w:t>
            </w:r>
          </w:p>
        </w:tc>
        <w:tc>
          <w:tcPr>
            <w:tcW w:type="dxa" w:w="1900"/>
            <w:tcMar>
              <w:top w:w="80" w:type="dxa"/>
              <w:start w:w="120" w:type="dxa"/>
              <w:bottom w:w="80" w:type="dxa"/>
              <w:end w:w="120" w:type="dxa"/>
            </w:tcMar>
            <w:vAlign w:val="center"/>
          </w:tcPr>
          <w:p>
            <w:pPr>
              <w:keepNext/>
              <w:spacing w:after="0" w:line="252" w:lineRule="auto"/>
              <w:jc w:val="center"/>
            </w:pPr>
            <w:r>
              <w:rPr>
                <w:rFonts w:ascii="Calibri" w:hAnsi="Calibri"/>
                <w:color w:val="1D2733"/>
                <w:sz w:val="18"/>
              </w:rPr>
              <w:t>32,593</w:t>
            </w:r>
          </w:p>
        </w:tc>
        <w:tc>
          <w:tcPr>
            <w:tcW w:type="dxa" w:w="2010"/>
            <w:tcMar>
              <w:top w:w="80" w:type="dxa"/>
              <w:start w:w="120" w:type="dxa"/>
              <w:bottom w:w="80" w:type="dxa"/>
              <w:end w:w="120" w:type="dxa"/>
            </w:tcMar>
            <w:vAlign w:val="center"/>
          </w:tcPr>
          <w:p>
            <w:pPr>
              <w:keepNext/>
              <w:spacing w:after="0" w:line="252" w:lineRule="auto"/>
              <w:jc w:val="center"/>
            </w:pPr>
            <w:r>
              <w:rPr>
                <w:rFonts w:ascii="Calibri" w:hAnsi="Calibri"/>
                <w:color w:val="1D2733"/>
                <w:sz w:val="18"/>
              </w:rPr>
              <w:t>22</w:t>
            </w:r>
          </w:p>
        </w:tc>
      </w:tr>
      <w:tr>
        <w:trPr>
          <w:cantSplit/>
          <w:cantSplit/>
        </w:trPr>
        <w:tc>
          <w:tcPr>
            <w:tcW w:type="dxa" w:w="900"/>
            <w:tcMar>
              <w:top w:w="80" w:type="dxa"/>
              <w:start w:w="120" w:type="dxa"/>
              <w:bottom w:w="80" w:type="dxa"/>
              <w:end w:w="120" w:type="dxa"/>
            </w:tcMar>
            <w:vAlign w:val="center"/>
          </w:tcPr>
          <w:p>
            <w:pPr>
              <w:keepNext/>
              <w:spacing w:after="0" w:line="252" w:lineRule="auto"/>
              <w:jc w:val="center"/>
            </w:pPr>
            <w:r>
              <w:rPr>
                <w:rFonts w:ascii="Calibri" w:hAnsi="Calibri"/>
                <w:color w:val="1D2733"/>
                <w:sz w:val="18"/>
              </w:rPr>
              <w:t>Q2</w:t>
            </w:r>
          </w:p>
        </w:tc>
        <w:tc>
          <w:tcPr>
            <w:tcW w:type="dxa" w:w="455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Assessment performance by presentation/type</w:t>
            </w:r>
          </w:p>
        </w:tc>
        <w:tc>
          <w:tcPr>
            <w:tcW w:type="dxa" w:w="1900"/>
            <w:tcMar>
              <w:top w:w="80" w:type="dxa"/>
              <w:start w:w="120" w:type="dxa"/>
              <w:bottom w:w="80" w:type="dxa"/>
              <w:end w:w="120" w:type="dxa"/>
            </w:tcMar>
            <w:vAlign w:val="center"/>
          </w:tcPr>
          <w:p>
            <w:pPr>
              <w:keepNext/>
              <w:spacing w:after="0" w:line="252" w:lineRule="auto"/>
              <w:jc w:val="center"/>
            </w:pPr>
            <w:r>
              <w:rPr>
                <w:rFonts w:ascii="Calibri" w:hAnsi="Calibri"/>
                <w:color w:val="1D2733"/>
                <w:sz w:val="18"/>
              </w:rPr>
              <w:t>173,912</w:t>
            </w:r>
          </w:p>
        </w:tc>
        <w:tc>
          <w:tcPr>
            <w:tcW w:type="dxa" w:w="2010"/>
            <w:tcMar>
              <w:top w:w="80" w:type="dxa"/>
              <w:start w:w="120" w:type="dxa"/>
              <w:bottom w:w="80" w:type="dxa"/>
              <w:end w:w="120" w:type="dxa"/>
            </w:tcMar>
            <w:vAlign w:val="center"/>
          </w:tcPr>
          <w:p>
            <w:pPr>
              <w:keepNext/>
              <w:spacing w:after="0" w:line="252" w:lineRule="auto"/>
              <w:jc w:val="center"/>
            </w:pPr>
            <w:r>
              <w:rPr>
                <w:rFonts w:ascii="Calibri" w:hAnsi="Calibri"/>
                <w:color w:val="1D2733"/>
                <w:sz w:val="18"/>
              </w:rPr>
              <w:t>41</w:t>
            </w:r>
          </w:p>
        </w:tc>
      </w:tr>
      <w:tr>
        <w:trPr>
          <w:cantSplit/>
          <w:cantSplit/>
        </w:trPr>
        <w:tc>
          <w:tcPr>
            <w:tcW w:type="dxa" w:w="900"/>
            <w:tcMar>
              <w:top w:w="80" w:type="dxa"/>
              <w:start w:w="120" w:type="dxa"/>
              <w:bottom w:w="80" w:type="dxa"/>
              <w:end w:w="120" w:type="dxa"/>
            </w:tcMar>
            <w:vAlign w:val="center"/>
          </w:tcPr>
          <w:p>
            <w:pPr>
              <w:spacing w:after="0" w:line="252" w:lineRule="auto"/>
              <w:jc w:val="center"/>
            </w:pPr>
            <w:r>
              <w:rPr>
                <w:rFonts w:ascii="Calibri" w:hAnsi="Calibri"/>
                <w:color w:val="1D2733"/>
                <w:sz w:val="18"/>
              </w:rPr>
              <w:t>Q3</w:t>
            </w:r>
          </w:p>
        </w:tc>
        <w:tc>
          <w:tcPr>
            <w:tcW w:type="dxa" w:w="4550"/>
            <w:tcMar>
              <w:top w:w="80" w:type="dxa"/>
              <w:start w:w="120" w:type="dxa"/>
              <w:bottom w:w="80" w:type="dxa"/>
              <w:end w:w="120" w:type="dxa"/>
            </w:tcMar>
            <w:vAlign w:val="center"/>
          </w:tcPr>
          <w:p>
            <w:pPr>
              <w:spacing w:after="0" w:line="252" w:lineRule="auto"/>
              <w:jc w:val="left"/>
            </w:pPr>
            <w:r>
              <w:rPr>
                <w:rFonts w:ascii="Calibri" w:hAnsi="Calibri"/>
                <w:color w:val="1D2733"/>
                <w:sz w:val="18"/>
              </w:rPr>
              <w:t>VLE resource availability and week quality</w:t>
            </w:r>
          </w:p>
        </w:tc>
        <w:tc>
          <w:tcPr>
            <w:tcW w:type="dxa" w:w="1900"/>
            <w:tcMar>
              <w:top w:w="80" w:type="dxa"/>
              <w:start w:w="120" w:type="dxa"/>
              <w:bottom w:w="80" w:type="dxa"/>
              <w:end w:w="120" w:type="dxa"/>
            </w:tcMar>
            <w:vAlign w:val="center"/>
          </w:tcPr>
          <w:p>
            <w:pPr>
              <w:spacing w:after="0" w:line="252" w:lineRule="auto"/>
              <w:jc w:val="center"/>
            </w:pPr>
            <w:r>
              <w:rPr>
                <w:rFonts w:ascii="Calibri" w:hAnsi="Calibri"/>
                <w:color w:val="1D2733"/>
                <w:sz w:val="18"/>
              </w:rPr>
              <w:t>6,364</w:t>
            </w:r>
          </w:p>
        </w:tc>
        <w:tc>
          <w:tcPr>
            <w:tcW w:type="dxa" w:w="2010"/>
            <w:tcMar>
              <w:top w:w="80" w:type="dxa"/>
              <w:start w:w="120" w:type="dxa"/>
              <w:bottom w:w="80" w:type="dxa"/>
              <w:end w:w="120" w:type="dxa"/>
            </w:tcMar>
            <w:vAlign w:val="center"/>
          </w:tcPr>
          <w:p>
            <w:pPr>
              <w:spacing w:after="0" w:line="252" w:lineRule="auto"/>
              <w:jc w:val="center"/>
            </w:pPr>
            <w:r>
              <w:rPr>
                <w:rFonts w:ascii="Calibri" w:hAnsi="Calibri"/>
                <w:color w:val="1D2733"/>
                <w:sz w:val="18"/>
              </w:rPr>
              <w:t>232</w:t>
            </w:r>
          </w:p>
        </w:tc>
      </w:tr>
    </w:tbl>
    <w:p>
      <w:pPr>
        <w:spacing w:after="20"/>
      </w:pPr>
    </w:p>
    <w:p>
      <w:pPr>
        <w:pStyle w:val="Heading2"/>
        <w:keepNext/>
      </w:pPr>
      <w:r>
        <w:t>2.1 Overall performance change</w:t>
      </w:r>
    </w:p>
    <w:tbl>
      <w:tblPr>
        <w:tblStyle w:val="TableGrid"/>
        <w:tblW w:type="dxa" w:w="9360"/>
        <w:tblLayout w:type="fixed"/>
        <w:tblLook w:firstColumn="1" w:firstRow="1" w:lastColumn="0" w:lastRow="0" w:noHBand="0" w:noVBand="1" w:val="04A0"/>
        <w:tblInd w:w="120" w:type="dxa"/>
      </w:tblPr>
      <w:tblGrid>
        <w:gridCol w:w="950"/>
        <w:gridCol w:w="1800"/>
        <w:gridCol w:w="1800"/>
        <w:gridCol w:w="2100"/>
        <w:gridCol w:w="2710"/>
      </w:tblGrid>
      <w:tr>
        <w:trPr>
          <w:tblHeader w:val="true"/>
          <w:cantSplit/>
        </w:trPr>
        <w:tc>
          <w:tcPr>
            <w:tcW w:type="dxa" w:w="950"/>
            <w:tcMar>
              <w:top w:w="80" w:type="dxa"/>
              <w:start w:w="120" w:type="dxa"/>
              <w:bottom w:w="80" w:type="dxa"/>
              <w:end w:w="120" w:type="dxa"/>
            </w:tcMar>
            <w:vAlign w:val="center"/>
            <w:shd w:fill="F2F4F7"/>
          </w:tcPr>
          <w:p>
            <w:pPr>
              <w:keepNext/>
              <w:spacing w:after="0"/>
              <w:jc w:val="center"/>
            </w:pPr>
            <w:r>
              <w:rPr>
                <w:rFonts w:ascii="Calibri" w:hAnsi="Calibri"/>
                <w:b/>
                <w:color w:val="1D2733"/>
                <w:sz w:val="18"/>
              </w:rPr>
              <w:t>Query</w:t>
            </w:r>
          </w:p>
        </w:tc>
        <w:tc>
          <w:tcPr>
            <w:tcW w:type="dxa" w:w="1800"/>
            <w:tcMar>
              <w:top w:w="80" w:type="dxa"/>
              <w:start w:w="120" w:type="dxa"/>
              <w:bottom w:w="80" w:type="dxa"/>
              <w:end w:w="120" w:type="dxa"/>
            </w:tcMar>
            <w:vAlign w:val="center"/>
            <w:shd w:fill="F2F4F7"/>
          </w:tcPr>
          <w:p>
            <w:pPr>
              <w:keepNext/>
              <w:spacing w:after="0"/>
              <w:jc w:val="center"/>
            </w:pPr>
            <w:r>
              <w:rPr>
                <w:rFonts w:ascii="Calibri" w:hAnsi="Calibri"/>
                <w:b/>
                <w:color w:val="1D2733"/>
                <w:sz w:val="18"/>
              </w:rPr>
              <w:t>Baseline</w:t>
            </w:r>
          </w:p>
        </w:tc>
        <w:tc>
          <w:tcPr>
            <w:tcW w:type="dxa" w:w="1800"/>
            <w:tcMar>
              <w:top w:w="80" w:type="dxa"/>
              <w:start w:w="120" w:type="dxa"/>
              <w:bottom w:w="80" w:type="dxa"/>
              <w:end w:w="120" w:type="dxa"/>
            </w:tcMar>
            <w:vAlign w:val="center"/>
            <w:shd w:fill="F2F4F7"/>
          </w:tcPr>
          <w:p>
            <w:pPr>
              <w:keepNext/>
              <w:spacing w:after="0"/>
              <w:jc w:val="center"/>
            </w:pPr>
            <w:r>
              <w:rPr>
                <w:rFonts w:ascii="Calibri" w:hAnsi="Calibri"/>
                <w:b/>
                <w:color w:val="1D2733"/>
                <w:sz w:val="18"/>
              </w:rPr>
              <w:t>Tuned</w:t>
            </w:r>
          </w:p>
        </w:tc>
        <w:tc>
          <w:tcPr>
            <w:tcW w:type="dxa" w:w="2100"/>
            <w:tcMar>
              <w:top w:w="80" w:type="dxa"/>
              <w:start w:w="120" w:type="dxa"/>
              <w:bottom w:w="80" w:type="dxa"/>
              <w:end w:w="120" w:type="dxa"/>
            </w:tcMar>
            <w:vAlign w:val="center"/>
            <w:shd w:fill="F2F4F7"/>
          </w:tcPr>
          <w:p>
            <w:pPr>
              <w:keepNext/>
              <w:spacing w:after="0"/>
              <w:jc w:val="center"/>
            </w:pPr>
            <w:r>
              <w:rPr>
                <w:rFonts w:ascii="Calibri" w:hAnsi="Calibri"/>
                <w:b/>
                <w:color w:val="1D2733"/>
                <w:sz w:val="18"/>
              </w:rPr>
              <w:t>Reduction</w:t>
            </w:r>
          </w:p>
        </w:tc>
        <w:tc>
          <w:tcPr>
            <w:tcW w:type="dxa" w:w="2710"/>
            <w:tcMar>
              <w:top w:w="80" w:type="dxa"/>
              <w:start w:w="120" w:type="dxa"/>
              <w:bottom w:w="80" w:type="dxa"/>
              <w:end w:w="120" w:type="dxa"/>
            </w:tcMar>
            <w:vAlign w:val="center"/>
            <w:shd w:fill="F2F4F7"/>
          </w:tcPr>
          <w:p>
            <w:pPr>
              <w:keepNext/>
              <w:spacing w:after="0"/>
              <w:jc w:val="center"/>
            </w:pPr>
            <w:r>
              <w:rPr>
                <w:rFonts w:ascii="Calibri" w:hAnsi="Calibri"/>
                <w:b/>
                <w:color w:val="1D2733"/>
                <w:sz w:val="18"/>
              </w:rPr>
              <w:t>Speed-up</w:t>
            </w:r>
          </w:p>
        </w:tc>
      </w:tr>
      <w:tr>
        <w:trPr>
          <w:cantSplit/>
          <w:cantSplit/>
        </w:trPr>
        <w:tc>
          <w:tcPr>
            <w:tcW w:type="dxa" w:w="950"/>
            <w:tcMar>
              <w:top w:w="80" w:type="dxa"/>
              <w:start w:w="120" w:type="dxa"/>
              <w:bottom w:w="80" w:type="dxa"/>
              <w:end w:w="120" w:type="dxa"/>
            </w:tcMar>
            <w:vAlign w:val="center"/>
          </w:tcPr>
          <w:p>
            <w:pPr>
              <w:keepNext/>
              <w:spacing w:after="0" w:line="252" w:lineRule="auto"/>
              <w:jc w:val="center"/>
            </w:pPr>
            <w:r>
              <w:rPr>
                <w:rFonts w:ascii="Calibri" w:hAnsi="Calibri"/>
                <w:color w:val="1D2733"/>
                <w:sz w:val="18"/>
              </w:rPr>
              <w:t>Q1</w:t>
            </w:r>
          </w:p>
        </w:tc>
        <w:tc>
          <w:tcPr>
            <w:tcW w:type="dxa" w:w="1800"/>
            <w:tcMar>
              <w:top w:w="80" w:type="dxa"/>
              <w:start w:w="120" w:type="dxa"/>
              <w:bottom w:w="80" w:type="dxa"/>
              <w:end w:w="120" w:type="dxa"/>
            </w:tcMar>
            <w:vAlign w:val="center"/>
          </w:tcPr>
          <w:p>
            <w:pPr>
              <w:keepNext/>
              <w:spacing w:after="0" w:line="252" w:lineRule="auto"/>
              <w:jc w:val="center"/>
            </w:pPr>
            <w:r>
              <w:rPr>
                <w:rFonts w:ascii="Calibri" w:hAnsi="Calibri"/>
                <w:color w:val="1D2733"/>
                <w:sz w:val="18"/>
              </w:rPr>
              <w:t>111 ms</w:t>
            </w:r>
          </w:p>
        </w:tc>
        <w:tc>
          <w:tcPr>
            <w:tcW w:type="dxa" w:w="1800"/>
            <w:tcMar>
              <w:top w:w="80" w:type="dxa"/>
              <w:start w:w="120" w:type="dxa"/>
              <w:bottom w:w="80" w:type="dxa"/>
              <w:end w:w="120" w:type="dxa"/>
            </w:tcMar>
            <w:vAlign w:val="center"/>
          </w:tcPr>
          <w:p>
            <w:pPr>
              <w:keepNext/>
              <w:spacing w:after="0" w:line="252" w:lineRule="auto"/>
              <w:jc w:val="center"/>
            </w:pPr>
            <w:r>
              <w:rPr>
                <w:rFonts w:ascii="Calibri" w:hAnsi="Calibri"/>
                <w:color w:val="1D2733"/>
                <w:sz w:val="18"/>
              </w:rPr>
              <w:t>13.1 ms</w:t>
            </w:r>
          </w:p>
        </w:tc>
        <w:tc>
          <w:tcPr>
            <w:tcW w:type="dxa" w:w="2100"/>
            <w:tcMar>
              <w:top w:w="80" w:type="dxa"/>
              <w:start w:w="120" w:type="dxa"/>
              <w:bottom w:w="80" w:type="dxa"/>
              <w:end w:w="120" w:type="dxa"/>
            </w:tcMar>
            <w:vAlign w:val="center"/>
          </w:tcPr>
          <w:p>
            <w:pPr>
              <w:keepNext/>
              <w:spacing w:after="0" w:line="252" w:lineRule="auto"/>
              <w:jc w:val="center"/>
            </w:pPr>
            <w:r>
              <w:rPr>
                <w:rFonts w:ascii="Calibri" w:hAnsi="Calibri"/>
                <w:color w:val="1D2733"/>
                <w:sz w:val="18"/>
              </w:rPr>
              <w:t>88.2%</w:t>
            </w:r>
          </w:p>
        </w:tc>
        <w:tc>
          <w:tcPr>
            <w:tcW w:type="dxa" w:w="2710"/>
            <w:tcMar>
              <w:top w:w="80" w:type="dxa"/>
              <w:start w:w="120" w:type="dxa"/>
              <w:bottom w:w="80" w:type="dxa"/>
              <w:end w:w="120" w:type="dxa"/>
            </w:tcMar>
            <w:vAlign w:val="center"/>
          </w:tcPr>
          <w:p>
            <w:pPr>
              <w:keepNext/>
              <w:spacing w:after="0" w:line="252" w:lineRule="auto"/>
              <w:jc w:val="center"/>
            </w:pPr>
            <w:r>
              <w:rPr>
                <w:rFonts w:ascii="Calibri" w:hAnsi="Calibri"/>
                <w:color w:val="1D2733"/>
                <w:sz w:val="18"/>
              </w:rPr>
              <w:t>8.5×</w:t>
            </w:r>
          </w:p>
        </w:tc>
      </w:tr>
      <w:tr>
        <w:trPr>
          <w:cantSplit/>
          <w:cantSplit/>
        </w:trPr>
        <w:tc>
          <w:tcPr>
            <w:tcW w:type="dxa" w:w="950"/>
            <w:tcMar>
              <w:top w:w="80" w:type="dxa"/>
              <w:start w:w="120" w:type="dxa"/>
              <w:bottom w:w="80" w:type="dxa"/>
              <w:end w:w="120" w:type="dxa"/>
            </w:tcMar>
            <w:vAlign w:val="center"/>
          </w:tcPr>
          <w:p>
            <w:pPr>
              <w:keepNext/>
              <w:spacing w:after="0" w:line="252" w:lineRule="auto"/>
              <w:jc w:val="center"/>
            </w:pPr>
            <w:r>
              <w:rPr>
                <w:rFonts w:ascii="Calibri" w:hAnsi="Calibri"/>
                <w:color w:val="1D2733"/>
                <w:sz w:val="18"/>
              </w:rPr>
              <w:t>Q2</w:t>
            </w:r>
          </w:p>
        </w:tc>
        <w:tc>
          <w:tcPr>
            <w:tcW w:type="dxa" w:w="1800"/>
            <w:tcMar>
              <w:top w:w="80" w:type="dxa"/>
              <w:start w:w="120" w:type="dxa"/>
              <w:bottom w:w="80" w:type="dxa"/>
              <w:end w:w="120" w:type="dxa"/>
            </w:tcMar>
            <w:vAlign w:val="center"/>
          </w:tcPr>
          <w:p>
            <w:pPr>
              <w:keepNext/>
              <w:spacing w:after="0" w:line="252" w:lineRule="auto"/>
              <w:jc w:val="center"/>
            </w:pPr>
            <w:r>
              <w:rPr>
                <w:rFonts w:ascii="Calibri" w:hAnsi="Calibri"/>
                <w:color w:val="1D2733"/>
                <w:sz w:val="18"/>
              </w:rPr>
              <w:t>543 ms</w:t>
            </w:r>
          </w:p>
        </w:tc>
        <w:tc>
          <w:tcPr>
            <w:tcW w:type="dxa" w:w="1800"/>
            <w:tcMar>
              <w:top w:w="80" w:type="dxa"/>
              <w:start w:w="120" w:type="dxa"/>
              <w:bottom w:w="80" w:type="dxa"/>
              <w:end w:w="120" w:type="dxa"/>
            </w:tcMar>
            <w:vAlign w:val="center"/>
          </w:tcPr>
          <w:p>
            <w:pPr>
              <w:keepNext/>
              <w:spacing w:after="0" w:line="252" w:lineRule="auto"/>
              <w:jc w:val="center"/>
            </w:pPr>
            <w:r>
              <w:rPr>
                <w:rFonts w:ascii="Calibri" w:hAnsi="Calibri"/>
                <w:color w:val="1D2733"/>
                <w:sz w:val="18"/>
              </w:rPr>
              <w:t>163 ms</w:t>
            </w:r>
          </w:p>
        </w:tc>
        <w:tc>
          <w:tcPr>
            <w:tcW w:type="dxa" w:w="2100"/>
            <w:tcMar>
              <w:top w:w="80" w:type="dxa"/>
              <w:start w:w="120" w:type="dxa"/>
              <w:bottom w:w="80" w:type="dxa"/>
              <w:end w:w="120" w:type="dxa"/>
            </w:tcMar>
            <w:vAlign w:val="center"/>
          </w:tcPr>
          <w:p>
            <w:pPr>
              <w:keepNext/>
              <w:spacing w:after="0" w:line="252" w:lineRule="auto"/>
              <w:jc w:val="center"/>
            </w:pPr>
            <w:r>
              <w:rPr>
                <w:rFonts w:ascii="Calibri" w:hAnsi="Calibri"/>
                <w:color w:val="1D2733"/>
                <w:sz w:val="18"/>
              </w:rPr>
              <w:t>70.0%</w:t>
            </w:r>
          </w:p>
        </w:tc>
        <w:tc>
          <w:tcPr>
            <w:tcW w:type="dxa" w:w="2710"/>
            <w:tcMar>
              <w:top w:w="80" w:type="dxa"/>
              <w:start w:w="120" w:type="dxa"/>
              <w:bottom w:w="80" w:type="dxa"/>
              <w:end w:w="120" w:type="dxa"/>
            </w:tcMar>
            <w:vAlign w:val="center"/>
          </w:tcPr>
          <w:p>
            <w:pPr>
              <w:keepNext/>
              <w:spacing w:after="0" w:line="252" w:lineRule="auto"/>
              <w:jc w:val="center"/>
            </w:pPr>
            <w:r>
              <w:rPr>
                <w:rFonts w:ascii="Calibri" w:hAnsi="Calibri"/>
                <w:color w:val="1D2733"/>
                <w:sz w:val="18"/>
              </w:rPr>
              <w:t>3.3×</w:t>
            </w:r>
          </w:p>
        </w:tc>
      </w:tr>
      <w:tr>
        <w:trPr>
          <w:cantSplit/>
          <w:cantSplit/>
        </w:trPr>
        <w:tc>
          <w:tcPr>
            <w:tcW w:type="dxa" w:w="950"/>
            <w:tcMar>
              <w:top w:w="80" w:type="dxa"/>
              <w:start w:w="120" w:type="dxa"/>
              <w:bottom w:w="80" w:type="dxa"/>
              <w:end w:w="120" w:type="dxa"/>
            </w:tcMar>
            <w:vAlign w:val="center"/>
          </w:tcPr>
          <w:p>
            <w:pPr>
              <w:spacing w:after="0" w:line="252" w:lineRule="auto"/>
              <w:jc w:val="center"/>
            </w:pPr>
            <w:r>
              <w:rPr>
                <w:rFonts w:ascii="Calibri" w:hAnsi="Calibri"/>
                <w:color w:val="1D2733"/>
                <w:sz w:val="18"/>
              </w:rPr>
              <w:t>Q3</w:t>
            </w:r>
          </w:p>
        </w:tc>
        <w:tc>
          <w:tcPr>
            <w:tcW w:type="dxa" w:w="1800"/>
            <w:tcMar>
              <w:top w:w="80" w:type="dxa"/>
              <w:start w:w="120" w:type="dxa"/>
              <w:bottom w:w="80" w:type="dxa"/>
              <w:end w:w="120" w:type="dxa"/>
            </w:tcMar>
            <w:vAlign w:val="center"/>
          </w:tcPr>
          <w:p>
            <w:pPr>
              <w:spacing w:after="0" w:line="252" w:lineRule="auto"/>
              <w:jc w:val="center"/>
            </w:pPr>
            <w:r>
              <w:rPr>
                <w:rFonts w:ascii="Calibri" w:hAnsi="Calibri"/>
                <w:color w:val="1D2733"/>
                <w:sz w:val="18"/>
              </w:rPr>
              <w:t>19.6 ms</w:t>
            </w:r>
          </w:p>
        </w:tc>
        <w:tc>
          <w:tcPr>
            <w:tcW w:type="dxa" w:w="1800"/>
            <w:tcMar>
              <w:top w:w="80" w:type="dxa"/>
              <w:start w:w="120" w:type="dxa"/>
              <w:bottom w:w="80" w:type="dxa"/>
              <w:end w:w="120" w:type="dxa"/>
            </w:tcMar>
            <w:vAlign w:val="center"/>
          </w:tcPr>
          <w:p>
            <w:pPr>
              <w:spacing w:after="0" w:line="252" w:lineRule="auto"/>
              <w:jc w:val="center"/>
            </w:pPr>
            <w:r>
              <w:rPr>
                <w:rFonts w:ascii="Calibri" w:hAnsi="Calibri"/>
                <w:color w:val="1D2733"/>
                <w:sz w:val="18"/>
              </w:rPr>
              <w:t>3.02 ms</w:t>
            </w:r>
          </w:p>
        </w:tc>
        <w:tc>
          <w:tcPr>
            <w:tcW w:type="dxa" w:w="2100"/>
            <w:tcMar>
              <w:top w:w="80" w:type="dxa"/>
              <w:start w:w="120" w:type="dxa"/>
              <w:bottom w:w="80" w:type="dxa"/>
              <w:end w:w="120" w:type="dxa"/>
            </w:tcMar>
            <w:vAlign w:val="center"/>
          </w:tcPr>
          <w:p>
            <w:pPr>
              <w:spacing w:after="0" w:line="252" w:lineRule="auto"/>
              <w:jc w:val="center"/>
            </w:pPr>
            <w:r>
              <w:rPr>
                <w:rFonts w:ascii="Calibri" w:hAnsi="Calibri"/>
                <w:color w:val="1D2733"/>
                <w:sz w:val="18"/>
              </w:rPr>
              <w:t>84.6%</w:t>
            </w:r>
          </w:p>
        </w:tc>
        <w:tc>
          <w:tcPr>
            <w:tcW w:type="dxa" w:w="2710"/>
            <w:tcMar>
              <w:top w:w="80" w:type="dxa"/>
              <w:start w:w="120" w:type="dxa"/>
              <w:bottom w:w="80" w:type="dxa"/>
              <w:end w:w="120" w:type="dxa"/>
            </w:tcMar>
            <w:vAlign w:val="center"/>
          </w:tcPr>
          <w:p>
            <w:pPr>
              <w:spacing w:after="0" w:line="252" w:lineRule="auto"/>
              <w:jc w:val="center"/>
            </w:pPr>
            <w:r>
              <w:rPr>
                <w:rFonts w:ascii="Calibri" w:hAnsi="Calibri"/>
                <w:color w:val="1D2733"/>
                <w:sz w:val="18"/>
              </w:rPr>
              <w:t>6.5×</w:t>
            </w:r>
          </w:p>
        </w:tc>
      </w:tr>
    </w:tbl>
    <w:p>
      <w:pPr>
        <w:spacing w:after="20"/>
      </w:pPr>
    </w:p>
    <w:p>
      <w:r>
        <w:br w:type="page"/>
      </w:r>
    </w:p>
    <w:p>
      <w:pPr>
        <w:pStyle w:val="Heading1"/>
        <w:keepNext/>
      </w:pPr>
      <w:r>
        <w:t>3. Query 1 — Completion Outcomes</w:t>
      </w:r>
    </w:p>
    <w:p>
      <w:pPr>
        <w:keepNext/>
        <w:spacing w:after="120" w:line="264" w:lineRule="auto"/>
      </w:pPr>
      <w:r>
        <w:t>The query groups registrations by module and presentation and calculates the percentage of Pass and Distinction outcomes. The baseline used fk_registration_presentation, but final_result was not stored in that index, requiring additional table access.</w:t>
      </w:r>
    </w:p>
    <w:p>
      <w:pPr>
        <w:keepNext/>
        <w:jc w:val="center"/>
      </w:pPr>
      <w:r>
        <w:drawing>
          <wp:inline xmlns:a="http://schemas.openxmlformats.org/drawingml/2006/main" xmlns:pic="http://schemas.openxmlformats.org/drawingml/2006/picture">
            <wp:extent cx="4160520" cy="3406493"/>
            <wp:docPr id="1" name="Picture 1" descr="Baseline EXPLAIN ANALYZE plan for completion outcomes showing an index scan using fk_registration_presentation, 32593 rows and total actual time 111 milliseconds." title="Figure 1. Query 1 baseline: non-covering index scan, 111 ms."/>
            <wp:cNvGraphicFramePr>
              <a:graphicFrameLocks noChangeAspect="1"/>
            </wp:cNvGraphicFramePr>
            <a:graphic>
              <a:graphicData uri="http://schemas.openxmlformats.org/drawingml/2006/picture">
                <pic:pic>
                  <pic:nvPicPr>
                    <pic:cNvPr id="0" name="image(1275).png"/>
                    <pic:cNvPicPr/>
                  </pic:nvPicPr>
                  <pic:blipFill>
                    <a:blip r:embed="rId11"/>
                    <a:stretch>
                      <a:fillRect/>
                    </a:stretch>
                  </pic:blipFill>
                  <pic:spPr>
                    <a:xfrm>
                      <a:off x="0" y="0"/>
                      <a:ext cx="4160520" cy="3406493"/>
                    </a:xfrm>
                    <a:prstGeom prst="rect"/>
                  </pic:spPr>
                </pic:pic>
              </a:graphicData>
            </a:graphic>
          </wp:inline>
        </w:drawing>
      </w:r>
    </w:p>
    <w:p>
      <w:pPr>
        <w:spacing w:before="60" w:after="140"/>
        <w:jc w:val="center"/>
      </w:pPr>
      <w:r>
        <w:rPr>
          <w:rFonts w:ascii="Calibri" w:hAnsi="Calibri"/>
          <w:i/>
          <w:color w:val="66717E"/>
          <w:sz w:val="17"/>
        </w:rPr>
        <w:t>Figure 1. Query 1 baseline: non-covering index scan, 111 ms.</w:t>
      </w:r>
    </w:p>
    <w:p>
      <w:pPr>
        <w:keepNext/>
        <w:spacing w:after="120" w:line="264" w:lineRule="auto"/>
      </w:pPr>
      <w:r>
        <w:t>A covering index on code_module, code_presentation and final_result allowed the entire aggregation to be answered from the index. ANALYZE TABLE refreshed optimizer statistics after creation.</w:t>
      </w:r>
    </w:p>
    <w:p>
      <w:pPr>
        <w:keepNext/>
        <w:jc w:val="center"/>
      </w:pPr>
      <w:r>
        <w:drawing>
          <wp:inline xmlns:a="http://schemas.openxmlformats.org/drawingml/2006/main" xmlns:pic="http://schemas.openxmlformats.org/drawingml/2006/picture">
            <wp:extent cx="3840480" cy="904082"/>
            <wp:docPr id="2" name="Picture 2" descr="MySQL Workbench result showing ANALYZE TABLE registration completed with status OK." title="Figure 2. Statistics refresh completed successfully for registration."/>
            <wp:cNvGraphicFramePr>
              <a:graphicFrameLocks noChangeAspect="1"/>
            </wp:cNvGraphicFramePr>
            <a:graphic>
              <a:graphicData uri="http://schemas.openxmlformats.org/drawingml/2006/picture">
                <pic:pic>
                  <pic:nvPicPr>
                    <pic:cNvPr id="0" name="image(1276).png"/>
                    <pic:cNvPicPr/>
                  </pic:nvPicPr>
                  <pic:blipFill>
                    <a:blip r:embed="rId12"/>
                    <a:stretch>
                      <a:fillRect/>
                    </a:stretch>
                  </pic:blipFill>
                  <pic:spPr>
                    <a:xfrm>
                      <a:off x="0" y="0"/>
                      <a:ext cx="3840480" cy="904082"/>
                    </a:xfrm>
                    <a:prstGeom prst="rect"/>
                  </pic:spPr>
                </pic:pic>
              </a:graphicData>
            </a:graphic>
          </wp:inline>
        </w:drawing>
      </w:r>
    </w:p>
    <w:p>
      <w:pPr>
        <w:spacing w:before="60" w:after="140"/>
        <w:jc w:val="center"/>
      </w:pPr>
      <w:r>
        <w:rPr>
          <w:rFonts w:ascii="Calibri" w:hAnsi="Calibri"/>
          <w:i/>
          <w:color w:val="66717E"/>
          <w:sz w:val="17"/>
        </w:rPr>
        <w:t>Figure 2. Statistics refresh completed successfully for registration.</w:t>
      </w:r>
    </w:p>
    <w:p>
      <w:pPr>
        <w:keepNext/>
        <w:jc w:val="center"/>
      </w:pPr>
      <w:r>
        <w:drawing>
          <wp:inline xmlns:a="http://schemas.openxmlformats.org/drawingml/2006/main" xmlns:pic="http://schemas.openxmlformats.org/drawingml/2006/picture">
            <wp:extent cx="4160520" cy="2626564"/>
            <wp:docPr id="3" name="Picture 3" descr="Post-index EXPLAIN ANALYZE plan for completion outcomes showing a covering index scan using idx_registration_outcome_cover and total actual time 13.1 milliseconds." title="Figure 3. Query 1 tuned: covering index scan, 13.1 ms."/>
            <wp:cNvGraphicFramePr>
              <a:graphicFrameLocks noChangeAspect="1"/>
            </wp:cNvGraphicFramePr>
            <a:graphic>
              <a:graphicData uri="http://schemas.openxmlformats.org/drawingml/2006/picture">
                <pic:pic>
                  <pic:nvPicPr>
                    <pic:cNvPr id="0" name="image(1277).png"/>
                    <pic:cNvPicPr/>
                  </pic:nvPicPr>
                  <pic:blipFill>
                    <a:blip r:embed="rId13"/>
                    <a:stretch>
                      <a:fillRect/>
                    </a:stretch>
                  </pic:blipFill>
                  <pic:spPr>
                    <a:xfrm>
                      <a:off x="0" y="0"/>
                      <a:ext cx="4160520" cy="2626564"/>
                    </a:xfrm>
                    <a:prstGeom prst="rect"/>
                  </pic:spPr>
                </pic:pic>
              </a:graphicData>
            </a:graphic>
          </wp:inline>
        </w:drawing>
      </w:r>
    </w:p>
    <w:p>
      <w:pPr>
        <w:spacing w:before="60" w:after="140"/>
        <w:jc w:val="center"/>
      </w:pPr>
      <w:r>
        <w:rPr>
          <w:rFonts w:ascii="Calibri" w:hAnsi="Calibri"/>
          <w:i/>
          <w:color w:val="66717E"/>
          <w:sz w:val="17"/>
        </w:rPr>
        <w:t>Figure 3. Query 1 tuned: covering index scan, 13.1 ms.</w:t>
      </w:r>
    </w:p>
    <w:tbl>
      <w:tblPr>
        <w:tblStyle w:val="TableGrid"/>
        <w:tblW w:type="dxa" w:w="9360"/>
        <w:tblLayout w:type="fixed"/>
        <w:tblLook w:firstColumn="1" w:firstRow="1" w:lastColumn="0" w:lastRow="0" w:noHBand="0" w:noVBand="1" w:val="04A0"/>
        <w:tblInd w:w="120" w:type="dxa"/>
      </w:tblPr>
      <w:tblGrid>
        <w:gridCol w:w="2500"/>
        <w:gridCol w:w="3430"/>
        <w:gridCol w:w="3430"/>
      </w:tblGrid>
      <w:tr>
        <w:trPr>
          <w:tblHeader w:val="true"/>
          <w:cantSplit/>
        </w:trPr>
        <w:tc>
          <w:tcPr>
            <w:tcW w:type="dxa" w:w="2500"/>
            <w:tcMar>
              <w:top w:w="80" w:type="dxa"/>
              <w:start w:w="120" w:type="dxa"/>
              <w:bottom w:w="80" w:type="dxa"/>
              <w:end w:w="120" w:type="dxa"/>
            </w:tcMar>
            <w:vAlign w:val="center"/>
            <w:shd w:fill="F2F4F7"/>
          </w:tcPr>
          <w:p>
            <w:pPr>
              <w:keepNext/>
              <w:spacing w:after="0"/>
              <w:jc w:val="left"/>
            </w:pPr>
            <w:r>
              <w:rPr>
                <w:rFonts w:ascii="Calibri" w:hAnsi="Calibri"/>
                <w:b/>
                <w:color w:val="1D2733"/>
                <w:sz w:val="18"/>
              </w:rPr>
              <w:t>Plan element</w:t>
            </w:r>
          </w:p>
        </w:tc>
        <w:tc>
          <w:tcPr>
            <w:tcW w:type="dxa" w:w="3430"/>
            <w:tcMar>
              <w:top w:w="80" w:type="dxa"/>
              <w:start w:w="120" w:type="dxa"/>
              <w:bottom w:w="80" w:type="dxa"/>
              <w:end w:w="120" w:type="dxa"/>
            </w:tcMar>
            <w:vAlign w:val="center"/>
            <w:shd w:fill="F2F4F7"/>
          </w:tcPr>
          <w:p>
            <w:pPr>
              <w:keepNext/>
              <w:spacing w:after="0"/>
              <w:jc w:val="left"/>
            </w:pPr>
            <w:r>
              <w:rPr>
                <w:rFonts w:ascii="Calibri" w:hAnsi="Calibri"/>
                <w:b/>
                <w:color w:val="1D2733"/>
                <w:sz w:val="18"/>
              </w:rPr>
              <w:t>Baseline</w:t>
            </w:r>
          </w:p>
        </w:tc>
        <w:tc>
          <w:tcPr>
            <w:tcW w:type="dxa" w:w="3430"/>
            <w:tcMar>
              <w:top w:w="80" w:type="dxa"/>
              <w:start w:w="120" w:type="dxa"/>
              <w:bottom w:w="80" w:type="dxa"/>
              <w:end w:w="120" w:type="dxa"/>
            </w:tcMar>
            <w:vAlign w:val="center"/>
            <w:shd w:fill="F2F4F7"/>
          </w:tcPr>
          <w:p>
            <w:pPr>
              <w:keepNext/>
              <w:spacing w:after="0"/>
              <w:jc w:val="left"/>
            </w:pPr>
            <w:r>
              <w:rPr>
                <w:rFonts w:ascii="Calibri" w:hAnsi="Calibri"/>
                <w:b/>
                <w:color w:val="1D2733"/>
                <w:sz w:val="18"/>
              </w:rPr>
              <w:t>Tuned</w:t>
            </w:r>
          </w:p>
        </w:tc>
      </w:tr>
      <w:tr>
        <w:trPr>
          <w:cantSplit/>
          <w:cantSplit/>
        </w:trPr>
        <w:tc>
          <w:tcPr>
            <w:tcW w:type="dxa" w:w="250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Access path</w:t>
            </w:r>
          </w:p>
        </w:tc>
        <w:tc>
          <w:tcPr>
            <w:tcW w:type="dxa" w:w="343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Index scan</w:t>
            </w:r>
          </w:p>
        </w:tc>
        <w:tc>
          <w:tcPr>
            <w:tcW w:type="dxa" w:w="343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Covering index scan</w:t>
            </w:r>
          </w:p>
        </w:tc>
      </w:tr>
      <w:tr>
        <w:trPr>
          <w:cantSplit/>
          <w:cantSplit/>
        </w:trPr>
        <w:tc>
          <w:tcPr>
            <w:tcW w:type="dxa" w:w="250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Index</w:t>
            </w:r>
          </w:p>
        </w:tc>
        <w:tc>
          <w:tcPr>
            <w:tcW w:type="dxa" w:w="343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fk_registration_presentation</w:t>
            </w:r>
          </w:p>
        </w:tc>
        <w:tc>
          <w:tcPr>
            <w:tcW w:type="dxa" w:w="343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idx_registration_outcome_cover</w:t>
            </w:r>
          </w:p>
        </w:tc>
      </w:tr>
      <w:tr>
        <w:trPr>
          <w:cantSplit/>
          <w:cantSplit/>
        </w:trPr>
        <w:tc>
          <w:tcPr>
            <w:tcW w:type="dxa" w:w="250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Scan completion</w:t>
            </w:r>
          </w:p>
        </w:tc>
        <w:tc>
          <w:tcPr>
            <w:tcW w:type="dxa" w:w="343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92.7 ms</w:t>
            </w:r>
          </w:p>
        </w:tc>
        <w:tc>
          <w:tcPr>
            <w:tcW w:type="dxa" w:w="343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4.59 ms</w:t>
            </w:r>
          </w:p>
        </w:tc>
      </w:tr>
      <w:tr>
        <w:trPr>
          <w:cantSplit/>
          <w:cantSplit/>
        </w:trPr>
        <w:tc>
          <w:tcPr>
            <w:tcW w:type="dxa" w:w="2500"/>
            <w:tcMar>
              <w:top w:w="80" w:type="dxa"/>
              <w:start w:w="120" w:type="dxa"/>
              <w:bottom w:w="80" w:type="dxa"/>
              <w:end w:w="120" w:type="dxa"/>
            </w:tcMar>
            <w:vAlign w:val="center"/>
          </w:tcPr>
          <w:p>
            <w:pPr>
              <w:spacing w:after="0" w:line="252" w:lineRule="auto"/>
              <w:jc w:val="left"/>
            </w:pPr>
            <w:r>
              <w:rPr>
                <w:rFonts w:ascii="Calibri" w:hAnsi="Calibri"/>
                <w:color w:val="1D2733"/>
                <w:sz w:val="18"/>
              </w:rPr>
              <w:t>Total completion</w:t>
            </w:r>
          </w:p>
        </w:tc>
        <w:tc>
          <w:tcPr>
            <w:tcW w:type="dxa" w:w="3430"/>
            <w:tcMar>
              <w:top w:w="80" w:type="dxa"/>
              <w:start w:w="120" w:type="dxa"/>
              <w:bottom w:w="80" w:type="dxa"/>
              <w:end w:w="120" w:type="dxa"/>
            </w:tcMar>
            <w:vAlign w:val="center"/>
          </w:tcPr>
          <w:p>
            <w:pPr>
              <w:spacing w:after="0" w:line="252" w:lineRule="auto"/>
              <w:jc w:val="left"/>
            </w:pPr>
            <w:r>
              <w:rPr>
                <w:rFonts w:ascii="Calibri" w:hAnsi="Calibri"/>
                <w:color w:val="1D2733"/>
                <w:sz w:val="18"/>
              </w:rPr>
              <w:t>111 ms</w:t>
            </w:r>
          </w:p>
        </w:tc>
        <w:tc>
          <w:tcPr>
            <w:tcW w:type="dxa" w:w="3430"/>
            <w:tcMar>
              <w:top w:w="80" w:type="dxa"/>
              <w:start w:w="120" w:type="dxa"/>
              <w:bottom w:w="80" w:type="dxa"/>
              <w:end w:w="120" w:type="dxa"/>
            </w:tcMar>
            <w:vAlign w:val="center"/>
          </w:tcPr>
          <w:p>
            <w:pPr>
              <w:spacing w:after="0" w:line="252" w:lineRule="auto"/>
              <w:jc w:val="left"/>
            </w:pPr>
            <w:r>
              <w:rPr>
                <w:rFonts w:ascii="Calibri" w:hAnsi="Calibri"/>
                <w:color w:val="1D2733"/>
                <w:sz w:val="18"/>
              </w:rPr>
              <w:t>13.1 ms</w:t>
            </w:r>
          </w:p>
        </w:tc>
      </w:tr>
    </w:tbl>
    <w:p>
      <w:pPr>
        <w:spacing w:after="20"/>
      </w:pPr>
    </w:p>
    <w:p>
      <w:pPr>
        <w:spacing w:before="80" w:after="160"/>
        <w:ind w:left="216" w:right="216"/>
        <w:shd w:fill="EAF2F8"/>
      </w:pPr>
      <w:r>
        <w:rPr>
          <w:rFonts w:ascii="Calibri" w:hAnsi="Calibri"/>
          <w:b/>
          <w:color w:val="1F4D78"/>
        </w:rPr>
        <w:t xml:space="preserve">Interpretation: </w:t>
      </w:r>
      <w:r>
        <w:rPr>
          <w:rFonts w:ascii="Calibri" w:hAnsi="Calibri"/>
          <w:color w:val="1D2733"/>
        </w:rPr>
        <w:t>The covering index eliminated base-table lookups for final_result. Total execution fell by 88.2%, while the 22 presentation results—including AAA 2013J at 72.58%—remained unchanged.</w:t>
      </w:r>
    </w:p>
    <w:p>
      <w:pPr>
        <w:pStyle w:val="Heading1"/>
        <w:keepNext/>
      </w:pPr>
      <w:r>
        <w:t>4. Query 2 — Assessment Performance</w:t>
      </w:r>
    </w:p>
    <w:p>
      <w:pPr>
        <w:keepNext/>
        <w:spacing w:after="120" w:line="264" w:lineRule="auto"/>
      </w:pPr>
      <w:r>
        <w:t>The second query joins 206 assessments to 173,912 student-assessment rows and calculates submission counts, average scores, missing scores and banked-result rates. The baseline plan built and scanned a temporary aggregation table.</w:t>
      </w:r>
    </w:p>
    <w:p>
      <w:pPr>
        <w:keepNext/>
        <w:jc w:val="center"/>
      </w:pPr>
      <w:r>
        <w:drawing>
          <wp:inline xmlns:a="http://schemas.openxmlformats.org/drawingml/2006/main" xmlns:pic="http://schemas.openxmlformats.org/drawingml/2006/picture">
            <wp:extent cx="3886200" cy="2467193"/>
            <wp:docPr id="4" name="Picture 4" descr="Baseline EXPLAIN ANALYZE plan for assessment performance showing temporary-table aggregation, nested-loop join, 173912 joined rows and total actual time 543 milliseconds." title="Figure 4. Query 2 baseline: temporary aggregation, 543 ms."/>
            <wp:cNvGraphicFramePr>
              <a:graphicFrameLocks noChangeAspect="1"/>
            </wp:cNvGraphicFramePr>
            <a:graphic>
              <a:graphicData uri="http://schemas.openxmlformats.org/drawingml/2006/picture">
                <pic:pic>
                  <pic:nvPicPr>
                    <pic:cNvPr id="0" name="image(1278).png"/>
                    <pic:cNvPicPr/>
                  </pic:nvPicPr>
                  <pic:blipFill>
                    <a:blip r:embed="rId14"/>
                    <a:stretch>
                      <a:fillRect/>
                    </a:stretch>
                  </pic:blipFill>
                  <pic:spPr>
                    <a:xfrm>
                      <a:off x="0" y="0"/>
                      <a:ext cx="3886200" cy="2467193"/>
                    </a:xfrm>
                    <a:prstGeom prst="rect"/>
                  </pic:spPr>
                </pic:pic>
              </a:graphicData>
            </a:graphic>
          </wp:inline>
        </w:drawing>
      </w:r>
    </w:p>
    <w:p>
      <w:pPr>
        <w:spacing w:before="60" w:after="140"/>
        <w:jc w:val="center"/>
      </w:pPr>
      <w:r>
        <w:rPr>
          <w:rFonts w:ascii="Calibri" w:hAnsi="Calibri"/>
          <w:i/>
          <w:color w:val="66717E"/>
          <w:sz w:val="17"/>
        </w:rPr>
        <w:t>Figure 4. Query 2 baseline: temporary aggregation, 543 ms.</w:t>
      </w:r>
    </w:p>
    <w:p>
      <w:pPr>
        <w:keepNext/>
        <w:spacing w:after="120" w:line="264" w:lineRule="auto"/>
      </w:pPr>
      <w:r>
        <w:t>The retained idx_assessment_reporting index orders assessments by module, presentation and assessment type before id_assessment. This allowed an ordered covering scan of assessment and removed the temporary aggregation stage.</w:t>
      </w:r>
    </w:p>
    <w:p>
      <w:pPr>
        <w:keepNext/>
        <w:jc w:val="center"/>
      </w:pPr>
      <w:r>
        <w:drawing>
          <wp:inline xmlns:a="http://schemas.openxmlformats.org/drawingml/2006/main" xmlns:pic="http://schemas.openxmlformats.org/drawingml/2006/picture">
            <wp:extent cx="3886200" cy="2354693"/>
            <wp:docPr id="5" name="Picture 5" descr="Post-index EXPLAIN ANALYZE plan for assessment performance showing direct group aggregation, covering scan of assessment using idx_assessment_reporting and total actual time 163 milliseconds." title="Figure 5. Query 2 tuned: direct aggregation, 163 ms."/>
            <wp:cNvGraphicFramePr>
              <a:graphicFrameLocks noChangeAspect="1"/>
            </wp:cNvGraphicFramePr>
            <a:graphic>
              <a:graphicData uri="http://schemas.openxmlformats.org/drawingml/2006/picture">
                <pic:pic>
                  <pic:nvPicPr>
                    <pic:cNvPr id="0" name="image(1279).png"/>
                    <pic:cNvPicPr/>
                  </pic:nvPicPr>
                  <pic:blipFill>
                    <a:blip r:embed="rId15"/>
                    <a:stretch>
                      <a:fillRect/>
                    </a:stretch>
                  </pic:blipFill>
                  <pic:spPr>
                    <a:xfrm>
                      <a:off x="0" y="0"/>
                      <a:ext cx="3886200" cy="2354693"/>
                    </a:xfrm>
                    <a:prstGeom prst="rect"/>
                  </pic:spPr>
                </pic:pic>
              </a:graphicData>
            </a:graphic>
          </wp:inline>
        </w:drawing>
      </w:r>
    </w:p>
    <w:p>
      <w:pPr>
        <w:spacing w:before="60" w:after="140"/>
        <w:jc w:val="center"/>
      </w:pPr>
      <w:r>
        <w:rPr>
          <w:rFonts w:ascii="Calibri" w:hAnsi="Calibri"/>
          <w:i/>
          <w:color w:val="66717E"/>
          <w:sz w:val="17"/>
        </w:rPr>
        <w:t>Figure 5. Query 2 tuned: direct aggregation, 163 ms.</w:t>
      </w:r>
    </w:p>
    <w:tbl>
      <w:tblPr>
        <w:tblStyle w:val="TableGrid"/>
        <w:tblW w:type="dxa" w:w="9360"/>
        <w:tblLayout w:type="fixed"/>
        <w:tblLook w:firstColumn="1" w:firstRow="1" w:lastColumn="0" w:lastRow="0" w:noHBand="0" w:noVBand="1" w:val="04A0"/>
        <w:tblInd w:w="120" w:type="dxa"/>
      </w:tblPr>
      <w:tblGrid>
        <w:gridCol w:w="2500"/>
        <w:gridCol w:w="3430"/>
        <w:gridCol w:w="3430"/>
      </w:tblGrid>
      <w:tr>
        <w:trPr>
          <w:tblHeader w:val="true"/>
          <w:cantSplit/>
        </w:trPr>
        <w:tc>
          <w:tcPr>
            <w:tcW w:type="dxa" w:w="2500"/>
            <w:tcMar>
              <w:top w:w="80" w:type="dxa"/>
              <w:start w:w="120" w:type="dxa"/>
              <w:bottom w:w="80" w:type="dxa"/>
              <w:end w:w="120" w:type="dxa"/>
            </w:tcMar>
            <w:vAlign w:val="center"/>
            <w:shd w:fill="F2F4F7"/>
          </w:tcPr>
          <w:p>
            <w:pPr>
              <w:keepNext/>
              <w:spacing w:after="0"/>
              <w:jc w:val="left"/>
            </w:pPr>
            <w:r>
              <w:rPr>
                <w:rFonts w:ascii="Calibri" w:hAnsi="Calibri"/>
                <w:b/>
                <w:color w:val="1D2733"/>
                <w:sz w:val="18"/>
              </w:rPr>
              <w:t>Plan element</w:t>
            </w:r>
          </w:p>
        </w:tc>
        <w:tc>
          <w:tcPr>
            <w:tcW w:type="dxa" w:w="3430"/>
            <w:tcMar>
              <w:top w:w="80" w:type="dxa"/>
              <w:start w:w="120" w:type="dxa"/>
              <w:bottom w:w="80" w:type="dxa"/>
              <w:end w:w="120" w:type="dxa"/>
            </w:tcMar>
            <w:vAlign w:val="center"/>
            <w:shd w:fill="F2F4F7"/>
          </w:tcPr>
          <w:p>
            <w:pPr>
              <w:keepNext/>
              <w:spacing w:after="0"/>
              <w:jc w:val="left"/>
            </w:pPr>
            <w:r>
              <w:rPr>
                <w:rFonts w:ascii="Calibri" w:hAnsi="Calibri"/>
                <w:b/>
                <w:color w:val="1D2733"/>
                <w:sz w:val="18"/>
              </w:rPr>
              <w:t>Baseline</w:t>
            </w:r>
          </w:p>
        </w:tc>
        <w:tc>
          <w:tcPr>
            <w:tcW w:type="dxa" w:w="3430"/>
            <w:tcMar>
              <w:top w:w="80" w:type="dxa"/>
              <w:start w:w="120" w:type="dxa"/>
              <w:bottom w:w="80" w:type="dxa"/>
              <w:end w:w="120" w:type="dxa"/>
            </w:tcMar>
            <w:vAlign w:val="center"/>
            <w:shd w:fill="F2F4F7"/>
          </w:tcPr>
          <w:p>
            <w:pPr>
              <w:keepNext/>
              <w:spacing w:after="0"/>
              <w:jc w:val="left"/>
            </w:pPr>
            <w:r>
              <w:rPr>
                <w:rFonts w:ascii="Calibri" w:hAnsi="Calibri"/>
                <w:b/>
                <w:color w:val="1D2733"/>
                <w:sz w:val="18"/>
              </w:rPr>
              <w:t>Tuned</w:t>
            </w:r>
          </w:p>
        </w:tc>
      </w:tr>
      <w:tr>
        <w:trPr>
          <w:cantSplit/>
          <w:cantSplit/>
        </w:trPr>
        <w:tc>
          <w:tcPr>
            <w:tcW w:type="dxa" w:w="250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Aggregation</w:t>
            </w:r>
          </w:p>
        </w:tc>
        <w:tc>
          <w:tcPr>
            <w:tcW w:type="dxa" w:w="343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Temporary table</w:t>
            </w:r>
          </w:p>
        </w:tc>
        <w:tc>
          <w:tcPr>
            <w:tcW w:type="dxa" w:w="343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Direct group aggregate</w:t>
            </w:r>
          </w:p>
        </w:tc>
      </w:tr>
      <w:tr>
        <w:trPr>
          <w:cantSplit/>
          <w:cantSplit/>
        </w:trPr>
        <w:tc>
          <w:tcPr>
            <w:tcW w:type="dxa" w:w="250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Assessment access</w:t>
            </w:r>
          </w:p>
        </w:tc>
        <w:tc>
          <w:tcPr>
            <w:tcW w:type="dxa" w:w="343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Table scan</w:t>
            </w:r>
          </w:p>
        </w:tc>
        <w:tc>
          <w:tcPr>
            <w:tcW w:type="dxa" w:w="343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Covering index scan</w:t>
            </w:r>
          </w:p>
        </w:tc>
      </w:tr>
      <w:tr>
        <w:trPr>
          <w:cantSplit/>
          <w:cantSplit/>
        </w:trPr>
        <w:tc>
          <w:tcPr>
            <w:tcW w:type="dxa" w:w="250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Join completion</w:t>
            </w:r>
          </w:p>
        </w:tc>
        <w:tc>
          <w:tcPr>
            <w:tcW w:type="dxa" w:w="343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137 ms</w:t>
            </w:r>
          </w:p>
        </w:tc>
        <w:tc>
          <w:tcPr>
            <w:tcW w:type="dxa" w:w="343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78.4 ms</w:t>
            </w:r>
          </w:p>
        </w:tc>
      </w:tr>
      <w:tr>
        <w:trPr>
          <w:cantSplit/>
          <w:cantSplit/>
        </w:trPr>
        <w:tc>
          <w:tcPr>
            <w:tcW w:type="dxa" w:w="2500"/>
            <w:tcMar>
              <w:top w:w="80" w:type="dxa"/>
              <w:start w:w="120" w:type="dxa"/>
              <w:bottom w:w="80" w:type="dxa"/>
              <w:end w:w="120" w:type="dxa"/>
            </w:tcMar>
            <w:vAlign w:val="center"/>
          </w:tcPr>
          <w:p>
            <w:pPr>
              <w:spacing w:after="0" w:line="252" w:lineRule="auto"/>
              <w:jc w:val="left"/>
            </w:pPr>
            <w:r>
              <w:rPr>
                <w:rFonts w:ascii="Calibri" w:hAnsi="Calibri"/>
                <w:color w:val="1D2733"/>
                <w:sz w:val="18"/>
              </w:rPr>
              <w:t>Total completion</w:t>
            </w:r>
          </w:p>
        </w:tc>
        <w:tc>
          <w:tcPr>
            <w:tcW w:type="dxa" w:w="3430"/>
            <w:tcMar>
              <w:top w:w="80" w:type="dxa"/>
              <w:start w:w="120" w:type="dxa"/>
              <w:bottom w:w="80" w:type="dxa"/>
              <w:end w:w="120" w:type="dxa"/>
            </w:tcMar>
            <w:vAlign w:val="center"/>
          </w:tcPr>
          <w:p>
            <w:pPr>
              <w:spacing w:after="0" w:line="252" w:lineRule="auto"/>
              <w:jc w:val="left"/>
            </w:pPr>
            <w:r>
              <w:rPr>
                <w:rFonts w:ascii="Calibri" w:hAnsi="Calibri"/>
                <w:color w:val="1D2733"/>
                <w:sz w:val="18"/>
              </w:rPr>
              <w:t>543 ms</w:t>
            </w:r>
          </w:p>
        </w:tc>
        <w:tc>
          <w:tcPr>
            <w:tcW w:type="dxa" w:w="3430"/>
            <w:tcMar>
              <w:top w:w="80" w:type="dxa"/>
              <w:start w:w="120" w:type="dxa"/>
              <w:bottom w:w="80" w:type="dxa"/>
              <w:end w:w="120" w:type="dxa"/>
            </w:tcMar>
            <w:vAlign w:val="center"/>
          </w:tcPr>
          <w:p>
            <w:pPr>
              <w:spacing w:after="0" w:line="252" w:lineRule="auto"/>
              <w:jc w:val="left"/>
            </w:pPr>
            <w:r>
              <w:rPr>
                <w:rFonts w:ascii="Calibri" w:hAnsi="Calibri"/>
                <w:color w:val="1D2733"/>
                <w:sz w:val="18"/>
              </w:rPr>
              <w:t>163 ms</w:t>
            </w:r>
          </w:p>
        </w:tc>
      </w:tr>
    </w:tbl>
    <w:p>
      <w:pPr>
        <w:spacing w:after="20"/>
      </w:pPr>
    </w:p>
    <w:p>
      <w:pPr>
        <w:spacing w:before="80" w:after="160"/>
        <w:ind w:left="216" w:right="216"/>
        <w:shd w:fill="FFF4D6"/>
      </w:pPr>
      <w:r>
        <w:rPr>
          <w:rFonts w:ascii="Calibri" w:hAnsi="Calibri"/>
          <w:b/>
          <w:color w:val="1F4D78"/>
        </w:rPr>
        <w:t xml:space="preserve">Index review: </w:t>
      </w:r>
      <w:r>
        <w:rPr>
          <w:rFonts w:ascii="Calibri" w:hAnsi="Calibri"/>
          <w:color w:val="1D2733"/>
        </w:rPr>
        <w:t>A candidate idx_student_assessment_metrics index was tested, but MySQL continued to prefer the existing primary key for student_assessment lookups. The unused candidate was therefore removed after testing.</w:t>
      </w:r>
    </w:p>
    <w:p>
      <w:pPr>
        <w:pStyle w:val="Heading1"/>
        <w:keepNext/>
      </w:pPr>
      <w:r>
        <w:t>5. Query 3 — VLE Resource Availability</w:t>
      </w:r>
    </w:p>
    <w:p>
      <w:pPr>
        <w:keepNext/>
        <w:spacing w:after="120" w:line="264" w:lineRule="auto"/>
      </w:pPr>
      <w:r>
        <w:t>The third query summarises VLE resource counts, missing week information and the earliest/latest resource weeks by presentation and activity type. The baseline scanned all 6,364 rows and materialised 232 groups in a temporary table.</w:t>
      </w:r>
    </w:p>
    <w:p>
      <w:pPr>
        <w:keepNext/>
        <w:jc w:val="center"/>
      </w:pPr>
      <w:r>
        <w:drawing>
          <wp:inline xmlns:a="http://schemas.openxmlformats.org/drawingml/2006/main" xmlns:pic="http://schemas.openxmlformats.org/drawingml/2006/picture">
            <wp:extent cx="3886200" cy="2394479"/>
            <wp:docPr id="6" name="Picture 6" descr="Baseline EXPLAIN ANALYZE plan for VLE resource availability showing full table scan, temporary aggregation, 6364 rows and total actual time 19.6 milliseconds." title="Figure 6. Query 3 baseline: table scan and temporary aggregation, 19.6 ms."/>
            <wp:cNvGraphicFramePr>
              <a:graphicFrameLocks noChangeAspect="1"/>
            </wp:cNvGraphicFramePr>
            <a:graphic>
              <a:graphicData uri="http://schemas.openxmlformats.org/drawingml/2006/picture">
                <pic:pic>
                  <pic:nvPicPr>
                    <pic:cNvPr id="0" name="image(1280).png"/>
                    <pic:cNvPicPr/>
                  </pic:nvPicPr>
                  <pic:blipFill>
                    <a:blip r:embed="rId16"/>
                    <a:stretch>
                      <a:fillRect/>
                    </a:stretch>
                  </pic:blipFill>
                  <pic:spPr>
                    <a:xfrm>
                      <a:off x="0" y="0"/>
                      <a:ext cx="3886200" cy="2394479"/>
                    </a:xfrm>
                    <a:prstGeom prst="rect"/>
                  </pic:spPr>
                </pic:pic>
              </a:graphicData>
            </a:graphic>
          </wp:inline>
        </w:drawing>
      </w:r>
    </w:p>
    <w:p>
      <w:pPr>
        <w:spacing w:before="60" w:after="140"/>
        <w:jc w:val="center"/>
      </w:pPr>
      <w:r>
        <w:rPr>
          <w:rFonts w:ascii="Calibri" w:hAnsi="Calibri"/>
          <w:i/>
          <w:color w:val="66717E"/>
          <w:sz w:val="17"/>
        </w:rPr>
        <w:t>Figure 6. Query 3 baseline: table scan and temporary aggregation, 19.6 ms.</w:t>
      </w:r>
    </w:p>
    <w:p>
      <w:pPr>
        <w:keepNext/>
        <w:spacing w:after="120" w:line="264" w:lineRule="auto"/>
      </w:pPr>
      <w:r>
        <w:t>The idx_vle_resource_reporting index matches the complete grouping prefix and includes week_from and week_to, making the query fully covering and allowing streaming group aggregation.</w:t>
      </w:r>
    </w:p>
    <w:p>
      <w:pPr>
        <w:keepNext/>
        <w:jc w:val="center"/>
      </w:pPr>
      <w:r>
        <w:drawing>
          <wp:inline xmlns:a="http://schemas.openxmlformats.org/drawingml/2006/main" xmlns:pic="http://schemas.openxmlformats.org/drawingml/2006/picture">
            <wp:extent cx="3886200" cy="2450214"/>
            <wp:docPr id="7" name="Picture 7" descr="Post-index EXPLAIN ANALYZE plan for VLE resource availability showing direct group aggregate, covering scan using idx_vle_resource_reporting and total actual time 3.02 milliseconds." title="Figure 7. Query 3 tuned: covering index scan, 3.02 ms."/>
            <wp:cNvGraphicFramePr>
              <a:graphicFrameLocks noChangeAspect="1"/>
            </wp:cNvGraphicFramePr>
            <a:graphic>
              <a:graphicData uri="http://schemas.openxmlformats.org/drawingml/2006/picture">
                <pic:pic>
                  <pic:nvPicPr>
                    <pic:cNvPr id="0" name="image(1281).png"/>
                    <pic:cNvPicPr/>
                  </pic:nvPicPr>
                  <pic:blipFill>
                    <a:blip r:embed="rId17"/>
                    <a:stretch>
                      <a:fillRect/>
                    </a:stretch>
                  </pic:blipFill>
                  <pic:spPr>
                    <a:xfrm>
                      <a:off x="0" y="0"/>
                      <a:ext cx="3886200" cy="2450214"/>
                    </a:xfrm>
                    <a:prstGeom prst="rect"/>
                  </pic:spPr>
                </pic:pic>
              </a:graphicData>
            </a:graphic>
          </wp:inline>
        </w:drawing>
      </w:r>
    </w:p>
    <w:p>
      <w:pPr>
        <w:spacing w:before="60" w:after="140"/>
        <w:jc w:val="center"/>
      </w:pPr>
      <w:r>
        <w:rPr>
          <w:rFonts w:ascii="Calibri" w:hAnsi="Calibri"/>
          <w:i/>
          <w:color w:val="66717E"/>
          <w:sz w:val="17"/>
        </w:rPr>
        <w:t>Figure 7. Query 3 tuned: covering index scan, 3.02 ms.</w:t>
      </w:r>
    </w:p>
    <w:tbl>
      <w:tblPr>
        <w:tblStyle w:val="TableGrid"/>
        <w:tblW w:type="dxa" w:w="9360"/>
        <w:tblLayout w:type="fixed"/>
        <w:tblLook w:firstColumn="1" w:firstRow="1" w:lastColumn="0" w:lastRow="0" w:noHBand="0" w:noVBand="1" w:val="04A0"/>
        <w:tblInd w:w="120" w:type="dxa"/>
      </w:tblPr>
      <w:tblGrid>
        <w:gridCol w:w="2500"/>
        <w:gridCol w:w="3430"/>
        <w:gridCol w:w="3430"/>
      </w:tblGrid>
      <w:tr>
        <w:trPr>
          <w:tblHeader w:val="true"/>
          <w:cantSplit/>
        </w:trPr>
        <w:tc>
          <w:tcPr>
            <w:tcW w:type="dxa" w:w="2500"/>
            <w:tcMar>
              <w:top w:w="80" w:type="dxa"/>
              <w:start w:w="120" w:type="dxa"/>
              <w:bottom w:w="80" w:type="dxa"/>
              <w:end w:w="120" w:type="dxa"/>
            </w:tcMar>
            <w:vAlign w:val="center"/>
            <w:shd w:fill="F2F4F7"/>
          </w:tcPr>
          <w:p>
            <w:pPr>
              <w:keepNext/>
              <w:spacing w:after="0"/>
              <w:jc w:val="left"/>
            </w:pPr>
            <w:r>
              <w:rPr>
                <w:rFonts w:ascii="Calibri" w:hAnsi="Calibri"/>
                <w:b/>
                <w:color w:val="1D2733"/>
                <w:sz w:val="18"/>
              </w:rPr>
              <w:t>Plan element</w:t>
            </w:r>
          </w:p>
        </w:tc>
        <w:tc>
          <w:tcPr>
            <w:tcW w:type="dxa" w:w="3430"/>
            <w:tcMar>
              <w:top w:w="80" w:type="dxa"/>
              <w:start w:w="120" w:type="dxa"/>
              <w:bottom w:w="80" w:type="dxa"/>
              <w:end w:w="120" w:type="dxa"/>
            </w:tcMar>
            <w:vAlign w:val="center"/>
            <w:shd w:fill="F2F4F7"/>
          </w:tcPr>
          <w:p>
            <w:pPr>
              <w:keepNext/>
              <w:spacing w:after="0"/>
              <w:jc w:val="left"/>
            </w:pPr>
            <w:r>
              <w:rPr>
                <w:rFonts w:ascii="Calibri" w:hAnsi="Calibri"/>
                <w:b/>
                <w:color w:val="1D2733"/>
                <w:sz w:val="18"/>
              </w:rPr>
              <w:t>Baseline</w:t>
            </w:r>
          </w:p>
        </w:tc>
        <w:tc>
          <w:tcPr>
            <w:tcW w:type="dxa" w:w="3430"/>
            <w:tcMar>
              <w:top w:w="80" w:type="dxa"/>
              <w:start w:w="120" w:type="dxa"/>
              <w:bottom w:w="80" w:type="dxa"/>
              <w:end w:w="120" w:type="dxa"/>
            </w:tcMar>
            <w:vAlign w:val="center"/>
            <w:shd w:fill="F2F4F7"/>
          </w:tcPr>
          <w:p>
            <w:pPr>
              <w:keepNext/>
              <w:spacing w:after="0"/>
              <w:jc w:val="left"/>
            </w:pPr>
            <w:r>
              <w:rPr>
                <w:rFonts w:ascii="Calibri" w:hAnsi="Calibri"/>
                <w:b/>
                <w:color w:val="1D2733"/>
                <w:sz w:val="18"/>
              </w:rPr>
              <w:t>Tuned</w:t>
            </w:r>
          </w:p>
        </w:tc>
      </w:tr>
      <w:tr>
        <w:trPr>
          <w:cantSplit/>
          <w:cantSplit/>
        </w:trPr>
        <w:tc>
          <w:tcPr>
            <w:tcW w:type="dxa" w:w="250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Aggregation</w:t>
            </w:r>
          </w:p>
        </w:tc>
        <w:tc>
          <w:tcPr>
            <w:tcW w:type="dxa" w:w="343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Temporary table</w:t>
            </w:r>
          </w:p>
        </w:tc>
        <w:tc>
          <w:tcPr>
            <w:tcW w:type="dxa" w:w="343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Direct group aggregate</w:t>
            </w:r>
          </w:p>
        </w:tc>
      </w:tr>
      <w:tr>
        <w:trPr>
          <w:cantSplit/>
          <w:cantSplit/>
        </w:trPr>
        <w:tc>
          <w:tcPr>
            <w:tcW w:type="dxa" w:w="250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Access path</w:t>
            </w:r>
          </w:p>
        </w:tc>
        <w:tc>
          <w:tcPr>
            <w:tcW w:type="dxa" w:w="343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Table scan</w:t>
            </w:r>
          </w:p>
        </w:tc>
        <w:tc>
          <w:tcPr>
            <w:tcW w:type="dxa" w:w="343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Covering index scan</w:t>
            </w:r>
          </w:p>
        </w:tc>
      </w:tr>
      <w:tr>
        <w:trPr>
          <w:cantSplit/>
          <w:cantSplit/>
        </w:trPr>
        <w:tc>
          <w:tcPr>
            <w:tcW w:type="dxa" w:w="250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Scan completion</w:t>
            </w:r>
          </w:p>
        </w:tc>
        <w:tc>
          <w:tcPr>
            <w:tcW w:type="dxa" w:w="343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14.7 ms</w:t>
            </w:r>
          </w:p>
        </w:tc>
        <w:tc>
          <w:tcPr>
            <w:tcW w:type="dxa" w:w="343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1.45 ms</w:t>
            </w:r>
          </w:p>
        </w:tc>
      </w:tr>
      <w:tr>
        <w:trPr>
          <w:cantSplit/>
          <w:cantSplit/>
        </w:trPr>
        <w:tc>
          <w:tcPr>
            <w:tcW w:type="dxa" w:w="2500"/>
            <w:tcMar>
              <w:top w:w="80" w:type="dxa"/>
              <w:start w:w="120" w:type="dxa"/>
              <w:bottom w:w="80" w:type="dxa"/>
              <w:end w:w="120" w:type="dxa"/>
            </w:tcMar>
            <w:vAlign w:val="center"/>
          </w:tcPr>
          <w:p>
            <w:pPr>
              <w:spacing w:after="0" w:line="252" w:lineRule="auto"/>
              <w:jc w:val="left"/>
            </w:pPr>
            <w:r>
              <w:rPr>
                <w:rFonts w:ascii="Calibri" w:hAnsi="Calibri"/>
                <w:color w:val="1D2733"/>
                <w:sz w:val="18"/>
              </w:rPr>
              <w:t>Total completion</w:t>
            </w:r>
          </w:p>
        </w:tc>
        <w:tc>
          <w:tcPr>
            <w:tcW w:type="dxa" w:w="3430"/>
            <w:tcMar>
              <w:top w:w="80" w:type="dxa"/>
              <w:start w:w="120" w:type="dxa"/>
              <w:bottom w:w="80" w:type="dxa"/>
              <w:end w:w="120" w:type="dxa"/>
            </w:tcMar>
            <w:vAlign w:val="center"/>
          </w:tcPr>
          <w:p>
            <w:pPr>
              <w:spacing w:after="0" w:line="252" w:lineRule="auto"/>
              <w:jc w:val="left"/>
            </w:pPr>
            <w:r>
              <w:rPr>
                <w:rFonts w:ascii="Calibri" w:hAnsi="Calibri"/>
                <w:color w:val="1D2733"/>
                <w:sz w:val="18"/>
              </w:rPr>
              <w:t>19.6 ms</w:t>
            </w:r>
          </w:p>
        </w:tc>
        <w:tc>
          <w:tcPr>
            <w:tcW w:type="dxa" w:w="3430"/>
            <w:tcMar>
              <w:top w:w="80" w:type="dxa"/>
              <w:start w:w="120" w:type="dxa"/>
              <w:bottom w:w="80" w:type="dxa"/>
              <w:end w:w="120" w:type="dxa"/>
            </w:tcMar>
            <w:vAlign w:val="center"/>
          </w:tcPr>
          <w:p>
            <w:pPr>
              <w:spacing w:after="0" w:line="252" w:lineRule="auto"/>
              <w:jc w:val="left"/>
            </w:pPr>
            <w:r>
              <w:rPr>
                <w:rFonts w:ascii="Calibri" w:hAnsi="Calibri"/>
                <w:color w:val="1D2733"/>
                <w:sz w:val="18"/>
              </w:rPr>
              <w:t>3.02 ms</w:t>
            </w:r>
          </w:p>
        </w:tc>
      </w:tr>
    </w:tbl>
    <w:p>
      <w:pPr>
        <w:spacing w:after="20"/>
      </w:pPr>
    </w:p>
    <w:p>
      <w:pPr>
        <w:spacing w:before="80" w:after="160"/>
        <w:ind w:left="216" w:right="216"/>
        <w:shd w:fill="EAF2F8"/>
      </w:pPr>
      <w:r>
        <w:rPr>
          <w:rFonts w:ascii="Calibri" w:hAnsi="Calibri"/>
          <w:b/>
          <w:color w:val="1F4D78"/>
        </w:rPr>
        <w:t xml:space="preserve">Interpretation: </w:t>
      </w:r>
      <w:r>
        <w:rPr>
          <w:rFonts w:ascii="Calibri" w:hAnsi="Calibri"/>
          <w:color w:val="1D2733"/>
        </w:rPr>
        <w:t>The covering index removed both the base-table scan and the temporary grouping step. Total execution fell by 84.6% while the same 232 groups were produced.</w:t>
      </w:r>
    </w:p>
    <w:p>
      <w:pPr>
        <w:pStyle w:val="Heading1"/>
        <w:keepNext/>
      </w:pPr>
      <w:r>
        <w:t>6. Statistics Refresh and Final Index Set</w:t>
      </w:r>
    </w:p>
    <w:p>
      <w:pPr>
        <w:keepNext/>
        <w:spacing w:after="120" w:line="264" w:lineRule="auto"/>
      </w:pPr>
      <w:r>
        <w:t>Statistics were refreshed after index changes so the optimizer could compare new and existing access paths. After the unused student-assessment candidate was removed, ANALYZE TABLE student_assessment completed successfully.</w:t>
      </w:r>
    </w:p>
    <w:p>
      <w:pPr>
        <w:keepNext/>
        <w:jc w:val="center"/>
      </w:pPr>
      <w:r>
        <w:drawing>
          <wp:inline xmlns:a="http://schemas.openxmlformats.org/drawingml/2006/main" xmlns:pic="http://schemas.openxmlformats.org/drawingml/2006/picture">
            <wp:extent cx="4206240" cy="940123"/>
            <wp:docPr id="8" name="Picture 8" descr="MySQL Workbench result showing ANALYZE TABLE student_assessment completed with status OK after unused-index cleanup." title="Figure 8. Statistics refresh after final index cleanup."/>
            <wp:cNvGraphicFramePr>
              <a:graphicFrameLocks noChangeAspect="1"/>
            </wp:cNvGraphicFramePr>
            <a:graphic>
              <a:graphicData uri="http://schemas.openxmlformats.org/drawingml/2006/picture">
                <pic:pic>
                  <pic:nvPicPr>
                    <pic:cNvPr id="0" name="image(1282).png"/>
                    <pic:cNvPicPr/>
                  </pic:nvPicPr>
                  <pic:blipFill>
                    <a:blip r:embed="rId18"/>
                    <a:stretch>
                      <a:fillRect/>
                    </a:stretch>
                  </pic:blipFill>
                  <pic:spPr>
                    <a:xfrm>
                      <a:off x="0" y="0"/>
                      <a:ext cx="4206240" cy="940123"/>
                    </a:xfrm>
                    <a:prstGeom prst="rect"/>
                  </pic:spPr>
                </pic:pic>
              </a:graphicData>
            </a:graphic>
          </wp:inline>
        </w:drawing>
      </w:r>
    </w:p>
    <w:p>
      <w:pPr>
        <w:spacing w:before="60" w:after="140"/>
        <w:jc w:val="center"/>
      </w:pPr>
      <w:r>
        <w:rPr>
          <w:rFonts w:ascii="Calibri" w:hAnsi="Calibri"/>
          <w:i/>
          <w:color w:val="66717E"/>
          <w:sz w:val="17"/>
        </w:rPr>
        <w:t>Figure 8. Statistics refresh after final index cleanup.</w:t>
      </w:r>
    </w:p>
    <w:p>
      <w:pPr>
        <w:keepNext/>
        <w:spacing w:after="120" w:line="264" w:lineRule="auto"/>
      </w:pPr>
      <w:r>
        <w:t>The final inventory retained exactly three task-specific reporting indexes.</w:t>
      </w:r>
    </w:p>
    <w:p>
      <w:pPr>
        <w:keepNext/>
        <w:jc w:val="center"/>
      </w:pPr>
      <w:r>
        <w:drawing>
          <wp:inline xmlns:a="http://schemas.openxmlformats.org/drawingml/2006/main" xmlns:pic="http://schemas.openxmlformats.org/drawingml/2006/picture">
            <wp:extent cx="4800600" cy="1200150"/>
            <wp:docPr id="9" name="Picture 9" descr="MySQL Workbench result listing idx_assessment_reporting, idx_registration_outcome_cover and idx_vle_resource_reporting with their indexed columns." title="Figure 9. Final retained reporting indexes."/>
            <wp:cNvGraphicFramePr>
              <a:graphicFrameLocks noChangeAspect="1"/>
            </wp:cNvGraphicFramePr>
            <a:graphic>
              <a:graphicData uri="http://schemas.openxmlformats.org/drawingml/2006/picture">
                <pic:pic>
                  <pic:nvPicPr>
                    <pic:cNvPr id="0" name="image(1283).png"/>
                    <pic:cNvPicPr/>
                  </pic:nvPicPr>
                  <pic:blipFill>
                    <a:blip r:embed="rId19"/>
                    <a:stretch>
                      <a:fillRect/>
                    </a:stretch>
                  </pic:blipFill>
                  <pic:spPr>
                    <a:xfrm>
                      <a:off x="0" y="0"/>
                      <a:ext cx="4800600" cy="1200150"/>
                    </a:xfrm>
                    <a:prstGeom prst="rect"/>
                  </pic:spPr>
                </pic:pic>
              </a:graphicData>
            </a:graphic>
          </wp:inline>
        </w:drawing>
      </w:r>
    </w:p>
    <w:p>
      <w:pPr>
        <w:spacing w:before="60" w:after="140"/>
        <w:jc w:val="center"/>
      </w:pPr>
      <w:r>
        <w:rPr>
          <w:rFonts w:ascii="Calibri" w:hAnsi="Calibri"/>
          <w:i/>
          <w:color w:val="66717E"/>
          <w:sz w:val="17"/>
        </w:rPr>
        <w:t>Figure 9. Final retained reporting indexes.</w:t>
      </w:r>
    </w:p>
    <w:tbl>
      <w:tblPr>
        <w:tblStyle w:val="TableGrid"/>
        <w:tblW w:type="dxa" w:w="9360"/>
        <w:tblLayout w:type="fixed"/>
        <w:tblLook w:firstColumn="1" w:firstRow="1" w:lastColumn="0" w:lastRow="0" w:noHBand="0" w:noVBand="1" w:val="04A0"/>
        <w:tblInd w:w="120" w:type="dxa"/>
      </w:tblPr>
      <w:tblGrid>
        <w:gridCol w:w="1900"/>
        <w:gridCol w:w="3100"/>
        <w:gridCol w:w="4360"/>
      </w:tblGrid>
      <w:tr>
        <w:trPr>
          <w:tblHeader w:val="true"/>
          <w:cantSplit/>
        </w:trPr>
        <w:tc>
          <w:tcPr>
            <w:tcW w:type="dxa" w:w="1900"/>
            <w:tcMar>
              <w:top w:w="80" w:type="dxa"/>
              <w:start w:w="120" w:type="dxa"/>
              <w:bottom w:w="80" w:type="dxa"/>
              <w:end w:w="120" w:type="dxa"/>
            </w:tcMar>
            <w:vAlign w:val="center"/>
            <w:shd w:fill="F2F4F7"/>
          </w:tcPr>
          <w:p>
            <w:pPr>
              <w:keepNext/>
              <w:spacing w:after="0"/>
              <w:jc w:val="left"/>
            </w:pPr>
            <w:r>
              <w:rPr>
                <w:rFonts w:ascii="Calibri" w:hAnsi="Calibri"/>
                <w:b/>
                <w:color w:val="1D2733"/>
                <w:sz w:val="18"/>
              </w:rPr>
              <w:t>Table</w:t>
            </w:r>
          </w:p>
        </w:tc>
        <w:tc>
          <w:tcPr>
            <w:tcW w:type="dxa" w:w="3100"/>
            <w:tcMar>
              <w:top w:w="80" w:type="dxa"/>
              <w:start w:w="120" w:type="dxa"/>
              <w:bottom w:w="80" w:type="dxa"/>
              <w:end w:w="120" w:type="dxa"/>
            </w:tcMar>
            <w:vAlign w:val="center"/>
            <w:shd w:fill="F2F4F7"/>
          </w:tcPr>
          <w:p>
            <w:pPr>
              <w:keepNext/>
              <w:spacing w:after="0"/>
              <w:jc w:val="left"/>
            </w:pPr>
            <w:r>
              <w:rPr>
                <w:rFonts w:ascii="Calibri" w:hAnsi="Calibri"/>
                <w:b/>
                <w:color w:val="1D2733"/>
                <w:sz w:val="18"/>
              </w:rPr>
              <w:t>Index</w:t>
            </w:r>
          </w:p>
        </w:tc>
        <w:tc>
          <w:tcPr>
            <w:tcW w:type="dxa" w:w="4360"/>
            <w:tcMar>
              <w:top w:w="80" w:type="dxa"/>
              <w:start w:w="120" w:type="dxa"/>
              <w:bottom w:w="80" w:type="dxa"/>
              <w:end w:w="120" w:type="dxa"/>
            </w:tcMar>
            <w:vAlign w:val="center"/>
            <w:shd w:fill="F2F4F7"/>
          </w:tcPr>
          <w:p>
            <w:pPr>
              <w:keepNext/>
              <w:spacing w:after="0"/>
              <w:jc w:val="left"/>
            </w:pPr>
            <w:r>
              <w:rPr>
                <w:rFonts w:ascii="Calibri" w:hAnsi="Calibri"/>
                <w:b/>
                <w:color w:val="1D2733"/>
                <w:sz w:val="18"/>
              </w:rPr>
              <w:t>Ordered columns</w:t>
            </w:r>
          </w:p>
        </w:tc>
      </w:tr>
      <w:tr>
        <w:trPr>
          <w:cantSplit/>
          <w:cantSplit/>
        </w:trPr>
        <w:tc>
          <w:tcPr>
            <w:tcW w:type="dxa" w:w="190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assessment</w:t>
            </w:r>
          </w:p>
        </w:tc>
        <w:tc>
          <w:tcPr>
            <w:tcW w:type="dxa" w:w="310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idx_assessment_reporting</w:t>
            </w:r>
          </w:p>
        </w:tc>
        <w:tc>
          <w:tcPr>
            <w:tcW w:type="dxa" w:w="436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code_module, code_presentation, assessment_type, id_assessment</w:t>
            </w:r>
          </w:p>
        </w:tc>
      </w:tr>
      <w:tr>
        <w:trPr>
          <w:cantSplit/>
          <w:cantSplit/>
        </w:trPr>
        <w:tc>
          <w:tcPr>
            <w:tcW w:type="dxa" w:w="190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registration</w:t>
            </w:r>
          </w:p>
        </w:tc>
        <w:tc>
          <w:tcPr>
            <w:tcW w:type="dxa" w:w="310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idx_registration_outcome_cover</w:t>
            </w:r>
          </w:p>
        </w:tc>
        <w:tc>
          <w:tcPr>
            <w:tcW w:type="dxa" w:w="4360"/>
            <w:tcMar>
              <w:top w:w="80" w:type="dxa"/>
              <w:start w:w="120" w:type="dxa"/>
              <w:bottom w:w="80" w:type="dxa"/>
              <w:end w:w="120" w:type="dxa"/>
            </w:tcMar>
            <w:vAlign w:val="center"/>
          </w:tcPr>
          <w:p>
            <w:pPr>
              <w:keepNext/>
              <w:spacing w:after="0" w:line="252" w:lineRule="auto"/>
              <w:jc w:val="left"/>
            </w:pPr>
            <w:r>
              <w:rPr>
                <w:rFonts w:ascii="Calibri" w:hAnsi="Calibri"/>
                <w:color w:val="1D2733"/>
                <w:sz w:val="18"/>
              </w:rPr>
              <w:t>code_module, code_presentation, final_result</w:t>
            </w:r>
          </w:p>
        </w:tc>
      </w:tr>
      <w:tr>
        <w:trPr>
          <w:cantSplit/>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color w:val="1D2733"/>
                <w:sz w:val="18"/>
              </w:rPr>
              <w:t>vle_resource</w:t>
            </w:r>
          </w:p>
        </w:tc>
        <w:tc>
          <w:tcPr>
            <w:tcW w:type="dxa" w:w="3100"/>
            <w:tcMar>
              <w:top w:w="80" w:type="dxa"/>
              <w:start w:w="120" w:type="dxa"/>
              <w:bottom w:w="80" w:type="dxa"/>
              <w:end w:w="120" w:type="dxa"/>
            </w:tcMar>
            <w:vAlign w:val="center"/>
          </w:tcPr>
          <w:p>
            <w:pPr>
              <w:spacing w:after="0" w:line="252" w:lineRule="auto"/>
              <w:jc w:val="left"/>
            </w:pPr>
            <w:r>
              <w:rPr>
                <w:rFonts w:ascii="Calibri" w:hAnsi="Calibri"/>
                <w:color w:val="1D2733"/>
                <w:sz w:val="18"/>
              </w:rPr>
              <w:t>idx_vle_resource_reporting</w:t>
            </w:r>
          </w:p>
        </w:tc>
        <w:tc>
          <w:tcPr>
            <w:tcW w:type="dxa" w:w="4360"/>
            <w:tcMar>
              <w:top w:w="80" w:type="dxa"/>
              <w:start w:w="120" w:type="dxa"/>
              <w:bottom w:w="80" w:type="dxa"/>
              <w:end w:w="120" w:type="dxa"/>
            </w:tcMar>
            <w:vAlign w:val="center"/>
          </w:tcPr>
          <w:p>
            <w:pPr>
              <w:spacing w:after="0" w:line="252" w:lineRule="auto"/>
              <w:jc w:val="left"/>
            </w:pPr>
            <w:r>
              <w:rPr>
                <w:rFonts w:ascii="Calibri" w:hAnsi="Calibri"/>
                <w:color w:val="1D2733"/>
                <w:sz w:val="18"/>
              </w:rPr>
              <w:t>code_module, code_presentation, activity_type, week_from, week_to</w:t>
            </w:r>
          </w:p>
        </w:tc>
      </w:tr>
    </w:tbl>
    <w:p>
      <w:pPr>
        <w:spacing w:after="20"/>
      </w:pPr>
    </w:p>
    <w:p>
      <w:pPr>
        <w:pStyle w:val="Heading1"/>
        <w:keepNext/>
      </w:pPr>
      <w:r>
        <w:t>7. Evaluation and Limitations</w:t>
      </w:r>
    </w:p>
    <w:p>
      <w:pPr>
        <w:keepNext w:val="0"/>
        <w:spacing w:after="120" w:line="264" w:lineRule="auto"/>
      </w:pPr>
      <w:r>
        <w:t>EXPLAIN ANALYZE executes each query and reports actual observed timing, but measurements can vary with cache state, concurrent work and hardware. The before-and-after plans were captured in the same database environment and used identical SQL, making them suitable for comparative evaluation. Indexes improve read performance at the cost of storage and additional work during INSERT, UPDATE and DELETE operations; this trade-off motivated removal of the unused candidate index.</w:t>
      </w:r>
    </w:p>
    <w:p>
      <w:pPr>
        <w:pStyle w:val="Heading1"/>
        <w:keepNext/>
      </w:pPr>
      <w:r>
        <w:t>8. Conclusion</w:t>
      </w:r>
    </w:p>
    <w:p>
      <w:pPr>
        <w:keepNext w:val="0"/>
        <w:keepLines/>
        <w:spacing w:after="120" w:line="264" w:lineRule="auto"/>
      </w:pPr>
      <w:r>
        <w:t>Task 5 was completed successfully. Three important analytical queries were baselined, indexed, re-analysed and rerun. Covering indexes reduced total measured execution time by 70.0% to 88.2%, while the queries continued to process the same rows and produce the same result groups. The final design retains only indexes demonstrated to improve an important reporting workload.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17E"/>
        <w:sz w:val="17"/>
      </w:rPr>
      <w:t xml:space="preserve">Task 5 Tuning Report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6717E"/>
        <w:sz w:val="16"/>
      </w:rPr>
      <w:t>OULAD DATABASE COURSEWORK  |  TASK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D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OULAD Task 5 Query Tuning and Index Optimisation Report</dc:title>
  <dc:subject>Baseline plans, covering indexes, refreshed statistics and measured query improvements</dc:subject>
  <dc:creator>OULAD Coursework Team</dc:creator>
  <cp:keywords>OULAD, MySQL, EXPLAIN ANALYZE, query tuning, indexes, statistics</cp:keywords>
  <dc:description>generated by python-docx</dc:description>
  <cp:lastModifiedBy/>
  <cp:revision>1</cp:revision>
  <dcterms:created xsi:type="dcterms:W3CDTF">2013-12-23T23:15:00Z</dcterms:created>
  <dcterms:modified xsi:type="dcterms:W3CDTF">2013-12-23T23:15:00Z</dcterms:modified>
  <cp:category/>
</cp:coreProperties>
</file>