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40"/>
        <w:jc w:val="center"/>
      </w:pPr>
      <w:r>
        <w:rPr>
          <w:rFonts w:ascii="Calibri" w:hAnsi="Calibri"/>
          <w:b/>
          <w:color w:val="2E74B5"/>
          <w:sz w:val="21"/>
        </w:rPr>
        <w:t>DATABASE MANAGEMENT COURSEWORK</w:t>
      </w:r>
    </w:p>
    <w:p>
      <w:pPr>
        <w:spacing w:after="160"/>
        <w:jc w:val="center"/>
      </w:pPr>
      <w:r>
        <w:rPr>
          <w:rFonts w:ascii="Calibri" w:hAnsi="Calibri"/>
          <w:b/>
          <w:color w:val="0B2545"/>
          <w:sz w:val="56"/>
        </w:rPr>
        <w:t>OULAD Task 6</w:t>
      </w:r>
    </w:p>
    <w:p>
      <w:pPr>
        <w:spacing w:after="480"/>
        <w:jc w:val="center"/>
      </w:pPr>
      <w:r>
        <w:rPr>
          <w:rFonts w:ascii="Calibri" w:hAnsi="Calibri"/>
          <w:b/>
          <w:color w:val="1F4D78"/>
          <w:sz w:val="32"/>
        </w:rPr>
        <w:t>ETL/ELT Pipeline Implementation Report</w:t>
      </w:r>
    </w:p>
    <w:p>
      <w:pPr>
        <w:spacing w:after="800"/>
        <w:jc w:val="center"/>
      </w:pPr>
      <w:r>
        <w:rPr>
          <w:rFonts w:ascii="Calibri" w:hAnsi="Calibri"/>
          <w:i/>
          <w:color w:val="595959"/>
          <w:sz w:val="23"/>
        </w:rPr>
        <w:t>Raw OULAD files → staging tables → cleaned relational tables → analytics layer</w:t>
      </w:r>
    </w:p>
    <w:tbl>
      <w:tblPr>
        <w:tblStyle w:val="TableGrid"/>
        <w:tblW w:type="dxa" w:w="9360"/>
        <w:tblLayout w:type="fixed"/>
        <w:tblLook w:firstColumn="1" w:firstRow="1" w:lastColumn="0" w:lastRow="0" w:noHBand="0" w:noVBand="1" w:val="04A0"/>
        <w:jc w:val="left"/>
        <w:tblInd w:w="120" w:type="dxa"/>
      </w:tblPr>
      <w:tblGrid>
        <w:gridCol w:w="2160"/>
        <w:gridCol w:w="7200"/>
      </w:tblGrid>
      <w:tr>
        <w:trPr>
          <w:tblHeader w:val="true"/>
        </w:trPr>
        <w:tc>
          <w:tcPr>
            <w:tcW w:type="dxa" w:w="21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Report item</w:t>
            </w:r>
          </w:p>
        </w:tc>
        <w:tc>
          <w:tcPr>
            <w:tcW w:type="dxa" w:w="72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Value</w:t>
            </w:r>
          </w:p>
        </w:tc>
      </w:tr>
      <w:tr>
        <w:tc>
          <w:tcPr>
            <w:tcW w:type="dxa" w:w="2160"/>
            <w:tcMar>
              <w:top w:w="80" w:type="dxa"/>
              <w:start w:w="120" w:type="dxa"/>
              <w:bottom w:w="80" w:type="dxa"/>
              <w:end w:w="120" w:type="dxa"/>
            </w:tcMar>
            <w:vAlign w:val="center"/>
          </w:tcPr>
          <w:p>
            <w:pPr>
              <w:spacing w:before="0" w:after="0" w:line="240" w:lineRule="auto"/>
              <w:jc w:val="center"/>
            </w:pPr>
            <w:r>
              <w:rPr>
                <w:rFonts w:ascii="Calibri" w:hAnsi="Calibri"/>
                <w:sz w:val="20"/>
              </w:rPr>
              <w:t>Dataset</w:t>
            </w:r>
          </w:p>
        </w:tc>
        <w:tc>
          <w:tcPr>
            <w:tcW w:type="dxa" w:w="7200"/>
            <w:tcMar>
              <w:top w:w="80" w:type="dxa"/>
              <w:start w:w="120" w:type="dxa"/>
              <w:bottom w:w="80" w:type="dxa"/>
              <w:end w:w="120" w:type="dxa"/>
            </w:tcMar>
            <w:vAlign w:val="center"/>
          </w:tcPr>
          <w:p>
            <w:pPr>
              <w:spacing w:before="0" w:after="0" w:line="240" w:lineRule="auto"/>
              <w:jc w:val="left"/>
            </w:pPr>
            <w:r>
              <w:rPr>
                <w:rFonts w:ascii="Calibri" w:hAnsi="Calibri"/>
                <w:sz w:val="20"/>
              </w:rPr>
              <w:t>Open University Learning Analytics Dataset (OULAD)</w:t>
            </w:r>
          </w:p>
        </w:tc>
      </w:tr>
      <w:tr>
        <w:tc>
          <w:tcPr>
            <w:tcW w:type="dxa" w:w="2160"/>
            <w:tcMar>
              <w:top w:w="80" w:type="dxa"/>
              <w:start w:w="120" w:type="dxa"/>
              <w:bottom w:w="80" w:type="dxa"/>
              <w:end w:w="120" w:type="dxa"/>
            </w:tcMar>
            <w:vAlign w:val="center"/>
          </w:tcPr>
          <w:p>
            <w:pPr>
              <w:spacing w:before="0" w:after="0" w:line="240" w:lineRule="auto"/>
              <w:jc w:val="center"/>
            </w:pPr>
            <w:r>
              <w:rPr>
                <w:rFonts w:ascii="Calibri" w:hAnsi="Calibri"/>
                <w:sz w:val="20"/>
              </w:rPr>
              <w:t>Implementation</w:t>
            </w:r>
          </w:p>
        </w:tc>
        <w:tc>
          <w:tcPr>
            <w:tcW w:type="dxa" w:w="7200"/>
            <w:tcMar>
              <w:top w:w="80" w:type="dxa"/>
              <w:start w:w="120" w:type="dxa"/>
              <w:bottom w:w="80" w:type="dxa"/>
              <w:end w:w="120" w:type="dxa"/>
            </w:tcMar>
            <w:vAlign w:val="center"/>
          </w:tcPr>
          <w:p>
            <w:pPr>
              <w:spacing w:before="0" w:after="0" w:line="240" w:lineRule="auto"/>
              <w:jc w:val="left"/>
            </w:pPr>
            <w:r>
              <w:rPr>
                <w:rFonts w:ascii="Calibri" w:hAnsi="Calibri"/>
                <w:sz w:val="20"/>
              </w:rPr>
              <w:t>Python 3.11.9 and MySQL 8.4.9</w:t>
            </w:r>
          </w:p>
        </w:tc>
      </w:tr>
      <w:tr>
        <w:tc>
          <w:tcPr>
            <w:tcW w:type="dxa" w:w="2160"/>
            <w:tcMar>
              <w:top w:w="80" w:type="dxa"/>
              <w:start w:w="120" w:type="dxa"/>
              <w:bottom w:w="80" w:type="dxa"/>
              <w:end w:w="120" w:type="dxa"/>
            </w:tcMar>
            <w:vAlign w:val="center"/>
          </w:tcPr>
          <w:p>
            <w:pPr>
              <w:spacing w:before="0" w:after="0" w:line="240" w:lineRule="auto"/>
              <w:jc w:val="center"/>
            </w:pPr>
            <w:r>
              <w:rPr>
                <w:rFonts w:ascii="Calibri" w:hAnsi="Calibri"/>
                <w:sz w:val="20"/>
              </w:rPr>
              <w:t>Target schema</w:t>
            </w:r>
          </w:p>
        </w:tc>
        <w:tc>
          <w:tcPr>
            <w:tcW w:type="dxa" w:w="7200"/>
            <w:tcMar>
              <w:top w:w="80" w:type="dxa"/>
              <w:start w:w="120" w:type="dxa"/>
              <w:bottom w:w="80" w:type="dxa"/>
              <w:end w:w="120" w:type="dxa"/>
            </w:tcMar>
            <w:vAlign w:val="center"/>
          </w:tcPr>
          <w:p>
            <w:pPr>
              <w:spacing w:before="0" w:after="0" w:line="240" w:lineRule="auto"/>
              <w:jc w:val="left"/>
            </w:pPr>
            <w:r>
              <w:rPr>
                <w:rFonts w:ascii="Calibri" w:hAnsi="Calibri"/>
                <w:sz w:val="20"/>
              </w:rPr>
              <w:t>oulad_etl</w:t>
            </w:r>
          </w:p>
        </w:tc>
      </w:tr>
      <w:tr>
        <w:tc>
          <w:tcPr>
            <w:tcW w:type="dxa" w:w="2160"/>
            <w:tcMar>
              <w:top w:w="80" w:type="dxa"/>
              <w:start w:w="120" w:type="dxa"/>
              <w:bottom w:w="80" w:type="dxa"/>
              <w:end w:w="120" w:type="dxa"/>
            </w:tcMar>
            <w:vAlign w:val="center"/>
          </w:tcPr>
          <w:p>
            <w:pPr>
              <w:spacing w:before="0" w:after="0" w:line="240" w:lineRule="auto"/>
              <w:jc w:val="center"/>
            </w:pPr>
            <w:r>
              <w:rPr>
                <w:rFonts w:ascii="Calibri" w:hAnsi="Calibri"/>
                <w:sz w:val="20"/>
              </w:rPr>
              <w:t>Report date</w:t>
            </w:r>
          </w:p>
        </w:tc>
        <w:tc>
          <w:tcPr>
            <w:tcW w:type="dxa" w:w="7200"/>
            <w:tcMar>
              <w:top w:w="80" w:type="dxa"/>
              <w:start w:w="120" w:type="dxa"/>
              <w:bottom w:w="80" w:type="dxa"/>
              <w:end w:w="120" w:type="dxa"/>
            </w:tcMar>
            <w:vAlign w:val="center"/>
          </w:tcPr>
          <w:p>
            <w:pPr>
              <w:spacing w:before="0" w:after="0" w:line="240" w:lineRule="auto"/>
              <w:jc w:val="left"/>
            </w:pPr>
            <w:r>
              <w:rPr>
                <w:rFonts w:ascii="Calibri" w:hAnsi="Calibri"/>
                <w:sz w:val="20"/>
              </w:rPr>
              <w:t>21 July 2026</w:t>
            </w:r>
          </w:p>
        </w:tc>
      </w:tr>
      <w:tr>
        <w:tc>
          <w:tcPr>
            <w:tcW w:type="dxa" w:w="2160"/>
            <w:tcMar>
              <w:top w:w="80" w:type="dxa"/>
              <w:start w:w="120" w:type="dxa"/>
              <w:bottom w:w="80" w:type="dxa"/>
              <w:end w:w="120" w:type="dxa"/>
            </w:tcMar>
            <w:vAlign w:val="center"/>
          </w:tcPr>
          <w:p>
            <w:pPr>
              <w:spacing w:before="0" w:after="0" w:line="240" w:lineRule="auto"/>
              <w:jc w:val="center"/>
            </w:pPr>
            <w:r>
              <w:rPr>
                <w:rFonts w:ascii="Calibri" w:hAnsi="Calibri"/>
                <w:sz w:val="20"/>
              </w:rPr>
              <w:t>Overall status</w:t>
            </w:r>
          </w:p>
        </w:tc>
        <w:tc>
          <w:tcPr>
            <w:tcW w:type="dxa" w:w="7200"/>
            <w:tcMar>
              <w:top w:w="80" w:type="dxa"/>
              <w:start w:w="120" w:type="dxa"/>
              <w:bottom w:w="80" w:type="dxa"/>
              <w:end w:w="120" w:type="dxa"/>
            </w:tcMar>
            <w:vAlign w:val="center"/>
          </w:tcPr>
          <w:p>
            <w:pPr>
              <w:spacing w:before="0" w:after="0" w:line="240" w:lineRule="auto"/>
              <w:jc w:val="left"/>
            </w:pPr>
            <w:r>
              <w:rPr>
                <w:rFonts w:ascii="Calibri" w:hAnsi="Calibri"/>
                <w:sz w:val="20"/>
              </w:rPr>
              <w:t>PASS — 31 checks passed, 0 failed</w:t>
            </w:r>
          </w:p>
        </w:tc>
      </w:tr>
    </w:tbl>
    <w:p>
      <w:pPr>
        <w:spacing w:after="40"/>
      </w:pPr>
    </w:p>
    <w:p>
      <w:pPr>
        <w:spacing w:before="1000"/>
        <w:jc w:val="center"/>
      </w:pPr>
      <w:r>
        <w:rPr>
          <w:rFonts w:ascii="Calibri" w:hAnsi="Calibri"/>
          <w:i/>
          <w:color w:val="595959"/>
          <w:sz w:val="19"/>
        </w:rPr>
        <w:t>Prepared as evidence for Task 6 of the database coursework</w:t>
      </w:r>
    </w:p>
    <w:p>
      <w:r>
        <w:br w:type="page"/>
      </w:r>
    </w:p>
    <w:p>
      <w:pPr>
        <w:pStyle w:val="Heading1"/>
        <w:keepNext/>
      </w:pPr>
      <w:r>
        <w:t>Executive Summary</w:t>
      </w:r>
    </w:p>
    <w:p>
      <w:pPr>
        <w:spacing w:before="0" w:after="120" w:line="264" w:lineRule="auto"/>
      </w:pPr>
      <w:r>
        <w:rPr>
          <w:rFonts w:ascii="Calibri" w:hAnsi="Calibri"/>
          <w:sz w:val="22"/>
        </w:rPr>
        <w:t>A repeatable hybrid ELT pipeline was implemented in Python and MySQL to move seven raw OULAD CSV files through raw staging, constrained cleaning and analytics layers. Python orchestrates validation, bulk loading, transformation, logging and report generation, while MySQL performs set-based transformations and aggregation. A separate schema, oulad_etl, protects the completed oulad_db implementation from accidental changes.</w:t>
      </w:r>
    </w:p>
    <w:p>
      <w:pPr>
        <w:spacing w:before="0" w:after="120" w:line="264" w:lineRule="auto"/>
      </w:pPr>
      <w:r>
        <w:rPr>
          <w:rFonts w:ascii="Calibri" w:hAnsi="Calibri"/>
          <w:sz w:val="22"/>
        </w:rPr>
        <w:t>The pipeline reconciled 10,900,970 raw rows, transformed the data into seven cleaned relations and consolidated 2,195,960 repeated student-resource-day interaction rows. The final interaction relation contains 8,459,320 unique daily-grain records. Four reusable analytics tables were then produced, including one row for each of 32,593 registrations. The final quality stage recorded 31 passed checks, zero failures and seven documented source characteristics.</w:t>
      </w:r>
    </w:p>
    <w:p>
      <w:pPr>
        <w:spacing w:before="80" w:after="200" w:line="264" w:lineRule="auto"/>
        <w:shd w:fill="E8EEF5"/>
        <w:pBdr>
          <w:left w:val="single" w:sz="18" w:space="8" w:color="2E74B5"/>
        </w:pBdr>
      </w:pPr>
      <w:r>
        <w:rPr>
          <w:rFonts w:ascii="Calibri" w:hAnsi="Calibri"/>
          <w:b/>
          <w:color w:val="0B2545"/>
          <w:sz w:val="22"/>
        </w:rPr>
        <w:t xml:space="preserve">Outcome: </w:t>
      </w:r>
      <w:r>
        <w:rPr>
          <w:rFonts w:ascii="Calibri" w:hAnsi="Calibri"/>
          <w:color w:val="0B2545"/>
          <w:sz w:val="22"/>
        </w:rPr>
        <w:t>The implementation satisfies the Task 6 requirement for a pipeline from raw files to staging tables, cleaned tables and an analytics layer, together with repeatable data-quality checks and a short data-quality report.</w:t>
      </w:r>
    </w:p>
    <w:p>
      <w:pPr>
        <w:pStyle w:val="Heading1"/>
        <w:keepNext/>
      </w:pPr>
      <w:r>
        <w:t>1. Requirement and Scope</w:t>
      </w:r>
    </w:p>
    <w:p>
      <w:pPr>
        <w:spacing w:before="0" w:after="120" w:line="264" w:lineRule="auto"/>
      </w:pPr>
      <w:r>
        <w:rPr>
          <w:rFonts w:ascii="Calibri" w:hAnsi="Calibri"/>
          <w:sz w:val="22"/>
        </w:rPr>
        <w:t>Task 6 required an ETL/ELT pipeline that begins with raw files, loads staging tables, produces cleaned tables and creates an analytics layer. It also required data-quality checks and a concise quality report. The implementation uses ELT for scale: extraction and bulk loading are controlled by Python, while the large transformations run within MySQL close to the data.</w:t>
      </w:r>
    </w:p>
    <w:p>
      <w:pPr>
        <w:numPr>
          <w:ilvl w:val="0"/>
          <w:numId w:val="10"/>
        </w:numPr>
        <w:spacing w:before="0" w:after="160" w:line="280" w:lineRule="auto"/>
      </w:pPr>
      <w:r>
        <w:rPr>
          <w:rFonts w:ascii="Calibri" w:hAnsi="Calibri"/>
          <w:sz w:val="22"/>
        </w:rPr>
        <w:t>Input: seven original OULAD CSV files stored unchanged in the local data folder.</w:t>
      </w:r>
    </w:p>
    <w:p>
      <w:pPr>
        <w:numPr>
          <w:ilvl w:val="0"/>
          <w:numId w:val="10"/>
        </w:numPr>
        <w:spacing w:before="0" w:after="160" w:line="280" w:lineRule="auto"/>
      </w:pPr>
      <w:r>
        <w:rPr>
          <w:rFonts w:ascii="Calibri" w:hAnsi="Calibri"/>
          <w:sz w:val="22"/>
        </w:rPr>
        <w:t>Staging: seven stg_* tables preserve source values as text for traceability.</w:t>
      </w:r>
    </w:p>
    <w:p>
      <w:pPr>
        <w:numPr>
          <w:ilvl w:val="0"/>
          <w:numId w:val="10"/>
        </w:numPr>
        <w:spacing w:before="0" w:after="160" w:line="280" w:lineRule="auto"/>
      </w:pPr>
      <w:r>
        <w:rPr>
          <w:rFonts w:ascii="Calibri" w:hAnsi="Calibri"/>
          <w:sz w:val="22"/>
        </w:rPr>
        <w:t>Cleaning: seven clean_* tables apply data types, transformations and relational constraints.</w:t>
      </w:r>
    </w:p>
    <w:p>
      <w:pPr>
        <w:numPr>
          <w:ilvl w:val="0"/>
          <w:numId w:val="10"/>
        </w:numPr>
        <w:spacing w:before="0" w:after="160" w:line="280" w:lineRule="auto"/>
      </w:pPr>
      <w:r>
        <w:rPr>
          <w:rFonts w:ascii="Calibri" w:hAnsi="Calibri"/>
          <w:sz w:val="22"/>
        </w:rPr>
        <w:t>Analytics: four analytics_* tables expose reporting-ready measures at useful grains.</w:t>
      </w:r>
    </w:p>
    <w:p>
      <w:pPr>
        <w:numPr>
          <w:ilvl w:val="0"/>
          <w:numId w:val="10"/>
        </w:numPr>
        <w:spacing w:before="0" w:after="160" w:line="280" w:lineRule="auto"/>
      </w:pPr>
      <w:r>
        <w:rPr>
          <w:rFonts w:ascii="Calibri" w:hAnsi="Calibri"/>
          <w:sz w:val="22"/>
        </w:rPr>
        <w:t>Quality: 38 checks/results are persisted in MySQL and exported to CSV and Markdown.</w:t>
      </w:r>
    </w:p>
    <w:p>
      <w:r>
        <w:br w:type="page"/>
      </w:r>
    </w:p>
    <w:p>
      <w:pPr>
        <w:pStyle w:val="Heading1"/>
        <w:keepNext/>
      </w:pPr>
      <w:r>
        <w:t>2. Architecture and Tools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Tool</w:t>
            </w:r>
          </w:p>
        </w:tc>
        <w:tc>
          <w:tcPr>
            <w:tcW w:type="dxa" w:w="68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Purpose</w:t>
            </w:r>
          </w:p>
        </w:tc>
      </w:tr>
      <w:tr>
        <w:tc>
          <w:tcPr>
            <w:tcW w:type="dxa" w:w="2500"/>
            <w:tcMar>
              <w:top w:w="80" w:type="dxa"/>
              <w:start w:w="120" w:type="dxa"/>
              <w:bottom w:w="80" w:type="dxa"/>
              <w:end w:w="120" w:type="dxa"/>
            </w:tcMar>
            <w:vAlign w:val="center"/>
          </w:tcPr>
          <w:p>
            <w:pPr>
              <w:spacing w:before="0" w:after="0" w:line="240" w:lineRule="auto"/>
              <w:jc w:val="center"/>
            </w:pPr>
            <w:r>
              <w:rPr>
                <w:rFonts w:ascii="Calibri" w:hAnsi="Calibri"/>
                <w:sz w:val="19"/>
              </w:rPr>
              <w:t>Python 3.11.9</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sz w:val="19"/>
              </w:rPr>
              <w:t>Pipeline orchestration, file validation, logging and report export</w:t>
            </w:r>
          </w:p>
        </w:tc>
      </w:tr>
      <w:tr>
        <w:tc>
          <w:tcPr>
            <w:tcW w:type="dxa" w:w="2500"/>
            <w:tcMar>
              <w:top w:w="80" w:type="dxa"/>
              <w:start w:w="120" w:type="dxa"/>
              <w:bottom w:w="80" w:type="dxa"/>
              <w:end w:w="120" w:type="dxa"/>
            </w:tcMar>
            <w:vAlign w:val="center"/>
          </w:tcPr>
          <w:p>
            <w:pPr>
              <w:spacing w:before="0" w:after="0" w:line="240" w:lineRule="auto"/>
              <w:jc w:val="center"/>
            </w:pPr>
            <w:r>
              <w:rPr>
                <w:rFonts w:ascii="Calibri" w:hAnsi="Calibri"/>
                <w:sz w:val="19"/>
              </w:rPr>
              <w:t>MySQL 8.4.9</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sz w:val="19"/>
              </w:rPr>
              <w:t>Bulk storage, set-based cleaning, constraints and analytics</w:t>
            </w:r>
          </w:p>
        </w:tc>
      </w:tr>
      <w:tr>
        <w:tc>
          <w:tcPr>
            <w:tcW w:type="dxa" w:w="2500"/>
            <w:tcMar>
              <w:top w:w="80" w:type="dxa"/>
              <w:start w:w="120" w:type="dxa"/>
              <w:bottom w:w="80" w:type="dxa"/>
              <w:end w:w="120" w:type="dxa"/>
            </w:tcMar>
            <w:vAlign w:val="center"/>
          </w:tcPr>
          <w:p>
            <w:pPr>
              <w:spacing w:before="0" w:after="0" w:line="240" w:lineRule="auto"/>
              <w:jc w:val="center"/>
            </w:pPr>
            <w:r>
              <w:rPr>
                <w:rFonts w:ascii="Calibri" w:hAnsi="Calibri"/>
                <w:sz w:val="19"/>
              </w:rPr>
              <w:t>VS Code + Workbench</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sz w:val="19"/>
              </w:rPr>
              <w:t>Project execution, schema inspection and independent verification</w:t>
            </w:r>
          </w:p>
        </w:tc>
      </w:tr>
      <w:tr>
        <w:tc>
          <w:tcPr>
            <w:tcW w:type="dxa" w:w="2500"/>
            <w:tcMar>
              <w:top w:w="80" w:type="dxa"/>
              <w:start w:w="120" w:type="dxa"/>
              <w:bottom w:w="80" w:type="dxa"/>
              <w:end w:w="120" w:type="dxa"/>
            </w:tcMar>
            <w:vAlign w:val="center"/>
          </w:tcPr>
          <w:p>
            <w:pPr>
              <w:spacing w:before="0" w:after="0" w:line="240" w:lineRule="auto"/>
              <w:jc w:val="center"/>
            </w:pPr>
            <w:r>
              <w:rPr>
                <w:rFonts w:ascii="Calibri" w:hAnsi="Calibri"/>
                <w:sz w:val="19"/>
              </w:rPr>
              <w:t>SQLAlchemy + PyMySQL</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sz w:val="19"/>
              </w:rPr>
              <w:t>Database connection, SQL execution and long-operation timeout support</w:t>
            </w:r>
          </w:p>
        </w:tc>
      </w:tr>
      <w:tr>
        <w:tc>
          <w:tcPr>
            <w:tcW w:type="dxa" w:w="2500"/>
            <w:tcMar>
              <w:top w:w="80" w:type="dxa"/>
              <w:start w:w="120" w:type="dxa"/>
              <w:bottom w:w="80" w:type="dxa"/>
              <w:end w:w="120" w:type="dxa"/>
            </w:tcMar>
            <w:vAlign w:val="center"/>
          </w:tcPr>
          <w:p>
            <w:pPr>
              <w:spacing w:before="0" w:after="0" w:line="240" w:lineRule="auto"/>
              <w:jc w:val="center"/>
            </w:pPr>
            <w:r>
              <w:rPr>
                <w:rFonts w:ascii="Calibri" w:hAnsi="Calibri"/>
                <w:sz w:val="19"/>
              </w:rPr>
              <w:t>python-dotenv 1.2.2</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sz w:val="19"/>
              </w:rPr>
              <w:t>Loads credentials from a local .env configuration file</w:t>
            </w:r>
          </w:p>
        </w:tc>
      </w:tr>
    </w:tbl>
    <w:p>
      <w:pPr>
        <w:spacing w:after="40"/>
      </w:pPr>
    </w:p>
    <w:p>
      <w:pPr>
        <w:spacing w:before="0" w:after="120" w:line="264" w:lineRule="auto"/>
      </w:pPr>
      <w:r>
        <w:rPr>
          <w:rFonts w:ascii="Calibri" w:hAnsi="Calibri"/>
          <w:sz w:val="22"/>
        </w:rPr>
        <w:t>Pandas was initially installed, but a Windows Application Control policy blocked one of its compiled DLLs. The pipeline was therefore designed with Python's built-in csv module for source validation and MySQL LOAD DATA LOCAL INFILE for loading. This removed the dependency on pandas and improved the large-file loading path.</w:t>
      </w:r>
    </w:p>
    <w:p>
      <w:pPr>
        <w:pStyle w:val="Heading2"/>
        <w:keepNext/>
      </w:pPr>
      <w:r>
        <w:t>2.1 Layered pipeline design</w:t>
      </w:r>
    </w:p>
    <w:tbl>
      <w:tblPr>
        <w:tblStyle w:val="TableGrid"/>
        <w:tblW w:type="dxa" w:w="9360"/>
        <w:tblLayout w:type="fixed"/>
        <w:tblLook w:firstColumn="1" w:firstRow="1" w:lastColumn="0" w:lastRow="0" w:noHBand="0" w:noVBand="1" w:val="04A0"/>
        <w:jc w:val="left"/>
        <w:tblInd w:w="120" w:type="dxa"/>
      </w:tblPr>
      <w:tblGrid>
        <w:gridCol w:w="1450"/>
        <w:gridCol w:w="2800"/>
        <w:gridCol w:w="5110"/>
      </w:tblGrid>
      <w:tr>
        <w:trPr>
          <w:tblHeader w:val="true"/>
        </w:trPr>
        <w:tc>
          <w:tcPr>
            <w:tcW w:type="dxa" w:w="14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Layer</w:t>
            </w:r>
          </w:p>
        </w:tc>
        <w:tc>
          <w:tcPr>
            <w:tcW w:type="dxa" w:w="28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Objects</w:t>
            </w:r>
          </w:p>
        </w:tc>
        <w:tc>
          <w:tcPr>
            <w:tcW w:type="dxa" w:w="51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Purpose</w:t>
            </w:r>
          </w:p>
        </w:tc>
      </w:tr>
      <w:tr>
        <w:tc>
          <w:tcPr>
            <w:tcW w:type="dxa" w:w="1450"/>
            <w:tcMar>
              <w:top w:w="80" w:type="dxa"/>
              <w:start w:w="120" w:type="dxa"/>
              <w:bottom w:w="80" w:type="dxa"/>
              <w:end w:w="120" w:type="dxa"/>
            </w:tcMar>
            <w:vAlign w:val="center"/>
          </w:tcPr>
          <w:p>
            <w:pPr>
              <w:spacing w:before="0" w:after="0" w:line="240" w:lineRule="auto"/>
              <w:jc w:val="center"/>
            </w:pPr>
            <w:r>
              <w:rPr>
                <w:rFonts w:ascii="Calibri" w:hAnsi="Calibri"/>
                <w:sz w:val="18"/>
              </w:rPr>
              <w:t>Raw</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8"/>
              </w:rPr>
              <w:t>7 CSV files</w:t>
            </w:r>
          </w:p>
        </w:tc>
        <w:tc>
          <w:tcPr>
            <w:tcW w:type="dxa" w:w="5110"/>
            <w:tcMar>
              <w:top w:w="80" w:type="dxa"/>
              <w:start w:w="120" w:type="dxa"/>
              <w:bottom w:w="80" w:type="dxa"/>
              <w:end w:w="120" w:type="dxa"/>
            </w:tcMar>
            <w:vAlign w:val="center"/>
          </w:tcPr>
          <w:p>
            <w:pPr>
              <w:spacing w:before="0" w:after="0" w:line="240" w:lineRule="auto"/>
              <w:jc w:val="left"/>
            </w:pPr>
            <w:r>
              <w:rPr>
                <w:rFonts w:ascii="Calibri" w:hAnsi="Calibri"/>
                <w:sz w:val="18"/>
              </w:rPr>
              <w:t>Immutable source evidence</w:t>
            </w:r>
          </w:p>
        </w:tc>
      </w:tr>
      <w:tr>
        <w:tc>
          <w:tcPr>
            <w:tcW w:type="dxa" w:w="1450"/>
            <w:tcMar>
              <w:top w:w="80" w:type="dxa"/>
              <w:start w:w="120" w:type="dxa"/>
              <w:bottom w:w="80" w:type="dxa"/>
              <w:end w:w="120" w:type="dxa"/>
            </w:tcMar>
            <w:vAlign w:val="center"/>
          </w:tcPr>
          <w:p>
            <w:pPr>
              <w:spacing w:before="0" w:after="0" w:line="240" w:lineRule="auto"/>
              <w:jc w:val="center"/>
            </w:pPr>
            <w:r>
              <w:rPr>
                <w:rFonts w:ascii="Calibri" w:hAnsi="Calibri"/>
                <w:sz w:val="18"/>
              </w:rPr>
              <w:t>Staging</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8"/>
              </w:rPr>
              <w:t>7 stg_* tables</w:t>
            </w:r>
          </w:p>
        </w:tc>
        <w:tc>
          <w:tcPr>
            <w:tcW w:type="dxa" w:w="5110"/>
            <w:tcMar>
              <w:top w:w="80" w:type="dxa"/>
              <w:start w:w="120" w:type="dxa"/>
              <w:bottom w:w="80" w:type="dxa"/>
              <w:end w:w="120" w:type="dxa"/>
            </w:tcMar>
            <w:vAlign w:val="center"/>
          </w:tcPr>
          <w:p>
            <w:pPr>
              <w:spacing w:before="0" w:after="0" w:line="240" w:lineRule="auto"/>
              <w:jc w:val="left"/>
            </w:pPr>
            <w:r>
              <w:rPr>
                <w:rFonts w:ascii="Calibri" w:hAnsi="Calibri"/>
                <w:sz w:val="18"/>
              </w:rPr>
              <w:t>Lossless raw ingestion as text</w:t>
            </w:r>
          </w:p>
        </w:tc>
      </w:tr>
      <w:tr>
        <w:tc>
          <w:tcPr>
            <w:tcW w:type="dxa" w:w="1450"/>
            <w:tcMar>
              <w:top w:w="80" w:type="dxa"/>
              <w:start w:w="120" w:type="dxa"/>
              <w:bottom w:w="80" w:type="dxa"/>
              <w:end w:w="120" w:type="dxa"/>
            </w:tcMar>
            <w:vAlign w:val="center"/>
          </w:tcPr>
          <w:p>
            <w:pPr>
              <w:spacing w:before="0" w:after="0" w:line="240" w:lineRule="auto"/>
              <w:jc w:val="center"/>
            </w:pPr>
            <w:r>
              <w:rPr>
                <w:rFonts w:ascii="Calibri" w:hAnsi="Calibri"/>
                <w:sz w:val="18"/>
              </w:rPr>
              <w:t>Clean</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8"/>
              </w:rPr>
              <w:t>7 clean_* tables</w:t>
            </w:r>
          </w:p>
        </w:tc>
        <w:tc>
          <w:tcPr>
            <w:tcW w:type="dxa" w:w="5110"/>
            <w:tcMar>
              <w:top w:w="80" w:type="dxa"/>
              <w:start w:w="120" w:type="dxa"/>
              <w:bottom w:w="80" w:type="dxa"/>
              <w:end w:w="120" w:type="dxa"/>
            </w:tcMar>
            <w:vAlign w:val="center"/>
          </w:tcPr>
          <w:p>
            <w:pPr>
              <w:spacing w:before="0" w:after="0" w:line="240" w:lineRule="auto"/>
              <w:jc w:val="left"/>
            </w:pPr>
            <w:r>
              <w:rPr>
                <w:rFonts w:ascii="Calibri" w:hAnsi="Calibri"/>
                <w:sz w:val="18"/>
              </w:rPr>
              <w:t>Typed, standardised and constrained relations</w:t>
            </w:r>
          </w:p>
        </w:tc>
      </w:tr>
      <w:tr>
        <w:tc>
          <w:tcPr>
            <w:tcW w:type="dxa" w:w="1450"/>
            <w:tcMar>
              <w:top w:w="80" w:type="dxa"/>
              <w:start w:w="120" w:type="dxa"/>
              <w:bottom w:w="80" w:type="dxa"/>
              <w:end w:w="120" w:type="dxa"/>
            </w:tcMar>
            <w:vAlign w:val="center"/>
          </w:tcPr>
          <w:p>
            <w:pPr>
              <w:spacing w:before="0" w:after="0" w:line="240" w:lineRule="auto"/>
              <w:jc w:val="center"/>
            </w:pPr>
            <w:r>
              <w:rPr>
                <w:rFonts w:ascii="Calibri" w:hAnsi="Calibri"/>
                <w:sz w:val="18"/>
              </w:rPr>
              <w:t>Analytics</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8"/>
              </w:rPr>
              <w:t>4 analytics_* tables</w:t>
            </w:r>
          </w:p>
        </w:tc>
        <w:tc>
          <w:tcPr>
            <w:tcW w:type="dxa" w:w="5110"/>
            <w:tcMar>
              <w:top w:w="80" w:type="dxa"/>
              <w:start w:w="120" w:type="dxa"/>
              <w:bottom w:w="80" w:type="dxa"/>
              <w:end w:w="120" w:type="dxa"/>
            </w:tcMar>
            <w:vAlign w:val="center"/>
          </w:tcPr>
          <w:p>
            <w:pPr>
              <w:spacing w:before="0" w:after="0" w:line="240" w:lineRule="auto"/>
              <w:jc w:val="left"/>
            </w:pPr>
            <w:r>
              <w:rPr>
                <w:rFonts w:ascii="Calibri" w:hAnsi="Calibri"/>
                <w:sz w:val="18"/>
              </w:rPr>
              <w:t>Reusable learning-analytics summaries</w:t>
            </w:r>
          </w:p>
        </w:tc>
      </w:tr>
      <w:tr>
        <w:tc>
          <w:tcPr>
            <w:tcW w:type="dxa" w:w="1450"/>
            <w:tcMar>
              <w:top w:w="80" w:type="dxa"/>
              <w:start w:w="120" w:type="dxa"/>
              <w:bottom w:w="80" w:type="dxa"/>
              <w:end w:w="120" w:type="dxa"/>
            </w:tcMar>
            <w:vAlign w:val="center"/>
          </w:tcPr>
          <w:p>
            <w:pPr>
              <w:spacing w:before="0" w:after="0" w:line="240" w:lineRule="auto"/>
              <w:jc w:val="center"/>
            </w:pPr>
            <w:r>
              <w:rPr>
                <w:rFonts w:ascii="Calibri" w:hAnsi="Calibri"/>
                <w:sz w:val="18"/>
              </w:rPr>
              <w:t>Quality</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8"/>
              </w:rPr>
              <w:t>data_quality_results + exports</w:t>
            </w:r>
          </w:p>
        </w:tc>
        <w:tc>
          <w:tcPr>
            <w:tcW w:type="dxa" w:w="5110"/>
            <w:tcMar>
              <w:top w:w="80" w:type="dxa"/>
              <w:start w:w="120" w:type="dxa"/>
              <w:bottom w:w="80" w:type="dxa"/>
              <w:end w:w="120" w:type="dxa"/>
            </w:tcMar>
            <w:vAlign w:val="center"/>
          </w:tcPr>
          <w:p>
            <w:pPr>
              <w:spacing w:before="0" w:after="0" w:line="240" w:lineRule="auto"/>
              <w:jc w:val="left"/>
            </w:pPr>
            <w:r>
              <w:rPr>
                <w:rFonts w:ascii="Calibri" w:hAnsi="Calibri"/>
                <w:sz w:val="18"/>
              </w:rPr>
              <w:t>Reconciliation, validity and lineage evidence</w:t>
            </w:r>
          </w:p>
        </w:tc>
      </w:tr>
    </w:tbl>
    <w:p>
      <w:pPr>
        <w:spacing w:after="40"/>
      </w:pPr>
    </w:p>
    <w:p>
      <w:pPr>
        <w:spacing w:before="80" w:after="200" w:line="264" w:lineRule="auto"/>
        <w:shd w:fill="E8EEF5"/>
        <w:pBdr>
          <w:left w:val="single" w:sz="18" w:space="8" w:color="2E74B5"/>
        </w:pBdr>
      </w:pPr>
      <w:r>
        <w:rPr>
          <w:rFonts w:ascii="Calibri" w:hAnsi="Calibri"/>
          <w:b/>
          <w:color w:val="0B2545"/>
          <w:sz w:val="22"/>
        </w:rPr>
        <w:t xml:space="preserve">Safety boundary: </w:t>
      </w:r>
      <w:r>
        <w:rPr>
          <w:rFonts w:ascii="Calibri" w:hAnsi="Calibri"/>
          <w:color w:val="0B2545"/>
          <w:sz w:val="22"/>
        </w:rPr>
        <w:t>Every script verifies that MYSQL_DATABASE equals oulad_etl before changing data. The coursework schema oulad_db is never modified by the Task 6 pipeline.</w:t>
      </w:r>
    </w:p>
    <w:p>
      <w:pPr>
        <w:pStyle w:val="Heading2"/>
        <w:keepNext/>
      </w:pPr>
      <w:r>
        <w:t>2.2 Reproducibility controls</w:t>
      </w:r>
    </w:p>
    <w:p>
      <w:pPr>
        <w:numPr>
          <w:ilvl w:val="0"/>
          <w:numId w:val="10"/>
        </w:numPr>
        <w:spacing w:before="0" w:after="160" w:line="280" w:lineRule="auto"/>
      </w:pPr>
      <w:r>
        <w:rPr>
          <w:rFonts w:ascii="Calibri" w:hAnsi="Calibri"/>
          <w:sz w:val="22"/>
        </w:rPr>
        <w:t>The .env file separates credentials from code, and every script verifies the oulad_etl target schema.</w:t>
      </w:r>
    </w:p>
    <w:p>
      <w:pPr>
        <w:numPr>
          <w:ilvl w:val="0"/>
          <w:numId w:val="10"/>
        </w:numPr>
        <w:spacing w:before="0" w:after="160" w:line="280" w:lineRule="auto"/>
      </w:pPr>
      <w:r>
        <w:rPr>
          <w:rFonts w:ascii="Calibri" w:hAnsi="Calibri"/>
          <w:sz w:val="22"/>
        </w:rPr>
        <w:t>LOAD, CLEAN and ANALYTICS confirmations guard predictable truncate-and-reload operations.</w:t>
      </w:r>
    </w:p>
    <w:p>
      <w:pPr>
        <w:numPr>
          <w:ilvl w:val="0"/>
          <w:numId w:val="10"/>
        </w:numPr>
        <w:spacing w:before="0" w:after="160" w:line="280" w:lineRule="auto"/>
      </w:pPr>
      <w:r>
        <w:rPr>
          <w:rFonts w:ascii="Calibri" w:hAnsi="Calibri"/>
          <w:sz w:val="22"/>
        </w:rPr>
        <w:t>Expected counts stop incomplete runs; etl_run_log records lineage, timing, status and messages.</w:t>
      </w:r>
    </w:p>
    <w:p>
      <w:pPr>
        <w:numPr>
          <w:ilvl w:val="0"/>
          <w:numId w:val="10"/>
        </w:numPr>
        <w:spacing w:before="0" w:after="160" w:line="280" w:lineRule="auto"/>
      </w:pPr>
      <w:r>
        <w:rPr>
          <w:rFonts w:ascii="Calibri" w:hAnsi="Calibri"/>
          <w:sz w:val="22"/>
        </w:rPr>
        <w:t>Two-hour read/write timeouts support large MySQL operations without Workbench disconnections.</w:t>
      </w:r>
    </w:p>
    <w:p>
      <w:r>
        <w:br w:type="page"/>
      </w:r>
    </w:p>
    <w:p>
      <w:pPr>
        <w:pStyle w:val="Heading1"/>
        <w:keepNext/>
      </w:pPr>
      <w:r>
        <w:t>3. Extract and Load: Raw Files to Staging</w:t>
      </w:r>
    </w:p>
    <w:p>
      <w:pPr>
        <w:spacing w:before="0" w:after="120" w:line="264" w:lineRule="auto"/>
      </w:pPr>
      <w:r>
        <w:rPr>
          <w:rFonts w:ascii="Calibri" w:hAnsi="Calibri"/>
          <w:sz w:val="22"/>
        </w:rPr>
        <w:t>The preflight program checks that all seven source files exist and that their headers exactly match the documented OULAD structure. It reads only the header, so even the 432.81 MB studentVle.csv file is validated quickly. The staging loader then creates raw text tables and uses LOAD DATA LOCAL INFILE for efficient ingestion.</w:t>
      </w:r>
    </w:p>
    <w:tbl>
      <w:tblPr>
        <w:tblStyle w:val="TableGrid"/>
        <w:tblW w:type="dxa" w:w="9360"/>
        <w:tblLayout w:type="fixed"/>
        <w:tblLook w:firstColumn="1" w:firstRow="1" w:lastColumn="0" w:lastRow="0" w:noHBand="0" w:noVBand="1" w:val="04A0"/>
        <w:jc w:val="left"/>
        <w:tblInd w:w="120" w:type="dxa"/>
      </w:tblPr>
      <w:tblGrid>
        <w:gridCol w:w="2100"/>
        <w:gridCol w:w="2600"/>
        <w:gridCol w:w="1750"/>
        <w:gridCol w:w="1400"/>
        <w:gridCol w:w="1510"/>
      </w:tblGrid>
      <w:tr>
        <w:trPr>
          <w:tblHeader w:val="true"/>
        </w:trPr>
        <w:tc>
          <w:tcPr>
            <w:tcW w:type="dxa" w:w="21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Source file</w:t>
            </w:r>
          </w:p>
        </w:tc>
        <w:tc>
          <w:tcPr>
            <w:tcW w:type="dxa" w:w="26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Staging table</w:t>
            </w:r>
          </w:p>
        </w:tc>
        <w:tc>
          <w:tcPr>
            <w:tcW w:type="dxa" w:w="17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Rows</w:t>
            </w:r>
          </w:p>
        </w:tc>
        <w:tc>
          <w:tcPr>
            <w:tcW w:type="dxa" w:w="14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Seconds</w:t>
            </w:r>
          </w:p>
        </w:tc>
        <w:tc>
          <w:tcPr>
            <w:tcW w:type="dxa" w:w="15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Status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courses.csv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stg_courses</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22</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0.07</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assessments.csv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stg_assessments</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206</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0.04</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vle.csv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stg_vle</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6,364</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0.08</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studentInfo.csv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stg_student_info</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32,593</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0.45</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studentRegistration.csv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stg_student_registration</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32,593</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0.40</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studentAssessment.csv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stg_student_assessment</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173,912</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1.70</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2100"/>
            <w:tcMar>
              <w:top w:w="80" w:type="dxa"/>
              <w:start w:w="120" w:type="dxa"/>
              <w:bottom w:w="80" w:type="dxa"/>
              <w:end w:w="120" w:type="dxa"/>
            </w:tcMar>
            <w:vAlign w:val="center"/>
          </w:tcPr>
          <w:p>
            <w:pPr>
              <w:spacing w:before="0" w:after="0" w:line="240" w:lineRule="auto"/>
              <w:jc w:val="left"/>
            </w:pPr>
            <w:r>
              <w:rPr>
                <w:rFonts w:ascii="Calibri" w:hAnsi="Calibri"/>
                <w:sz w:val="17"/>
              </w:rPr>
              <w:t>studentVle.csv</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sz w:val="17"/>
              </w:rPr>
              <w:t>stg_student_vle</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sz w:val="17"/>
              </w:rPr>
              <w:t>10,655,280</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sz w:val="17"/>
              </w:rPr>
              <w:t>142.92</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bl>
    <w:p>
      <w:pPr>
        <w:spacing w:after="40"/>
      </w:pPr>
    </w:p>
    <w:p>
      <w:pPr>
        <w:spacing w:before="0" w:after="120" w:line="264" w:lineRule="auto"/>
      </w:pPr>
      <w:r>
        <w:rPr>
          <w:rFonts w:ascii="Calibri" w:hAnsi="Calibri"/>
          <w:sz w:val="22"/>
        </w:rPr>
        <w:t>All seven row counts matched the source profiles. The total raw load was 10,900,970 rows. The largest source, studentVle.csv, loaded 10,655,280 rows in 142.92 seconds; the remaining six sources loaded in 2.74 seconds combined.</w:t>
      </w:r>
    </w:p>
    <w:p>
      <w:pPr>
        <w:keepNext/>
        <w:spacing w:before="80" w:after="40"/>
        <w:jc w:val="center"/>
      </w:pPr>
      <w:r>
        <w:drawing>
          <wp:inline xmlns:a="http://schemas.openxmlformats.org/drawingml/2006/main" xmlns:pic="http://schemas.openxmlformats.org/drawingml/2006/picture">
            <wp:extent cx="5715000" cy="3170738"/>
            <wp:docPr id="1" name="Picture 1" descr="VS Code terminal showing seven successful raw CSV loads, a total of 10,900,970 rows and matching expected total." title="Figure 1. Successful bulk loading and reconciliation of all seven staging tables."/>
            <wp:cNvGraphicFramePr>
              <a:graphicFrameLocks noChangeAspect="1"/>
            </wp:cNvGraphicFramePr>
            <a:graphic>
              <a:graphicData uri="http://schemas.openxmlformats.org/drawingml/2006/picture">
                <pic:pic>
                  <pic:nvPicPr>
                    <pic:cNvPr id="0" name="image(1297).png"/>
                    <pic:cNvPicPr/>
                  </pic:nvPicPr>
                  <pic:blipFill>
                    <a:blip r:embed="rId11"/>
                    <a:stretch>
                      <a:fillRect/>
                    </a:stretch>
                  </pic:blipFill>
                  <pic:spPr>
                    <a:xfrm>
                      <a:off x="0" y="0"/>
                      <a:ext cx="5715000" cy="3170738"/>
                    </a:xfrm>
                    <a:prstGeom prst="rect"/>
                  </pic:spPr>
                </pic:pic>
              </a:graphicData>
            </a:graphic>
          </wp:inline>
        </w:drawing>
      </w:r>
    </w:p>
    <w:p>
      <w:pPr>
        <w:pStyle w:val="Caption"/>
        <w:spacing w:before="40" w:after="160"/>
        <w:jc w:val="center"/>
      </w:pPr>
      <w:r>
        <w:rPr>
          <w:rFonts w:ascii="Calibri" w:hAnsi="Calibri"/>
          <w:i/>
          <w:color w:val="595959"/>
          <w:sz w:val="18"/>
        </w:rPr>
        <w:t>Figure 1. Successful bulk loading and reconciliation of all seven staging tables.</w:t>
      </w:r>
    </w:p>
    <w:p>
      <w:pPr>
        <w:pStyle w:val="Heading1"/>
        <w:keepNext/>
      </w:pPr>
      <w:r>
        <w:t>4. Transform: Staging to Cleaned Relations</w:t>
      </w:r>
    </w:p>
    <w:p>
      <w:pPr>
        <w:spacing w:before="0" w:after="120" w:line="264" w:lineRule="auto"/>
      </w:pPr>
      <w:r>
        <w:rPr>
          <w:rFonts w:ascii="Calibri" w:hAnsi="Calibri"/>
          <w:sz w:val="22"/>
        </w:rPr>
        <w:t>The cleaned layer converts raw strings to appropriate numeric and categorical data types, implements the logical relational design and applies business rules. The transformation is set-based so MySQL can process the large interaction table efficiently.</w:t>
      </w:r>
    </w:p>
    <w:tbl>
      <w:tblPr>
        <w:tblStyle w:val="TableGrid"/>
        <w:tblW w:type="dxa" w:w="9360"/>
        <w:tblLayout w:type="fixed"/>
        <w:tblLook w:firstColumn="1" w:firstRow="1" w:lastColumn="0" w:lastRow="0" w:noHBand="0" w:noVBand="1" w:val="04A0"/>
        <w:jc w:val="left"/>
        <w:tblInd w:w="120" w:type="dxa"/>
      </w:tblPr>
      <w:tblGrid>
        <w:gridCol w:w="2050"/>
        <w:gridCol w:w="7310"/>
      </w:tblGrid>
      <w:tr>
        <w:trPr>
          <w:tblHeader w:val="true"/>
        </w:trPr>
        <w:tc>
          <w:tcPr>
            <w:tcW w:type="dxa" w:w="20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Rule</w:t>
            </w:r>
          </w:p>
        </w:tc>
        <w:tc>
          <w:tcPr>
            <w:tcW w:type="dxa" w:w="73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Implementation</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Missing markers</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Convert ? and blank values to SQL NULL only in nullable fields</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IMD band</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Standardise the inconsistent 10-20 label to 10-20%</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Student grain</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Create one student row per id_student while retaining registration-specific age in registration</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Registration</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Join studentInfo and studentRegistration at student-module-presentation grain</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Assessment</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Preserve missing Exam dates as NULL and missing scores as NULL</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VLE grain</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Group by module, presentation, student, resource and day; sum repeated click rows</w:t>
            </w:r>
          </w:p>
        </w:tc>
      </w:tr>
      <w:tr>
        <w:tc>
          <w:tcPr>
            <w:tcW w:type="dxa" w:w="2050"/>
            <w:tcMar>
              <w:top w:w="80" w:type="dxa"/>
              <w:start w:w="120" w:type="dxa"/>
              <w:bottom w:w="80" w:type="dxa"/>
              <w:end w:w="120" w:type="dxa"/>
            </w:tcMar>
            <w:vAlign w:val="center"/>
          </w:tcPr>
          <w:p>
            <w:pPr>
              <w:spacing w:before="0" w:after="0" w:line="240" w:lineRule="auto"/>
              <w:jc w:val="center"/>
            </w:pPr>
            <w:r>
              <w:rPr>
                <w:rFonts w:ascii="Calibri" w:hAnsi="Calibri"/>
                <w:sz w:val="18"/>
              </w:rPr>
              <w:t>Integrity</w:t>
            </w:r>
          </w:p>
        </w:tc>
        <w:tc>
          <w:tcPr>
            <w:tcW w:type="dxa" w:w="7310"/>
            <w:tcMar>
              <w:top w:w="80" w:type="dxa"/>
              <w:start w:w="120" w:type="dxa"/>
              <w:bottom w:w="80" w:type="dxa"/>
              <w:end w:w="120" w:type="dxa"/>
            </w:tcMar>
            <w:vAlign w:val="center"/>
          </w:tcPr>
          <w:p>
            <w:pPr>
              <w:spacing w:before="0" w:after="0" w:line="240" w:lineRule="auto"/>
              <w:jc w:val="left"/>
            </w:pPr>
            <w:r>
              <w:rPr>
                <w:rFonts w:ascii="Calibri" w:hAnsi="Calibri"/>
                <w:sz w:val="18"/>
              </w:rPr>
              <w:t>Apply primary keys, foreign keys, unique keys and CHECK constraints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4250"/>
        <w:gridCol w:w="1900"/>
        <w:gridCol w:w="1700"/>
        <w:gridCol w:w="1510"/>
      </w:tblGrid>
      <w:tr>
        <w:trPr>
          <w:tblHeader w:val="true"/>
        </w:trPr>
        <w:tc>
          <w:tcPr>
            <w:tcW w:type="dxa" w:w="42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Cleaned table</w:t>
            </w:r>
          </w:p>
        </w:tc>
        <w:tc>
          <w:tcPr>
            <w:tcW w:type="dxa" w:w="19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Rows</w:t>
            </w:r>
          </w:p>
        </w:tc>
        <w:tc>
          <w:tcPr>
            <w:tcW w:type="dxa" w:w="17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Load seconds</w:t>
            </w:r>
          </w:p>
        </w:tc>
        <w:tc>
          <w:tcPr>
            <w:tcW w:type="dxa" w:w="15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Status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clean_module_presentation</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22</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0.01</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clean_student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28,785</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0.77</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clean_registration</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32,593</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1.67</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clean_assessment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206</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0.01</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clean_vle_resource</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6,364</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0.12</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clean_student_assessment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173,912</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7.41</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r>
        <w:tc>
          <w:tcPr>
            <w:tcW w:type="dxa" w:w="4250"/>
            <w:tcMar>
              <w:top w:w="80" w:type="dxa"/>
              <w:start w:w="120" w:type="dxa"/>
              <w:bottom w:w="80" w:type="dxa"/>
              <w:end w:w="120" w:type="dxa"/>
            </w:tcMar>
            <w:vAlign w:val="center"/>
          </w:tcPr>
          <w:p>
            <w:pPr>
              <w:spacing w:before="0" w:after="0" w:line="240" w:lineRule="auto"/>
              <w:jc w:val="center"/>
            </w:pPr>
            <w:r>
              <w:rPr>
                <w:rFonts w:ascii="Calibri" w:hAnsi="Calibri"/>
                <w:sz w:val="17"/>
              </w:rPr>
              <w:t>clean_student_vle_interaction</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7"/>
              </w:rPr>
              <w:t>8,459,320</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7"/>
              </w:rPr>
              <w:t>248.22</w:t>
            </w:r>
          </w:p>
        </w:tc>
        <w:tc>
          <w:tcPr>
            <w:tcW w:type="dxa" w:w="1510"/>
            <w:tcMar>
              <w:top w:w="80" w:type="dxa"/>
              <w:start w:w="120" w:type="dxa"/>
              <w:bottom w:w="80" w:type="dxa"/>
              <w:end w:w="120" w:type="dxa"/>
            </w:tcMar>
            <w:vAlign w:val="center"/>
          </w:tcPr>
          <w:p>
            <w:pPr>
              <w:spacing w:before="0" w:after="0" w:line="240" w:lineRule="auto"/>
              <w:jc w:val="left"/>
            </w:pPr>
            <w:r>
              <w:rPr>
                <w:rFonts w:ascii="Calibri" w:hAnsi="Calibri"/>
                <w:sz w:val="17"/>
              </w:rPr>
              <w:t>SUCCESS</w:t>
            </w:r>
          </w:p>
        </w:tc>
      </w:tr>
    </w:tbl>
    <w:p>
      <w:pPr>
        <w:spacing w:after="40"/>
      </w:pPr>
    </w:p>
    <w:p>
      <w:pPr>
        <w:spacing w:before="0" w:after="120" w:line="264" w:lineRule="auto"/>
      </w:pPr>
      <w:r>
        <w:rPr>
          <w:rFonts w:ascii="Calibri" w:hAnsi="Calibri"/>
          <w:sz w:val="22"/>
        </w:rPr>
        <w:t>The large staging index was created in 85.08 seconds. Consolidation produced 8,459,320 clean interaction records in 248.22 seconds, removing 2,195,960 repeated daily-grain rows. The composite primary key, supporting indexes and two foreign keys were then applied in 344.00 seconds.</w:t>
      </w:r>
    </w:p>
    <w:p>
      <w:pPr>
        <w:spacing w:before="80" w:after="200" w:line="264" w:lineRule="auto"/>
        <w:shd w:fill="E8EEF5"/>
        <w:pBdr>
          <w:left w:val="single" w:sz="18" w:space="8" w:color="2E74B5"/>
        </w:pBdr>
      </w:pPr>
      <w:r>
        <w:rPr>
          <w:rFonts w:ascii="Calibri" w:hAnsi="Calibri"/>
          <w:b/>
          <w:color w:val="0B2545"/>
          <w:sz w:val="22"/>
        </w:rPr>
        <w:t xml:space="preserve">Integrity result: </w:t>
      </w:r>
      <w:r>
        <w:rPr>
          <w:rFonts w:ascii="Calibri" w:hAnsi="Calibri"/>
          <w:color w:val="0B2545"/>
          <w:sz w:val="22"/>
        </w:rPr>
        <w:t>Nonpositive click totals: 0; interactions without a registration: 0; interactions without a contextual VLE resource: 0.</w:t>
      </w:r>
    </w:p>
    <w:p>
      <w:pPr>
        <w:keepNext/>
        <w:spacing w:before="80" w:after="40"/>
        <w:jc w:val="center"/>
      </w:pPr>
      <w:r>
        <w:drawing>
          <wp:inline xmlns:a="http://schemas.openxmlformats.org/drawingml/2006/main" xmlns:pic="http://schemas.openxmlformats.org/drawingml/2006/picture">
            <wp:extent cx="5715000" cy="4450670"/>
            <wp:docPr id="2" name="Picture 2" descr="VS Code terminal showing cleaned row counts, 2,195,960 duplicate rows consolidated and three zero-result integrity checks." title="Figure 2. Completed cleaned-layer transformation, constraints and integrity checks."/>
            <wp:cNvGraphicFramePr>
              <a:graphicFrameLocks noChangeAspect="1"/>
            </wp:cNvGraphicFramePr>
            <a:graphic>
              <a:graphicData uri="http://schemas.openxmlformats.org/drawingml/2006/picture">
                <pic:pic>
                  <pic:nvPicPr>
                    <pic:cNvPr id="0" name="image(1300).png"/>
                    <pic:cNvPicPr/>
                  </pic:nvPicPr>
                  <pic:blipFill>
                    <a:blip r:embed="rId12"/>
                    <a:stretch>
                      <a:fillRect/>
                    </a:stretch>
                  </pic:blipFill>
                  <pic:spPr>
                    <a:xfrm>
                      <a:off x="0" y="0"/>
                      <a:ext cx="5715000" cy="4450670"/>
                    </a:xfrm>
                    <a:prstGeom prst="rect"/>
                  </pic:spPr>
                </pic:pic>
              </a:graphicData>
            </a:graphic>
          </wp:inline>
        </w:drawing>
      </w:r>
    </w:p>
    <w:p>
      <w:pPr>
        <w:pStyle w:val="Caption"/>
        <w:spacing w:before="40" w:after="160"/>
        <w:jc w:val="center"/>
      </w:pPr>
      <w:r>
        <w:rPr>
          <w:rFonts w:ascii="Calibri" w:hAnsi="Calibri"/>
          <w:i/>
          <w:color w:val="595959"/>
          <w:sz w:val="18"/>
        </w:rPr>
        <w:t>Figure 2. Completed cleaned-layer transformation, constraints and integrity checks.</w:t>
      </w:r>
    </w:p>
    <w:p>
      <w:r>
        <w:br w:type="page"/>
      </w:r>
    </w:p>
    <w:p>
      <w:pPr>
        <w:pStyle w:val="Heading1"/>
        <w:keepNext/>
      </w:pPr>
      <w:r>
        <w:t>5. Analytics Layer</w:t>
      </w:r>
    </w:p>
    <w:p>
      <w:pPr>
        <w:spacing w:before="0" w:after="120" w:line="264" w:lineRule="auto"/>
      </w:pPr>
      <w:r>
        <w:rPr>
          <w:rFonts w:ascii="Calibri" w:hAnsi="Calibri"/>
          <w:sz w:val="22"/>
        </w:rPr>
        <w:t>The analytics layer denormalises frequently used measures into reporting-ready tables. This avoids repeatedly scanning and regrouping 8.46 million interaction rows for common learning-analytics questions.</w:t>
      </w:r>
    </w:p>
    <w:tbl>
      <w:tblPr>
        <w:tblStyle w:val="TableGrid"/>
        <w:tblW w:type="dxa" w:w="9360"/>
        <w:tblLayout w:type="fixed"/>
        <w:tblLook w:firstColumn="1" w:firstRow="1" w:lastColumn="0" w:lastRow="0" w:noHBand="0" w:noVBand="1" w:val="04A0"/>
        <w:jc w:val="left"/>
        <w:tblInd w:w="120" w:type="dxa"/>
      </w:tblPr>
      <w:tblGrid>
        <w:gridCol w:w="3650"/>
        <w:gridCol w:w="3400"/>
        <w:gridCol w:w="1150"/>
        <w:gridCol w:w="1160"/>
      </w:tblGrid>
      <w:tr>
        <w:trPr>
          <w:tblHeader w:val="true"/>
        </w:trPr>
        <w:tc>
          <w:tcPr>
            <w:tcW w:type="dxa" w:w="36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Analytics table</w:t>
            </w:r>
          </w:p>
        </w:tc>
        <w:tc>
          <w:tcPr>
            <w:tcW w:type="dxa" w:w="34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Grain</w:t>
            </w:r>
          </w:p>
        </w:tc>
        <w:tc>
          <w:tcPr>
            <w:tcW w:type="dxa" w:w="11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Rows</w:t>
            </w:r>
          </w:p>
        </w:tc>
        <w:tc>
          <w:tcPr>
            <w:tcW w:type="dxa" w:w="11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Seconds</w:t>
            </w:r>
          </w:p>
        </w:tc>
      </w:tr>
      <w:tr>
        <w:tc>
          <w:tcPr>
            <w:tcW w:type="dxa" w:w="3650"/>
            <w:tcMar>
              <w:top w:w="80" w:type="dxa"/>
              <w:start w:w="120" w:type="dxa"/>
              <w:bottom w:w="80" w:type="dxa"/>
              <w:end w:w="120" w:type="dxa"/>
            </w:tcMar>
            <w:vAlign w:val="center"/>
          </w:tcPr>
          <w:p>
            <w:pPr>
              <w:spacing w:before="0" w:after="0" w:line="240" w:lineRule="auto"/>
              <w:jc w:val="center"/>
            </w:pPr>
            <w:r>
              <w:rPr>
                <w:rFonts w:ascii="Calibri" w:hAnsi="Calibri"/>
                <w:sz w:val="17"/>
              </w:rPr>
              <w:t>analytics_student_engagement</w:t>
            </w:r>
          </w:p>
        </w:tc>
        <w:tc>
          <w:tcPr>
            <w:tcW w:type="dxa" w:w="3400"/>
            <w:tcMar>
              <w:top w:w="80" w:type="dxa"/>
              <w:start w:w="120" w:type="dxa"/>
              <w:bottom w:w="80" w:type="dxa"/>
              <w:end w:w="120" w:type="dxa"/>
            </w:tcMar>
            <w:vAlign w:val="center"/>
          </w:tcPr>
          <w:p>
            <w:pPr>
              <w:spacing w:before="0" w:after="0" w:line="240" w:lineRule="auto"/>
              <w:jc w:val="left"/>
            </w:pPr>
            <w:r>
              <w:rPr>
                <w:rFonts w:ascii="Calibri" w:hAnsi="Calibri"/>
                <w:sz w:val="17"/>
              </w:rPr>
              <w:t>One row per registration</w:t>
            </w:r>
          </w:p>
        </w:tc>
        <w:tc>
          <w:tcPr>
            <w:tcW w:type="dxa" w:w="1150"/>
            <w:tcMar>
              <w:top w:w="80" w:type="dxa"/>
              <w:start w:w="120" w:type="dxa"/>
              <w:bottom w:w="80" w:type="dxa"/>
              <w:end w:w="120" w:type="dxa"/>
            </w:tcMar>
            <w:vAlign w:val="center"/>
          </w:tcPr>
          <w:p>
            <w:pPr>
              <w:spacing w:before="0" w:after="0" w:line="240" w:lineRule="auto"/>
              <w:jc w:val="left"/>
            </w:pPr>
            <w:r>
              <w:rPr>
                <w:rFonts w:ascii="Calibri" w:hAnsi="Calibri"/>
                <w:sz w:val="17"/>
              </w:rPr>
              <w:t>32,593</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sz w:val="17"/>
              </w:rPr>
              <w:t>78.74</w:t>
            </w:r>
          </w:p>
        </w:tc>
      </w:tr>
      <w:tr>
        <w:tc>
          <w:tcPr>
            <w:tcW w:type="dxa" w:w="3650"/>
            <w:tcMar>
              <w:top w:w="80" w:type="dxa"/>
              <w:start w:w="120" w:type="dxa"/>
              <w:bottom w:w="80" w:type="dxa"/>
              <w:end w:w="120" w:type="dxa"/>
            </w:tcMar>
            <w:vAlign w:val="center"/>
          </w:tcPr>
          <w:p>
            <w:pPr>
              <w:spacing w:before="0" w:after="0" w:line="240" w:lineRule="auto"/>
              <w:jc w:val="center"/>
            </w:pPr>
            <w:r>
              <w:rPr>
                <w:rFonts w:ascii="Calibri" w:hAnsi="Calibri"/>
                <w:sz w:val="17"/>
              </w:rPr>
              <w:t>analytics_completion_by_presentation</w:t>
            </w:r>
          </w:p>
        </w:tc>
        <w:tc>
          <w:tcPr>
            <w:tcW w:type="dxa" w:w="3400"/>
            <w:tcMar>
              <w:top w:w="80" w:type="dxa"/>
              <w:start w:w="120" w:type="dxa"/>
              <w:bottom w:w="80" w:type="dxa"/>
              <w:end w:w="120" w:type="dxa"/>
            </w:tcMar>
            <w:vAlign w:val="center"/>
          </w:tcPr>
          <w:p>
            <w:pPr>
              <w:spacing w:before="0" w:after="0" w:line="240" w:lineRule="auto"/>
              <w:jc w:val="left"/>
            </w:pPr>
            <w:r>
              <w:rPr>
                <w:rFonts w:ascii="Calibri" w:hAnsi="Calibri"/>
                <w:sz w:val="17"/>
              </w:rPr>
              <w:t>One row per module presentation</w:t>
            </w:r>
          </w:p>
        </w:tc>
        <w:tc>
          <w:tcPr>
            <w:tcW w:type="dxa" w:w="1150"/>
            <w:tcMar>
              <w:top w:w="80" w:type="dxa"/>
              <w:start w:w="120" w:type="dxa"/>
              <w:bottom w:w="80" w:type="dxa"/>
              <w:end w:w="120" w:type="dxa"/>
            </w:tcMar>
            <w:vAlign w:val="center"/>
          </w:tcPr>
          <w:p>
            <w:pPr>
              <w:spacing w:before="0" w:after="0" w:line="240" w:lineRule="auto"/>
              <w:jc w:val="left"/>
            </w:pPr>
            <w:r>
              <w:rPr>
                <w:rFonts w:ascii="Calibri" w:hAnsi="Calibri"/>
                <w:sz w:val="17"/>
              </w:rPr>
              <w:t>22</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sz w:val="17"/>
              </w:rPr>
              <w:t>0.18</w:t>
            </w:r>
          </w:p>
        </w:tc>
      </w:tr>
      <w:tr>
        <w:tc>
          <w:tcPr>
            <w:tcW w:type="dxa" w:w="3650"/>
            <w:tcMar>
              <w:top w:w="80" w:type="dxa"/>
              <w:start w:w="120" w:type="dxa"/>
              <w:bottom w:w="80" w:type="dxa"/>
              <w:end w:w="120" w:type="dxa"/>
            </w:tcMar>
            <w:vAlign w:val="center"/>
          </w:tcPr>
          <w:p>
            <w:pPr>
              <w:spacing w:before="0" w:after="0" w:line="240" w:lineRule="auto"/>
              <w:jc w:val="center"/>
            </w:pPr>
            <w:r>
              <w:rPr>
                <w:rFonts w:ascii="Calibri" w:hAnsi="Calibri"/>
                <w:sz w:val="17"/>
              </w:rPr>
              <w:t>analytics_assessment_performance</w:t>
            </w:r>
          </w:p>
        </w:tc>
        <w:tc>
          <w:tcPr>
            <w:tcW w:type="dxa" w:w="3400"/>
            <w:tcMar>
              <w:top w:w="80" w:type="dxa"/>
              <w:start w:w="120" w:type="dxa"/>
              <w:bottom w:w="80" w:type="dxa"/>
              <w:end w:w="120" w:type="dxa"/>
            </w:tcMar>
            <w:vAlign w:val="center"/>
          </w:tcPr>
          <w:p>
            <w:pPr>
              <w:spacing w:before="0" w:after="0" w:line="240" w:lineRule="auto"/>
              <w:jc w:val="left"/>
            </w:pPr>
            <w:r>
              <w:rPr>
                <w:rFonts w:ascii="Calibri" w:hAnsi="Calibri"/>
                <w:sz w:val="17"/>
              </w:rPr>
              <w:t>One row per presentation and assessment type</w:t>
            </w:r>
          </w:p>
        </w:tc>
        <w:tc>
          <w:tcPr>
            <w:tcW w:type="dxa" w:w="1150"/>
            <w:tcMar>
              <w:top w:w="80" w:type="dxa"/>
              <w:start w:w="120" w:type="dxa"/>
              <w:bottom w:w="80" w:type="dxa"/>
              <w:end w:w="120" w:type="dxa"/>
            </w:tcMar>
            <w:vAlign w:val="center"/>
          </w:tcPr>
          <w:p>
            <w:pPr>
              <w:spacing w:before="0" w:after="0" w:line="240" w:lineRule="auto"/>
              <w:jc w:val="left"/>
            </w:pPr>
            <w:r>
              <w:rPr>
                <w:rFonts w:ascii="Calibri" w:hAnsi="Calibri"/>
                <w:sz w:val="17"/>
              </w:rPr>
              <w:t>57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sz w:val="17"/>
              </w:rPr>
              <w:t>0.82</w:t>
            </w:r>
          </w:p>
        </w:tc>
      </w:tr>
      <w:tr>
        <w:tc>
          <w:tcPr>
            <w:tcW w:type="dxa" w:w="3650"/>
            <w:tcMar>
              <w:top w:w="80" w:type="dxa"/>
              <w:start w:w="120" w:type="dxa"/>
              <w:bottom w:w="80" w:type="dxa"/>
              <w:end w:w="120" w:type="dxa"/>
            </w:tcMar>
            <w:vAlign w:val="center"/>
          </w:tcPr>
          <w:p>
            <w:pPr>
              <w:spacing w:before="0" w:after="0" w:line="240" w:lineRule="auto"/>
              <w:jc w:val="center"/>
            </w:pPr>
            <w:r>
              <w:rPr>
                <w:rFonts w:ascii="Calibri" w:hAnsi="Calibri"/>
                <w:sz w:val="17"/>
              </w:rPr>
              <w:t>analytics_engagement_by_result</w:t>
            </w:r>
          </w:p>
        </w:tc>
        <w:tc>
          <w:tcPr>
            <w:tcW w:type="dxa" w:w="3400"/>
            <w:tcMar>
              <w:top w:w="80" w:type="dxa"/>
              <w:start w:w="120" w:type="dxa"/>
              <w:bottom w:w="80" w:type="dxa"/>
              <w:end w:w="120" w:type="dxa"/>
            </w:tcMar>
            <w:vAlign w:val="center"/>
          </w:tcPr>
          <w:p>
            <w:pPr>
              <w:spacing w:before="0" w:after="0" w:line="240" w:lineRule="auto"/>
              <w:jc w:val="left"/>
            </w:pPr>
            <w:r>
              <w:rPr>
                <w:rFonts w:ascii="Calibri" w:hAnsi="Calibri"/>
                <w:sz w:val="17"/>
              </w:rPr>
              <w:t>One row per final-result category</w:t>
            </w:r>
          </w:p>
        </w:tc>
        <w:tc>
          <w:tcPr>
            <w:tcW w:type="dxa" w:w="1150"/>
            <w:tcMar>
              <w:top w:w="80" w:type="dxa"/>
              <w:start w:w="120" w:type="dxa"/>
              <w:bottom w:w="80" w:type="dxa"/>
              <w:end w:w="120" w:type="dxa"/>
            </w:tcMar>
            <w:vAlign w:val="center"/>
          </w:tcPr>
          <w:p>
            <w:pPr>
              <w:spacing w:before="0" w:after="0" w:line="240" w:lineRule="auto"/>
              <w:jc w:val="left"/>
            </w:pPr>
            <w:r>
              <w:rPr>
                <w:rFonts w:ascii="Calibri" w:hAnsi="Calibri"/>
                <w:sz w:val="17"/>
              </w:rPr>
              <w:t>4</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sz w:val="17"/>
              </w:rPr>
              <w:t>0.11</w:t>
            </w:r>
          </w:p>
        </w:tc>
      </w:tr>
    </w:tbl>
    <w:p>
      <w:pPr>
        <w:spacing w:after="40"/>
      </w:pPr>
    </w:p>
    <w:p>
      <w:pPr>
        <w:spacing w:before="0" w:after="120" w:line="264" w:lineRule="auto"/>
      </w:pPr>
      <w:r>
        <w:rPr>
          <w:rFonts w:ascii="Calibri" w:hAnsi="Calibri"/>
          <w:sz w:val="22"/>
        </w:rPr>
        <w:t>The registration-level engagement summary was the only material analytics build, taking 78.74 seconds. The three smaller reporting tables completed in 1.11 seconds combined. Both presentation and outcome summaries reconcile to all 32,593 registrations.</w:t>
      </w:r>
    </w:p>
    <w:tbl>
      <w:tblPr>
        <w:tblStyle w:val="TableGrid"/>
        <w:tblW w:type="dxa" w:w="9360"/>
        <w:tblLayout w:type="fixed"/>
        <w:tblLook w:firstColumn="1" w:firstRow="1" w:lastColumn="0" w:lastRow="0" w:noHBand="0" w:noVBand="1" w:val="04A0"/>
        <w:jc w:val="left"/>
        <w:tblInd w:w="120" w:type="dxa"/>
      </w:tblPr>
      <w:tblGrid>
        <w:gridCol w:w="1900"/>
        <w:gridCol w:w="1700"/>
        <w:gridCol w:w="1850"/>
        <w:gridCol w:w="1900"/>
        <w:gridCol w:w="2010"/>
      </w:tblGrid>
      <w:tr>
        <w:trPr>
          <w:tblHeader w:val="true"/>
        </w:trPr>
        <w:tc>
          <w:tcPr>
            <w:tcW w:type="dxa" w:w="19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Final result</w:t>
            </w:r>
          </w:p>
        </w:tc>
        <w:tc>
          <w:tcPr>
            <w:tcW w:type="dxa" w:w="17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Registrations</w:t>
            </w:r>
          </w:p>
        </w:tc>
        <w:tc>
          <w:tcPr>
            <w:tcW w:type="dxa" w:w="18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Avg clicks</w:t>
            </w:r>
          </w:p>
        </w:tc>
        <w:tc>
          <w:tcPr>
            <w:tcW w:type="dxa" w:w="19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Avg active days</w:t>
            </w:r>
          </w:p>
        </w:tc>
        <w:tc>
          <w:tcPr>
            <w:tcW w:type="dxa" w:w="20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Avg resources</w:t>
            </w:r>
          </w:p>
        </w:tc>
      </w:tr>
      <w:tr>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Distinction</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3,024</w:t>
            </w:r>
          </w:p>
        </w:tc>
        <w:tc>
          <w:tcPr>
            <w:tcW w:type="dxa" w:w="1850"/>
            <w:tcMar>
              <w:top w:w="80" w:type="dxa"/>
              <w:start w:w="120" w:type="dxa"/>
              <w:bottom w:w="80" w:type="dxa"/>
              <w:end w:w="120" w:type="dxa"/>
            </w:tcMar>
            <w:vAlign w:val="center"/>
          </w:tcPr>
          <w:p>
            <w:pPr>
              <w:spacing w:before="0" w:after="0" w:line="240" w:lineRule="auto"/>
              <w:jc w:val="left"/>
            </w:pPr>
            <w:r>
              <w:rPr>
                <w:rFonts w:ascii="Calibri" w:hAnsi="Calibri"/>
                <w:sz w:val="18"/>
              </w:rPr>
              <w:t>2,666.76</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110.04</w:t>
            </w:r>
          </w:p>
        </w:tc>
        <w:tc>
          <w:tcPr>
            <w:tcW w:type="dxa" w:w="2010"/>
            <w:tcMar>
              <w:top w:w="80" w:type="dxa"/>
              <w:start w:w="120" w:type="dxa"/>
              <w:bottom w:w="80" w:type="dxa"/>
              <w:end w:w="120" w:type="dxa"/>
            </w:tcMar>
            <w:vAlign w:val="center"/>
          </w:tcPr>
          <w:p>
            <w:pPr>
              <w:spacing w:before="0" w:after="0" w:line="240" w:lineRule="auto"/>
              <w:jc w:val="left"/>
            </w:pPr>
            <w:r>
              <w:rPr>
                <w:rFonts w:ascii="Calibri" w:hAnsi="Calibri"/>
                <w:sz w:val="18"/>
              </w:rPr>
              <w:t>102.45</w:t>
            </w:r>
          </w:p>
        </w:tc>
      </w:tr>
      <w:tr>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12,361</w:t>
            </w:r>
          </w:p>
        </w:tc>
        <w:tc>
          <w:tcPr>
            <w:tcW w:type="dxa" w:w="1850"/>
            <w:tcMar>
              <w:top w:w="80" w:type="dxa"/>
              <w:start w:w="120" w:type="dxa"/>
              <w:bottom w:w="80" w:type="dxa"/>
              <w:end w:w="120" w:type="dxa"/>
            </w:tcMar>
            <w:vAlign w:val="center"/>
          </w:tcPr>
          <w:p>
            <w:pPr>
              <w:spacing w:before="0" w:after="0" w:line="240" w:lineRule="auto"/>
              <w:jc w:val="left"/>
            </w:pPr>
            <w:r>
              <w:rPr>
                <w:rFonts w:ascii="Calibri" w:hAnsi="Calibri"/>
                <w:sz w:val="18"/>
              </w:rPr>
              <w:t>1,921.81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87.04</w:t>
            </w:r>
          </w:p>
        </w:tc>
        <w:tc>
          <w:tcPr>
            <w:tcW w:type="dxa" w:w="2010"/>
            <w:tcMar>
              <w:top w:w="80" w:type="dxa"/>
              <w:start w:w="120" w:type="dxa"/>
              <w:bottom w:w="80" w:type="dxa"/>
              <w:end w:w="120" w:type="dxa"/>
            </w:tcMar>
            <w:vAlign w:val="center"/>
          </w:tcPr>
          <w:p>
            <w:pPr>
              <w:spacing w:before="0" w:after="0" w:line="240" w:lineRule="auto"/>
              <w:jc w:val="left"/>
            </w:pPr>
            <w:r>
              <w:rPr>
                <w:rFonts w:ascii="Calibri" w:hAnsi="Calibri"/>
                <w:sz w:val="18"/>
              </w:rPr>
              <w:t>89.06</w:t>
            </w:r>
          </w:p>
        </w:tc>
      </w:tr>
      <w:tr>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Fail</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7,052</w:t>
            </w:r>
          </w:p>
        </w:tc>
        <w:tc>
          <w:tcPr>
            <w:tcW w:type="dxa" w:w="1850"/>
            <w:tcMar>
              <w:top w:w="80" w:type="dxa"/>
              <w:start w:w="120" w:type="dxa"/>
              <w:bottom w:w="80" w:type="dxa"/>
              <w:end w:w="120" w:type="dxa"/>
            </w:tcMar>
            <w:vAlign w:val="center"/>
          </w:tcPr>
          <w:p>
            <w:pPr>
              <w:spacing w:before="0" w:after="0" w:line="240" w:lineRule="auto"/>
              <w:jc w:val="left"/>
            </w:pPr>
            <w:r>
              <w:rPr>
                <w:rFonts w:ascii="Calibri" w:hAnsi="Calibri"/>
                <w:sz w:val="18"/>
              </w:rPr>
              <w:t>651.85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33.18</w:t>
            </w:r>
          </w:p>
        </w:tc>
        <w:tc>
          <w:tcPr>
            <w:tcW w:type="dxa" w:w="2010"/>
            <w:tcMar>
              <w:top w:w="80" w:type="dxa"/>
              <w:start w:w="120" w:type="dxa"/>
              <w:bottom w:w="80" w:type="dxa"/>
              <w:end w:w="120" w:type="dxa"/>
            </w:tcMar>
            <w:vAlign w:val="center"/>
          </w:tcPr>
          <w:p>
            <w:pPr>
              <w:spacing w:before="0" w:after="0" w:line="240" w:lineRule="auto"/>
              <w:jc w:val="left"/>
            </w:pPr>
            <w:r>
              <w:rPr>
                <w:rFonts w:ascii="Calibri" w:hAnsi="Calibri"/>
                <w:sz w:val="18"/>
              </w:rPr>
              <w:t>43.08</w:t>
            </w:r>
          </w:p>
        </w:tc>
      </w:tr>
      <w:tr>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Withdrawn</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10,156</w:t>
            </w:r>
          </w:p>
        </w:tc>
        <w:tc>
          <w:tcPr>
            <w:tcW w:type="dxa" w:w="1850"/>
            <w:tcMar>
              <w:top w:w="80" w:type="dxa"/>
              <w:start w:w="120" w:type="dxa"/>
              <w:bottom w:w="80" w:type="dxa"/>
              <w:end w:w="120" w:type="dxa"/>
            </w:tcMar>
            <w:vAlign w:val="center"/>
          </w:tcPr>
          <w:p>
            <w:pPr>
              <w:spacing w:before="0" w:after="0" w:line="240" w:lineRule="auto"/>
              <w:jc w:val="left"/>
            </w:pPr>
            <w:r>
              <w:rPr>
                <w:rFonts w:ascii="Calibri" w:hAnsi="Calibri"/>
                <w:sz w:val="18"/>
              </w:rPr>
              <w:t>313.95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sz w:val="18"/>
              </w:rPr>
              <w:t>16.29</w:t>
            </w:r>
          </w:p>
        </w:tc>
        <w:tc>
          <w:tcPr>
            <w:tcW w:type="dxa" w:w="2010"/>
            <w:tcMar>
              <w:top w:w="80" w:type="dxa"/>
              <w:start w:w="120" w:type="dxa"/>
              <w:bottom w:w="80" w:type="dxa"/>
              <w:end w:w="120" w:type="dxa"/>
            </w:tcMar>
            <w:vAlign w:val="center"/>
          </w:tcPr>
          <w:p>
            <w:pPr>
              <w:spacing w:before="0" w:after="0" w:line="240" w:lineRule="auto"/>
              <w:jc w:val="left"/>
            </w:pPr>
            <w:r>
              <w:rPr>
                <w:rFonts w:ascii="Calibri" w:hAnsi="Calibri"/>
                <w:sz w:val="18"/>
              </w:rPr>
              <w:t>24.23</w:t>
            </w:r>
          </w:p>
        </w:tc>
      </w:tr>
    </w:tbl>
    <w:p>
      <w:pPr>
        <w:spacing w:after="40"/>
      </w:pPr>
    </w:p>
    <w:p>
      <w:pPr>
        <w:spacing w:before="0" w:after="120" w:line="264" w:lineRule="auto"/>
      </w:pPr>
      <w:r>
        <w:rPr>
          <w:rFonts w:ascii="Calibri" w:hAnsi="Calibri"/>
          <w:sz w:val="22"/>
        </w:rPr>
        <w:t>Engagement is strongly ordered by outcome group: Distinction registrations show the highest average clicks, active days and resource use, while Withdrawn registrations show the lowest. This is an association useful for monitoring and intervention design; it does not by itself establish that engagement causes the final result.</w:t>
      </w:r>
    </w:p>
    <w:p>
      <w:pPr>
        <w:keepNext/>
        <w:spacing w:before="80" w:after="40"/>
        <w:jc w:val="center"/>
      </w:pPr>
      <w:r>
        <w:drawing>
          <wp:inline xmlns:a="http://schemas.openxmlformats.org/drawingml/2006/main" xmlns:pic="http://schemas.openxmlformats.org/drawingml/2006/picture">
            <wp:extent cx="5715000" cy="2333213"/>
            <wp:docPr id="3" name="Picture 3" descr="VS Code terminal showing four analytics tables, zero invalid rates or scores, and engagement averages by final result." title="Figure 3. Successful analytics build, reconciliation and engagement-by-result output."/>
            <wp:cNvGraphicFramePr>
              <a:graphicFrameLocks noChangeAspect="1"/>
            </wp:cNvGraphicFramePr>
            <a:graphic>
              <a:graphicData uri="http://schemas.openxmlformats.org/drawingml/2006/picture">
                <pic:pic>
                  <pic:nvPicPr>
                    <pic:cNvPr id="0" name="image(1301).png"/>
                    <pic:cNvPicPr/>
                  </pic:nvPicPr>
                  <pic:blipFill>
                    <a:blip r:embed="rId13"/>
                    <a:stretch>
                      <a:fillRect/>
                    </a:stretch>
                  </pic:blipFill>
                  <pic:spPr>
                    <a:xfrm>
                      <a:off x="0" y="0"/>
                      <a:ext cx="5715000" cy="2333213"/>
                    </a:xfrm>
                    <a:prstGeom prst="rect"/>
                  </pic:spPr>
                </pic:pic>
              </a:graphicData>
            </a:graphic>
          </wp:inline>
        </w:drawing>
      </w:r>
    </w:p>
    <w:p>
      <w:pPr>
        <w:pStyle w:val="Caption"/>
        <w:spacing w:before="40" w:after="160"/>
        <w:jc w:val="center"/>
      </w:pPr>
      <w:r>
        <w:rPr>
          <w:rFonts w:ascii="Calibri" w:hAnsi="Calibri"/>
          <w:i/>
          <w:color w:val="595959"/>
          <w:sz w:val="18"/>
        </w:rPr>
        <w:t>Figure 3. Successful analytics build, reconciliation and engagement-by-result output.</w:t>
      </w:r>
    </w:p>
    <w:p>
      <w:pPr>
        <w:pStyle w:val="Heading1"/>
        <w:keepNext/>
      </w:pPr>
      <w:r>
        <w:t>6. Data-Quality Checks and Report</w:t>
      </w:r>
    </w:p>
    <w:p>
      <w:pPr>
        <w:spacing w:before="0" w:after="120" w:line="264" w:lineRule="auto"/>
      </w:pPr>
      <w:r>
        <w:rPr>
          <w:rFonts w:ascii="Calibri" w:hAnsi="Calibri"/>
          <w:sz w:val="22"/>
        </w:rPr>
        <w:t>The final program runs checks across staging, cleaned and analytics layers, stores the results in oulad_etl.data_quality_results and exports a machine-readable CSV, a short Markdown report and the pipeline log. The final outcome was PASS: 31 checks passed, zero failed and seven INFO results documented legitimate source characteristics.</w:t>
      </w:r>
    </w:p>
    <w:tbl>
      <w:tblPr>
        <w:tblStyle w:val="TableGrid"/>
        <w:tblW w:type="dxa" w:w="9360"/>
        <w:tblLayout w:type="fixed"/>
        <w:tblLook w:firstColumn="1" w:firstRow="1" w:lastColumn="0" w:lastRow="0" w:noHBand="0" w:noVBand="1" w:val="04A0"/>
        <w:jc w:val="left"/>
        <w:tblInd w:w="120" w:type="dxa"/>
      </w:tblPr>
      <w:tblGrid>
        <w:gridCol w:w="2150"/>
        <w:gridCol w:w="2500"/>
        <w:gridCol w:w="1100"/>
        <w:gridCol w:w="3610"/>
      </w:tblGrid>
      <w:tr>
        <w:trPr>
          <w:tblHeader w:val="true"/>
        </w:trPr>
        <w:tc>
          <w:tcPr>
            <w:tcW w:type="dxa" w:w="21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Source table</w:t>
            </w:r>
          </w:p>
        </w:tc>
        <w:tc>
          <w:tcPr>
            <w:tcW w:type="dxa" w:w="25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Finding</w:t>
            </w:r>
          </w:p>
        </w:tc>
        <w:tc>
          <w:tcPr>
            <w:tcW w:type="dxa" w:w="11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Count</w:t>
            </w:r>
          </w:p>
        </w:tc>
        <w:tc>
          <w:tcPr>
            <w:tcW w:type="dxa" w:w="36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Treatment / meaning</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stg_assessments</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missing assessment dates</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11</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Eleven Exam records have no scheduled date; these become SQL NULL.</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stg_vle</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resources with both week fields missing</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5,243</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Missing resource-week ranges are retained as SQL NULL pairs.</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stg_student_info</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missing IMD-band values</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1,111</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Unknown IMD bands are standardised to SQL NULL in the cleaned layer.</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stg_student_info</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nonstandard 10-20 IMD labels</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3,516</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The nonstandard label is transformed to 10-20%.</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stg_student_registration</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missing registration dates</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45</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Missing registration dates are retained as SQL NULL.</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stg_student_registration</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missing unregistration dates</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22,521</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A missing unregistration date normally means no withdrawal was recorded.</w:t>
            </w:r>
          </w:p>
        </w:tc>
      </w:tr>
      <w:tr>
        <w:tc>
          <w:tcPr>
            <w:tcW w:type="dxa" w:w="2150"/>
            <w:tcMar>
              <w:top w:w="80" w:type="dxa"/>
              <w:start w:w="120" w:type="dxa"/>
              <w:bottom w:w="80" w:type="dxa"/>
              <w:end w:w="120" w:type="dxa"/>
            </w:tcMar>
            <w:vAlign w:val="center"/>
          </w:tcPr>
          <w:p>
            <w:pPr>
              <w:spacing w:before="0" w:after="0" w:line="240" w:lineRule="auto"/>
              <w:jc w:val="center"/>
            </w:pPr>
            <w:r>
              <w:rPr>
                <w:rFonts w:ascii="Calibri" w:hAnsi="Calibri"/>
                <w:sz w:val="16"/>
              </w:rPr>
              <w:t>stg_student_assessment</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sz w:val="16"/>
              </w:rPr>
              <w:t>missing assessment scores</w:t>
            </w:r>
          </w:p>
        </w:tc>
        <w:tc>
          <w:tcPr>
            <w:tcW w:type="dxa" w:w="1100"/>
            <w:tcMar>
              <w:top w:w="80" w:type="dxa"/>
              <w:start w:w="120" w:type="dxa"/>
              <w:bottom w:w="80" w:type="dxa"/>
              <w:end w:w="120" w:type="dxa"/>
            </w:tcMar>
            <w:vAlign w:val="center"/>
          </w:tcPr>
          <w:p>
            <w:pPr>
              <w:spacing w:before="0" w:after="0" w:line="240" w:lineRule="auto"/>
              <w:jc w:val="left"/>
            </w:pPr>
            <w:r>
              <w:rPr>
                <w:rFonts w:ascii="Calibri" w:hAnsi="Calibri"/>
                <w:sz w:val="16"/>
              </w:rPr>
              <w:t>173</w:t>
            </w:r>
          </w:p>
        </w:tc>
        <w:tc>
          <w:tcPr>
            <w:tcW w:type="dxa" w:w="3610"/>
            <w:tcMar>
              <w:top w:w="80" w:type="dxa"/>
              <w:start w:w="120" w:type="dxa"/>
              <w:bottom w:w="80" w:type="dxa"/>
              <w:end w:w="120" w:type="dxa"/>
            </w:tcMar>
            <w:vAlign w:val="center"/>
          </w:tcPr>
          <w:p>
            <w:pPr>
              <w:spacing w:before="0" w:after="0" w:line="240" w:lineRule="auto"/>
              <w:jc w:val="left"/>
            </w:pPr>
            <w:r>
              <w:rPr>
                <w:rFonts w:ascii="Calibri" w:hAnsi="Calibri"/>
                <w:sz w:val="16"/>
              </w:rPr>
              <w:t>Missing scores are retained as SQL NULL rather than treated as zero.</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600"/>
        <w:gridCol w:w="5260"/>
        <w:gridCol w:w="1500"/>
      </w:tblGrid>
      <w:tr>
        <w:trPr>
          <w:tblHeader w:val="true"/>
        </w:trPr>
        <w:tc>
          <w:tcPr>
            <w:tcW w:type="dxa" w:w="26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Quality area</w:t>
            </w:r>
          </w:p>
        </w:tc>
        <w:tc>
          <w:tcPr>
            <w:tcW w:type="dxa" w:w="52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Evidence</w:t>
            </w:r>
          </w:p>
        </w:tc>
        <w:tc>
          <w:tcPr>
            <w:tcW w:type="dxa" w:w="15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Result</w:t>
            </w:r>
          </w:p>
        </w:tc>
      </w:tr>
      <w:tr>
        <w:tc>
          <w:tcPr>
            <w:tcW w:type="dxa" w:w="2600"/>
            <w:tcMar>
              <w:top w:w="80" w:type="dxa"/>
              <w:start w:w="120" w:type="dxa"/>
              <w:bottom w:w="80" w:type="dxa"/>
              <w:end w:w="120" w:type="dxa"/>
            </w:tcMar>
            <w:vAlign w:val="center"/>
          </w:tcPr>
          <w:p>
            <w:pPr>
              <w:spacing w:before="0" w:after="0" w:line="240" w:lineRule="auto"/>
              <w:jc w:val="center"/>
            </w:pPr>
            <w:r>
              <w:rPr>
                <w:rFonts w:ascii="Calibri" w:hAnsi="Calibri"/>
                <w:sz w:val="18"/>
              </w:rPr>
              <w:t>Staging reconciliation</w:t>
            </w:r>
          </w:p>
        </w:tc>
        <w:tc>
          <w:tcPr>
            <w:tcW w:type="dxa" w:w="5260"/>
            <w:tcMar>
              <w:top w:w="80" w:type="dxa"/>
              <w:start w:w="120" w:type="dxa"/>
              <w:bottom w:w="80" w:type="dxa"/>
              <w:end w:w="120" w:type="dxa"/>
            </w:tcMar>
            <w:vAlign w:val="center"/>
          </w:tcPr>
          <w:p>
            <w:pPr>
              <w:spacing w:before="0" w:after="0" w:line="240" w:lineRule="auto"/>
              <w:jc w:val="left"/>
            </w:pPr>
            <w:r>
              <w:rPr>
                <w:rFonts w:ascii="Calibri" w:hAnsi="Calibri"/>
                <w:sz w:val="18"/>
              </w:rPr>
              <w:t>7/7 source files matched expected counts</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r>
      <w:tr>
        <w:tc>
          <w:tcPr>
            <w:tcW w:type="dxa" w:w="2600"/>
            <w:tcMar>
              <w:top w:w="80" w:type="dxa"/>
              <w:start w:w="120" w:type="dxa"/>
              <w:bottom w:w="80" w:type="dxa"/>
              <w:end w:w="120" w:type="dxa"/>
            </w:tcMar>
            <w:vAlign w:val="center"/>
          </w:tcPr>
          <w:p>
            <w:pPr>
              <w:spacing w:before="0" w:after="0" w:line="240" w:lineRule="auto"/>
              <w:jc w:val="center"/>
            </w:pPr>
            <w:r>
              <w:rPr>
                <w:rFonts w:ascii="Calibri" w:hAnsi="Calibri"/>
                <w:sz w:val="18"/>
              </w:rPr>
              <w:t>Required values</w:t>
            </w:r>
          </w:p>
        </w:tc>
        <w:tc>
          <w:tcPr>
            <w:tcW w:type="dxa" w:w="5260"/>
            <w:tcMar>
              <w:top w:w="80" w:type="dxa"/>
              <w:start w:w="120" w:type="dxa"/>
              <w:bottom w:w="80" w:type="dxa"/>
              <w:end w:w="120" w:type="dxa"/>
            </w:tcMar>
            <w:vAlign w:val="center"/>
          </w:tcPr>
          <w:p>
            <w:pPr>
              <w:spacing w:before="0" w:after="0" w:line="240" w:lineRule="auto"/>
              <w:jc w:val="left"/>
            </w:pPr>
            <w:r>
              <w:rPr>
                <w:rFonts w:ascii="Calibri" w:hAnsi="Calibri"/>
                <w:sz w:val="18"/>
              </w:rPr>
              <w:t>0 missing required course or interaction values</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r>
      <w:tr>
        <w:tc>
          <w:tcPr>
            <w:tcW w:type="dxa" w:w="2600"/>
            <w:tcMar>
              <w:top w:w="80" w:type="dxa"/>
              <w:start w:w="120" w:type="dxa"/>
              <w:bottom w:w="80" w:type="dxa"/>
              <w:end w:w="120" w:type="dxa"/>
            </w:tcMar>
            <w:vAlign w:val="center"/>
          </w:tcPr>
          <w:p>
            <w:pPr>
              <w:spacing w:before="0" w:after="0" w:line="240" w:lineRule="auto"/>
              <w:jc w:val="center"/>
            </w:pPr>
            <w:r>
              <w:rPr>
                <w:rFonts w:ascii="Calibri" w:hAnsi="Calibri"/>
                <w:sz w:val="18"/>
              </w:rPr>
              <w:t>Cleaned relations</w:t>
            </w:r>
          </w:p>
        </w:tc>
        <w:tc>
          <w:tcPr>
            <w:tcW w:type="dxa" w:w="5260"/>
            <w:tcMar>
              <w:top w:w="80" w:type="dxa"/>
              <w:start w:w="120" w:type="dxa"/>
              <w:bottom w:w="80" w:type="dxa"/>
              <w:end w:w="120" w:type="dxa"/>
            </w:tcMar>
            <w:vAlign w:val="center"/>
          </w:tcPr>
          <w:p>
            <w:pPr>
              <w:spacing w:before="0" w:after="0" w:line="240" w:lineRule="auto"/>
              <w:jc w:val="left"/>
            </w:pPr>
            <w:r>
              <w:rPr>
                <w:rFonts w:ascii="Calibri" w:hAnsi="Calibri"/>
                <w:sz w:val="18"/>
              </w:rPr>
              <w:t>7/7 tables matched expected grain and count</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r>
      <w:tr>
        <w:tc>
          <w:tcPr>
            <w:tcW w:type="dxa" w:w="2600"/>
            <w:tcMar>
              <w:top w:w="80" w:type="dxa"/>
              <w:start w:w="120" w:type="dxa"/>
              <w:bottom w:w="80" w:type="dxa"/>
              <w:end w:w="120" w:type="dxa"/>
            </w:tcMar>
            <w:vAlign w:val="center"/>
          </w:tcPr>
          <w:p>
            <w:pPr>
              <w:spacing w:before="0" w:after="0" w:line="240" w:lineRule="auto"/>
              <w:jc w:val="center"/>
            </w:pPr>
            <w:r>
              <w:rPr>
                <w:rFonts w:ascii="Calibri" w:hAnsi="Calibri"/>
                <w:sz w:val="18"/>
              </w:rPr>
              <w:t>Value validity</w:t>
            </w:r>
          </w:p>
        </w:tc>
        <w:tc>
          <w:tcPr>
            <w:tcW w:type="dxa" w:w="5260"/>
            <w:tcMar>
              <w:top w:w="80" w:type="dxa"/>
              <w:start w:w="120" w:type="dxa"/>
              <w:bottom w:w="80" w:type="dxa"/>
              <w:end w:w="120" w:type="dxa"/>
            </w:tcMar>
            <w:vAlign w:val="center"/>
          </w:tcPr>
          <w:p>
            <w:pPr>
              <w:spacing w:before="0" w:after="0" w:line="240" w:lineRule="auto"/>
              <w:jc w:val="left"/>
            </w:pPr>
            <w:r>
              <w:rPr>
                <w:rFonts w:ascii="Calibri" w:hAnsi="Calibri"/>
                <w:sz w:val="18"/>
              </w:rPr>
              <w:t>0 invalid scores, date orders or click totals</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r>
      <w:tr>
        <w:tc>
          <w:tcPr>
            <w:tcW w:type="dxa" w:w="2600"/>
            <w:tcMar>
              <w:top w:w="80" w:type="dxa"/>
              <w:start w:w="120" w:type="dxa"/>
              <w:bottom w:w="80" w:type="dxa"/>
              <w:end w:w="120" w:type="dxa"/>
            </w:tcMar>
            <w:vAlign w:val="center"/>
          </w:tcPr>
          <w:p>
            <w:pPr>
              <w:spacing w:before="0" w:after="0" w:line="240" w:lineRule="auto"/>
              <w:jc w:val="center"/>
            </w:pPr>
            <w:r>
              <w:rPr>
                <w:rFonts w:ascii="Calibri" w:hAnsi="Calibri"/>
                <w:sz w:val="18"/>
              </w:rPr>
              <w:t>Referential integrity</w:t>
            </w:r>
          </w:p>
        </w:tc>
        <w:tc>
          <w:tcPr>
            <w:tcW w:type="dxa" w:w="5260"/>
            <w:tcMar>
              <w:top w:w="80" w:type="dxa"/>
              <w:start w:w="120" w:type="dxa"/>
              <w:bottom w:w="80" w:type="dxa"/>
              <w:end w:w="120" w:type="dxa"/>
            </w:tcMar>
            <w:vAlign w:val="center"/>
          </w:tcPr>
          <w:p>
            <w:pPr>
              <w:spacing w:before="0" w:after="0" w:line="240" w:lineRule="auto"/>
              <w:jc w:val="left"/>
            </w:pPr>
            <w:r>
              <w:rPr>
                <w:rFonts w:ascii="Calibri" w:hAnsi="Calibri"/>
                <w:sz w:val="18"/>
              </w:rPr>
              <w:t>0 orphan interaction registrations or resources</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r>
      <w:tr>
        <w:tc>
          <w:tcPr>
            <w:tcW w:type="dxa" w:w="2600"/>
            <w:tcMar>
              <w:top w:w="80" w:type="dxa"/>
              <w:start w:w="120" w:type="dxa"/>
              <w:bottom w:w="80" w:type="dxa"/>
              <w:end w:w="120" w:type="dxa"/>
            </w:tcMar>
            <w:vAlign w:val="center"/>
          </w:tcPr>
          <w:p>
            <w:pPr>
              <w:spacing w:before="0" w:after="0" w:line="240" w:lineRule="auto"/>
              <w:jc w:val="center"/>
            </w:pPr>
            <w:r>
              <w:rPr>
                <w:rFonts w:ascii="Calibri" w:hAnsi="Calibri"/>
                <w:sz w:val="18"/>
              </w:rPr>
              <w:t>Analytics reconciliation</w:t>
            </w:r>
          </w:p>
        </w:tc>
        <w:tc>
          <w:tcPr>
            <w:tcW w:type="dxa" w:w="5260"/>
            <w:tcMar>
              <w:top w:w="80" w:type="dxa"/>
              <w:start w:w="120" w:type="dxa"/>
              <w:bottom w:w="80" w:type="dxa"/>
              <w:end w:w="120" w:type="dxa"/>
            </w:tcMar>
            <w:vAlign w:val="center"/>
          </w:tcPr>
          <w:p>
            <w:pPr>
              <w:spacing w:before="0" w:after="0" w:line="240" w:lineRule="auto"/>
              <w:jc w:val="left"/>
            </w:pPr>
            <w:r>
              <w:rPr>
                <w:rFonts w:ascii="Calibri" w:hAnsi="Calibri"/>
                <w:sz w:val="18"/>
              </w:rPr>
              <w:t>32,593 registrations represented in both summaries</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sz w:val="18"/>
              </w:rPr>
              <w:t>PASS</w:t>
            </w:r>
          </w:p>
        </w:tc>
      </w:tr>
    </w:tbl>
    <w:p>
      <w:pPr>
        <w:spacing w:after="40"/>
      </w:pPr>
    </w:p>
    <w:p>
      <w:pPr>
        <w:keepNext/>
        <w:spacing w:before="80" w:after="40"/>
        <w:jc w:val="center"/>
      </w:pPr>
      <w:r>
        <w:drawing>
          <wp:inline xmlns:a="http://schemas.openxmlformats.org/drawingml/2006/main" xmlns:pic="http://schemas.openxmlformats.org/drawingml/2006/picture">
            <wp:extent cx="5715000" cy="1605407"/>
            <wp:docPr id="4" name="Picture 4" descr="VS Code terminal showing successful creation of the CSV, Markdown and pipeline log outputs with zero failed checks." title="Figure 4. Final quality report generation: 31 passed, 0 failed and 7 informational findings."/>
            <wp:cNvGraphicFramePr>
              <a:graphicFrameLocks noChangeAspect="1"/>
            </wp:cNvGraphicFramePr>
            <a:graphic>
              <a:graphicData uri="http://schemas.openxmlformats.org/drawingml/2006/picture">
                <pic:pic>
                  <pic:nvPicPr>
                    <pic:cNvPr id="0" name="image(1302).png"/>
                    <pic:cNvPicPr/>
                  </pic:nvPicPr>
                  <pic:blipFill>
                    <a:blip r:embed="rId14"/>
                    <a:stretch>
                      <a:fillRect/>
                    </a:stretch>
                  </pic:blipFill>
                  <pic:spPr>
                    <a:xfrm>
                      <a:off x="0" y="0"/>
                      <a:ext cx="5715000" cy="1605407"/>
                    </a:xfrm>
                    <a:prstGeom prst="rect"/>
                  </pic:spPr>
                </pic:pic>
              </a:graphicData>
            </a:graphic>
          </wp:inline>
        </w:drawing>
      </w:r>
    </w:p>
    <w:p>
      <w:pPr>
        <w:pStyle w:val="Caption"/>
        <w:spacing w:before="40" w:after="160"/>
        <w:jc w:val="center"/>
      </w:pPr>
      <w:r>
        <w:rPr>
          <w:rFonts w:ascii="Calibri" w:hAnsi="Calibri"/>
          <w:i/>
          <w:color w:val="595959"/>
          <w:sz w:val="18"/>
        </w:rPr>
        <w:t>Figure 4. Final quality report generation: 31 passed, 0 failed and 7 informational findings.</w:t>
      </w:r>
    </w:p>
    <w:p>
      <w:pPr>
        <w:pStyle w:val="Heading1"/>
        <w:keepNext/>
      </w:pPr>
      <w:r>
        <w:t>7. Pipeline Execution and Evidence</w:t>
      </w:r>
    </w:p>
    <w:p>
      <w:pPr>
        <w:spacing w:before="0" w:after="120" w:line="264" w:lineRule="auto"/>
      </w:pPr>
      <w:r>
        <w:rPr>
          <w:rFonts w:ascii="Calibri" w:hAnsi="Calibri"/>
          <w:sz w:val="22"/>
        </w:rPr>
        <w:t>The implementation is separated into small programs so each stage can be understood, tested and evidenced independently. The required execution order is shown below.</w:t>
      </w:r>
    </w:p>
    <w:p>
      <w:pPr>
        <w:spacing w:before="80" w:after="20" w:line="240" w:lineRule="auto"/>
        <w:ind w:left="360" w:right="216"/>
        <w:shd w:fill="F7F8FA"/>
      </w:pPr>
      <w:r>
        <w:rPr>
          <w:rFonts w:ascii="Consolas" w:hAnsi="Consolas"/>
          <w:color w:val="0B2545"/>
          <w:sz w:val="18"/>
        </w:rPr>
        <w:t>python test_connection.py</w:t>
      </w:r>
    </w:p>
    <w:p>
      <w:pPr>
        <w:spacing w:before="0" w:after="20" w:line="240" w:lineRule="auto"/>
        <w:ind w:left="360" w:right="216"/>
        <w:shd w:fill="F7F8FA"/>
      </w:pPr>
      <w:r>
        <w:rPr>
          <w:rFonts w:ascii="Consolas" w:hAnsi="Consolas"/>
          <w:color w:val="0B2545"/>
          <w:sz w:val="18"/>
        </w:rPr>
        <w:t>python inspect_raw_files.py</w:t>
      </w:r>
    </w:p>
    <w:p>
      <w:pPr>
        <w:spacing w:before="0" w:after="20" w:line="240" w:lineRule="auto"/>
        <w:ind w:left="360" w:right="216"/>
        <w:shd w:fill="F7F8FA"/>
      </w:pPr>
      <w:r>
        <w:rPr>
          <w:rFonts w:ascii="Consolas" w:hAnsi="Consolas"/>
          <w:color w:val="0B2545"/>
          <w:sz w:val="18"/>
        </w:rPr>
        <w:t>python task6_load_staging.py</w:t>
      </w:r>
    </w:p>
    <w:p>
      <w:pPr>
        <w:spacing w:before="0" w:after="20" w:line="240" w:lineRule="auto"/>
        <w:ind w:left="360" w:right="216"/>
        <w:shd w:fill="F7F8FA"/>
      </w:pPr>
      <w:r>
        <w:rPr>
          <w:rFonts w:ascii="Consolas" w:hAnsi="Consolas"/>
          <w:color w:val="0B2545"/>
          <w:sz w:val="18"/>
        </w:rPr>
        <w:t>python task6_transform_clean.py</w:t>
      </w:r>
    </w:p>
    <w:p>
      <w:pPr>
        <w:spacing w:before="0" w:after="20" w:line="240" w:lineRule="auto"/>
        <w:ind w:left="360" w:right="216"/>
        <w:shd w:fill="F7F8FA"/>
      </w:pPr>
      <w:r>
        <w:rPr>
          <w:rFonts w:ascii="Consolas" w:hAnsi="Consolas"/>
          <w:color w:val="0B2545"/>
          <w:sz w:val="18"/>
        </w:rPr>
        <w:t>python task6_build_analytics.py</w:t>
      </w:r>
    </w:p>
    <w:p>
      <w:pPr>
        <w:spacing w:before="0" w:after="160" w:line="240" w:lineRule="auto"/>
        <w:ind w:left="360" w:right="216"/>
        <w:shd w:fill="F7F8FA"/>
      </w:pPr>
      <w:r>
        <w:rPr>
          <w:rFonts w:ascii="Consolas" w:hAnsi="Consolas"/>
          <w:color w:val="0B2545"/>
          <w:sz w:val="18"/>
        </w:rPr>
        <w:t>python task6_generate_quality_report.py</w:t>
      </w:r>
    </w:p>
    <w:tbl>
      <w:tblPr>
        <w:tblStyle w:val="TableGrid"/>
        <w:tblW w:type="dxa" w:w="9360"/>
        <w:tblLayout w:type="fixed"/>
        <w:tblLook w:firstColumn="1" w:firstRow="1" w:lastColumn="0" w:lastRow="0" w:noHBand="0" w:noVBand="1" w:val="04A0"/>
        <w:jc w:val="left"/>
        <w:tblInd w:w="120" w:type="dxa"/>
      </w:tblPr>
      <w:tblGrid>
        <w:gridCol w:w="1950"/>
        <w:gridCol w:w="1800"/>
        <w:gridCol w:w="1700"/>
        <w:gridCol w:w="3910"/>
      </w:tblGrid>
      <w:tr>
        <w:trPr>
          <w:tblHeader w:val="true"/>
        </w:trPr>
        <w:tc>
          <w:tcPr>
            <w:tcW w:type="dxa" w:w="195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Stage</w:t>
            </w:r>
          </w:p>
        </w:tc>
        <w:tc>
          <w:tcPr>
            <w:tcW w:type="dxa" w:w="18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Rows written</w:t>
            </w:r>
          </w:p>
        </w:tc>
        <w:tc>
          <w:tcPr>
            <w:tcW w:type="dxa" w:w="17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Logged seconds</w:t>
            </w:r>
          </w:p>
        </w:tc>
        <w:tc>
          <w:tcPr>
            <w:tcW w:type="dxa" w:w="391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Outcome</w:t>
            </w:r>
          </w:p>
        </w:tc>
      </w:tr>
      <w:tr>
        <w:tc>
          <w:tcPr>
            <w:tcW w:type="dxa" w:w="1950"/>
            <w:tcMar>
              <w:top w:w="80" w:type="dxa"/>
              <w:start w:w="120" w:type="dxa"/>
              <w:bottom w:w="80" w:type="dxa"/>
              <w:end w:w="120" w:type="dxa"/>
            </w:tcMar>
            <w:vAlign w:val="center"/>
          </w:tcPr>
          <w:p>
            <w:pPr>
              <w:spacing w:before="0" w:after="0" w:line="240" w:lineRule="auto"/>
              <w:jc w:val="center"/>
            </w:pPr>
            <w:r>
              <w:rPr>
                <w:rFonts w:ascii="Calibri" w:hAnsi="Calibri"/>
                <w:sz w:val="18"/>
              </w:rPr>
              <w:t>Raw loading</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sz w:val="18"/>
              </w:rPr>
              <w:t>10,900,970</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145.66</w:t>
            </w:r>
          </w:p>
        </w:tc>
        <w:tc>
          <w:tcPr>
            <w:tcW w:type="dxa" w:w="3910"/>
            <w:tcMar>
              <w:top w:w="80" w:type="dxa"/>
              <w:start w:w="120" w:type="dxa"/>
              <w:bottom w:w="80" w:type="dxa"/>
              <w:end w:w="120" w:type="dxa"/>
            </w:tcMar>
            <w:vAlign w:val="center"/>
          </w:tcPr>
          <w:p>
            <w:pPr>
              <w:spacing w:before="0" w:after="0" w:line="240" w:lineRule="auto"/>
              <w:jc w:val="left"/>
            </w:pPr>
            <w:r>
              <w:rPr>
                <w:rFonts w:ascii="Calibri" w:hAnsi="Calibri"/>
                <w:sz w:val="18"/>
              </w:rPr>
              <w:t>Seven CSVs reconciled</w:t>
            </w:r>
          </w:p>
        </w:tc>
      </w:tr>
      <w:tr>
        <w:tc>
          <w:tcPr>
            <w:tcW w:type="dxa" w:w="1950"/>
            <w:tcMar>
              <w:top w:w="80" w:type="dxa"/>
              <w:start w:w="120" w:type="dxa"/>
              <w:bottom w:w="80" w:type="dxa"/>
              <w:end w:w="120" w:type="dxa"/>
            </w:tcMar>
            <w:vAlign w:val="center"/>
          </w:tcPr>
          <w:p>
            <w:pPr>
              <w:spacing w:before="0" w:after="0" w:line="240" w:lineRule="auto"/>
              <w:jc w:val="center"/>
            </w:pPr>
            <w:r>
              <w:rPr>
                <w:rFonts w:ascii="Calibri" w:hAnsi="Calibri"/>
                <w:sz w:val="18"/>
              </w:rPr>
              <w:t>Clean transforms</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sz w:val="18"/>
              </w:rPr>
              <w:t>8,700,202*</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258.21**</w:t>
            </w:r>
          </w:p>
        </w:tc>
        <w:tc>
          <w:tcPr>
            <w:tcW w:type="dxa" w:w="3910"/>
            <w:tcMar>
              <w:top w:w="80" w:type="dxa"/>
              <w:start w:w="120" w:type="dxa"/>
              <w:bottom w:w="80" w:type="dxa"/>
              <w:end w:w="120" w:type="dxa"/>
            </w:tcMar>
            <w:vAlign w:val="center"/>
          </w:tcPr>
          <w:p>
            <w:pPr>
              <w:spacing w:before="0" w:after="0" w:line="240" w:lineRule="auto"/>
              <w:jc w:val="left"/>
            </w:pPr>
            <w:r>
              <w:rPr>
                <w:rFonts w:ascii="Calibri" w:hAnsi="Calibri"/>
                <w:sz w:val="18"/>
              </w:rPr>
              <w:t>Seven constrained clean tables</w:t>
            </w:r>
          </w:p>
        </w:tc>
      </w:tr>
      <w:tr>
        <w:tc>
          <w:tcPr>
            <w:tcW w:type="dxa" w:w="1950"/>
            <w:tcMar>
              <w:top w:w="80" w:type="dxa"/>
              <w:start w:w="120" w:type="dxa"/>
              <w:bottom w:w="80" w:type="dxa"/>
              <w:end w:w="120" w:type="dxa"/>
            </w:tcMar>
            <w:vAlign w:val="center"/>
          </w:tcPr>
          <w:p>
            <w:pPr>
              <w:spacing w:before="0" w:after="0" w:line="240" w:lineRule="auto"/>
              <w:jc w:val="center"/>
            </w:pPr>
            <w:r>
              <w:rPr>
                <w:rFonts w:ascii="Calibri" w:hAnsi="Calibri"/>
                <w:sz w:val="18"/>
              </w:rPr>
              <w:t>Analytics</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sz w:val="18"/>
              </w:rPr>
              <w:t>32,676</w:t>
            </w:r>
          </w:p>
        </w:tc>
        <w:tc>
          <w:tcPr>
            <w:tcW w:type="dxa" w:w="1700"/>
            <w:tcMar>
              <w:top w:w="80" w:type="dxa"/>
              <w:start w:w="120" w:type="dxa"/>
              <w:bottom w:w="80" w:type="dxa"/>
              <w:end w:w="120" w:type="dxa"/>
            </w:tcMar>
            <w:vAlign w:val="center"/>
          </w:tcPr>
          <w:p>
            <w:pPr>
              <w:spacing w:before="0" w:after="0" w:line="240" w:lineRule="auto"/>
              <w:jc w:val="left"/>
            </w:pPr>
            <w:r>
              <w:rPr>
                <w:rFonts w:ascii="Calibri" w:hAnsi="Calibri"/>
                <w:sz w:val="18"/>
              </w:rPr>
              <w:t>79.85</w:t>
            </w:r>
          </w:p>
        </w:tc>
        <w:tc>
          <w:tcPr>
            <w:tcW w:type="dxa" w:w="3910"/>
            <w:tcMar>
              <w:top w:w="80" w:type="dxa"/>
              <w:start w:w="120" w:type="dxa"/>
              <w:bottom w:w="80" w:type="dxa"/>
              <w:end w:w="120" w:type="dxa"/>
            </w:tcMar>
            <w:vAlign w:val="center"/>
          </w:tcPr>
          <w:p>
            <w:pPr>
              <w:spacing w:before="0" w:after="0" w:line="240" w:lineRule="auto"/>
              <w:jc w:val="left"/>
            </w:pPr>
            <w:r>
              <w:rPr>
                <w:rFonts w:ascii="Calibri" w:hAnsi="Calibri"/>
                <w:sz w:val="18"/>
              </w:rPr>
              <w:t>Four reporting tables</w:t>
            </w:r>
          </w:p>
        </w:tc>
      </w:tr>
    </w:tbl>
    <w:p>
      <w:pPr>
        <w:spacing w:after="40"/>
      </w:pPr>
    </w:p>
    <w:p>
      <w:pPr>
        <w:spacing w:before="40" w:after="160" w:line="240" w:lineRule="auto"/>
      </w:pPr>
      <w:r>
        <w:rPr>
          <w:rFonts w:ascii="Calibri" w:hAnsi="Calibri"/>
          <w:i/>
          <w:color w:val="595959"/>
          <w:sz w:val="17"/>
        </w:rPr>
        <w:t>* Sum of table row counts; relations have different grains and should not be added as a business total. ** Excludes the 85.08-second staging-index build and 344.00-second large-table constraint build, which are displayed separately by the transformation program.</w:t>
      </w:r>
    </w:p>
    <w:p>
      <w:pPr>
        <w:pStyle w:val="Heading1"/>
        <w:keepNext/>
      </w:pPr>
      <w:r>
        <w:t>8. Requirement Traceability</w:t>
      </w:r>
    </w:p>
    <w:tbl>
      <w:tblPr>
        <w:tblStyle w:val="TableGrid"/>
        <w:tblW w:type="dxa" w:w="9360"/>
        <w:tblLayout w:type="fixed"/>
        <w:tblLook w:firstColumn="1" w:firstRow="1" w:lastColumn="0" w:lastRow="0" w:noHBand="0" w:noVBand="1" w:val="04A0"/>
        <w:jc w:val="left"/>
        <w:tblInd w:w="120" w:type="dxa"/>
      </w:tblPr>
      <w:tblGrid>
        <w:gridCol w:w="2200"/>
        <w:gridCol w:w="4360"/>
        <w:gridCol w:w="2800"/>
      </w:tblGrid>
      <w:tr>
        <w:trPr>
          <w:tblHeader w:val="true"/>
        </w:trPr>
        <w:tc>
          <w:tcPr>
            <w:tcW w:type="dxa" w:w="22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Requirement</w:t>
            </w:r>
          </w:p>
        </w:tc>
        <w:tc>
          <w:tcPr>
            <w:tcW w:type="dxa" w:w="43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Implementation</w:t>
            </w:r>
          </w:p>
        </w:tc>
        <w:tc>
          <w:tcPr>
            <w:tcW w:type="dxa" w:w="28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Evidence</w:t>
            </w:r>
          </w:p>
        </w:tc>
      </w:tr>
      <w:tr>
        <w:tc>
          <w:tcPr>
            <w:tcW w:type="dxa" w:w="2200"/>
            <w:tcMar>
              <w:top w:w="80" w:type="dxa"/>
              <w:start w:w="120" w:type="dxa"/>
              <w:bottom w:w="80" w:type="dxa"/>
              <w:end w:w="120" w:type="dxa"/>
            </w:tcMar>
            <w:vAlign w:val="center"/>
          </w:tcPr>
          <w:p>
            <w:pPr>
              <w:spacing w:before="0" w:after="0" w:line="240" w:lineRule="auto"/>
              <w:jc w:val="center"/>
            </w:pPr>
            <w:r>
              <w:rPr>
                <w:rFonts w:ascii="Calibri" w:hAnsi="Calibri"/>
                <w:sz w:val="17"/>
              </w:rPr>
              <w:t>Raw files</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sz w:val="17"/>
              </w:rPr>
              <w:t>Seven original CSV files in data/</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7"/>
              </w:rPr>
              <w:t>Preflight output and Figure 1</w:t>
            </w:r>
          </w:p>
        </w:tc>
      </w:tr>
      <w:tr>
        <w:tc>
          <w:tcPr>
            <w:tcW w:type="dxa" w:w="2200"/>
            <w:tcMar>
              <w:top w:w="80" w:type="dxa"/>
              <w:start w:w="120" w:type="dxa"/>
              <w:bottom w:w="80" w:type="dxa"/>
              <w:end w:w="120" w:type="dxa"/>
            </w:tcMar>
            <w:vAlign w:val="center"/>
          </w:tcPr>
          <w:p>
            <w:pPr>
              <w:spacing w:before="0" w:after="0" w:line="240" w:lineRule="auto"/>
              <w:jc w:val="center"/>
            </w:pPr>
            <w:r>
              <w:rPr>
                <w:rFonts w:ascii="Calibri" w:hAnsi="Calibri"/>
                <w:sz w:val="17"/>
              </w:rPr>
              <w:t>Staging tables</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sz w:val="17"/>
              </w:rPr>
              <w:t>Seven stg_* tables; 10,900,970 rows</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7"/>
              </w:rPr>
              <w:t>etl_run_log and Figure 1</w:t>
            </w:r>
          </w:p>
        </w:tc>
      </w:tr>
      <w:tr>
        <w:tc>
          <w:tcPr>
            <w:tcW w:type="dxa" w:w="2200"/>
            <w:tcMar>
              <w:top w:w="80" w:type="dxa"/>
              <w:start w:w="120" w:type="dxa"/>
              <w:bottom w:w="80" w:type="dxa"/>
              <w:end w:w="120" w:type="dxa"/>
            </w:tcMar>
            <w:vAlign w:val="center"/>
          </w:tcPr>
          <w:p>
            <w:pPr>
              <w:spacing w:before="0" w:after="0" w:line="240" w:lineRule="auto"/>
              <w:jc w:val="center"/>
            </w:pPr>
            <w:r>
              <w:rPr>
                <w:rFonts w:ascii="Calibri" w:hAnsi="Calibri"/>
                <w:sz w:val="17"/>
              </w:rPr>
              <w:t>Cleaned tables</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sz w:val="17"/>
              </w:rPr>
              <w:t>Seven clean_* relations with keys and constraints</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7"/>
              </w:rPr>
              <w:t>Figure 2 and quality checks</w:t>
            </w:r>
          </w:p>
        </w:tc>
      </w:tr>
      <w:tr>
        <w:tc>
          <w:tcPr>
            <w:tcW w:type="dxa" w:w="2200"/>
            <w:tcMar>
              <w:top w:w="80" w:type="dxa"/>
              <w:start w:w="120" w:type="dxa"/>
              <w:bottom w:w="80" w:type="dxa"/>
              <w:end w:w="120" w:type="dxa"/>
            </w:tcMar>
            <w:vAlign w:val="center"/>
          </w:tcPr>
          <w:p>
            <w:pPr>
              <w:spacing w:before="0" w:after="0" w:line="240" w:lineRule="auto"/>
              <w:jc w:val="center"/>
            </w:pPr>
            <w:r>
              <w:rPr>
                <w:rFonts w:ascii="Calibri" w:hAnsi="Calibri"/>
                <w:sz w:val="17"/>
              </w:rPr>
              <w:t>Analytics layer</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sz w:val="17"/>
              </w:rPr>
              <w:t>Four analytics_* reporting tables</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7"/>
              </w:rPr>
              <w:t>Figure 3 and reconciliation checks</w:t>
            </w:r>
          </w:p>
        </w:tc>
      </w:tr>
      <w:tr>
        <w:tc>
          <w:tcPr>
            <w:tcW w:type="dxa" w:w="2200"/>
            <w:tcMar>
              <w:top w:w="80" w:type="dxa"/>
              <w:start w:w="120" w:type="dxa"/>
              <w:bottom w:w="80" w:type="dxa"/>
              <w:end w:w="120" w:type="dxa"/>
            </w:tcMar>
            <w:vAlign w:val="center"/>
          </w:tcPr>
          <w:p>
            <w:pPr>
              <w:spacing w:before="0" w:after="0" w:line="240" w:lineRule="auto"/>
              <w:jc w:val="center"/>
            </w:pPr>
            <w:r>
              <w:rPr>
                <w:rFonts w:ascii="Calibri" w:hAnsi="Calibri"/>
                <w:sz w:val="17"/>
              </w:rPr>
              <w:t>Data-quality checks</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sz w:val="17"/>
              </w:rPr>
              <w:t>31 PASS, 0 FAIL, 7 INFO</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7"/>
              </w:rPr>
              <w:t>data_quality_results and Figure 4</w:t>
            </w:r>
          </w:p>
        </w:tc>
      </w:tr>
      <w:tr>
        <w:tc>
          <w:tcPr>
            <w:tcW w:type="dxa" w:w="2200"/>
            <w:tcMar>
              <w:top w:w="80" w:type="dxa"/>
              <w:start w:w="120" w:type="dxa"/>
              <w:bottom w:w="80" w:type="dxa"/>
              <w:end w:w="120" w:type="dxa"/>
            </w:tcMar>
            <w:vAlign w:val="center"/>
          </w:tcPr>
          <w:p>
            <w:pPr>
              <w:spacing w:before="0" w:after="0" w:line="240" w:lineRule="auto"/>
              <w:jc w:val="center"/>
            </w:pPr>
            <w:r>
              <w:rPr>
                <w:rFonts w:ascii="Calibri" w:hAnsi="Calibri"/>
                <w:sz w:val="17"/>
              </w:rPr>
              <w:t>Short quality report</w:t>
            </w:r>
          </w:p>
        </w:tc>
        <w:tc>
          <w:tcPr>
            <w:tcW w:type="dxa" w:w="4360"/>
            <w:tcMar>
              <w:top w:w="80" w:type="dxa"/>
              <w:start w:w="120" w:type="dxa"/>
              <w:bottom w:w="80" w:type="dxa"/>
              <w:end w:w="120" w:type="dxa"/>
            </w:tcMar>
            <w:vAlign w:val="center"/>
          </w:tcPr>
          <w:p>
            <w:pPr>
              <w:spacing w:before="0" w:after="0" w:line="240" w:lineRule="auto"/>
              <w:jc w:val="left"/>
            </w:pPr>
            <w:r>
              <w:rPr>
                <w:rFonts w:ascii="Calibri" w:hAnsi="Calibri"/>
                <w:sz w:val="17"/>
              </w:rPr>
              <w:t>CSV and Markdown reports plus pipeline log</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sz w:val="17"/>
              </w:rPr>
              <w:t>output/ directory</w:t>
            </w:r>
          </w:p>
        </w:tc>
      </w:tr>
    </w:tbl>
    <w:p>
      <w:pPr>
        <w:spacing w:after="40"/>
      </w:pPr>
    </w:p>
    <w:p>
      <w:r>
        <w:br w:type="page"/>
      </w:r>
    </w:p>
    <w:p>
      <w:pPr>
        <w:pStyle w:val="Heading1"/>
        <w:keepNext/>
      </w:pPr>
      <w:r>
        <w:t>9. Limitations and Future Improvements</w:t>
      </w:r>
    </w:p>
    <w:p>
      <w:pPr>
        <w:numPr>
          <w:ilvl w:val="0"/>
          <w:numId w:val="10"/>
        </w:numPr>
        <w:spacing w:before="0" w:after="160" w:line="280" w:lineRule="auto"/>
      </w:pPr>
      <w:r>
        <w:rPr>
          <w:rFonts w:ascii="Calibri" w:hAnsi="Calibri"/>
          <w:sz w:val="22"/>
        </w:rPr>
        <w:t>LOAD DATA LOCAL INFILE must remain enabled on the MySQL server and client connection.</w:t>
      </w:r>
    </w:p>
    <w:p>
      <w:pPr>
        <w:numPr>
          <w:ilvl w:val="0"/>
          <w:numId w:val="10"/>
        </w:numPr>
        <w:spacing w:before="0" w:after="160" w:line="280" w:lineRule="auto"/>
      </w:pPr>
      <w:r>
        <w:rPr>
          <w:rFonts w:ascii="Calibri" w:hAnsi="Calibri"/>
          <w:sz w:val="22"/>
        </w:rPr>
        <w:t>The scripts are intentionally run one stage at a time for teaching and evidence; a future wrapper could execute all stages with one command.</w:t>
      </w:r>
    </w:p>
    <w:p>
      <w:pPr>
        <w:numPr>
          <w:ilvl w:val="0"/>
          <w:numId w:val="10"/>
        </w:numPr>
        <w:spacing w:before="0" w:after="160" w:line="280" w:lineRule="auto"/>
      </w:pPr>
      <w:r>
        <w:rPr>
          <w:rFonts w:ascii="Calibri" w:hAnsi="Calibri"/>
          <w:sz w:val="22"/>
        </w:rPr>
        <w:t>The 2.20 million repeated interaction rows are consolidated at the documented daily grain. If a finer event grain becomes available, the aggregation rule should be reconsidered.</w:t>
      </w:r>
    </w:p>
    <w:p>
      <w:pPr>
        <w:numPr>
          <w:ilvl w:val="0"/>
          <w:numId w:val="10"/>
        </w:numPr>
        <w:spacing w:before="0" w:after="160" w:line="280" w:lineRule="auto"/>
      </w:pPr>
      <w:r>
        <w:rPr>
          <w:rFonts w:ascii="Calibri" w:hAnsi="Calibri"/>
          <w:sz w:val="22"/>
        </w:rPr>
        <w:t>The engagement summaries describe association with outcomes and should not be interpreted as causal models.</w:t>
      </w:r>
    </w:p>
    <w:p>
      <w:pPr>
        <w:numPr>
          <w:ilvl w:val="0"/>
          <w:numId w:val="10"/>
        </w:numPr>
        <w:spacing w:before="0" w:after="160" w:line="280" w:lineRule="auto"/>
      </w:pPr>
      <w:r>
        <w:rPr>
          <w:rFonts w:ascii="Calibri" w:hAnsi="Calibri"/>
          <w:sz w:val="22"/>
        </w:rPr>
        <w:t>Production deployment would add scheduled execution, encrypted secret storage, automated backups and alerting on failed quality checks.</w:t>
      </w:r>
    </w:p>
    <w:p>
      <w:pPr>
        <w:pStyle w:val="Heading1"/>
        <w:keepNext/>
      </w:pPr>
      <w:r>
        <w:t>10. Conclusion</w:t>
      </w:r>
    </w:p>
    <w:p>
      <w:pPr>
        <w:spacing w:before="0" w:after="120" w:line="264" w:lineRule="auto"/>
      </w:pPr>
      <w:r>
        <w:rPr>
          <w:rFonts w:ascii="Calibri" w:hAnsi="Calibri"/>
          <w:sz w:val="22"/>
        </w:rPr>
        <w:t>The Task 6 pipeline provides a complete and reproducible route from the raw OULAD files to validated analytics outputs. It combines fast bulk ingestion, traceable raw staging, explicit cleaning rules, relational integrity, reusable analytics tables and automated quality reporting. All source and layer counts reconciled, all integrity checks passed and no quality check failed. The implementation therefore meets the stated ETL/ELT and data-quality requirements while remaining isolated from the earlier coursework database.</w:t>
      </w:r>
    </w:p>
    <w:p>
      <w:r>
        <w:br w:type="page"/>
      </w:r>
    </w:p>
    <w:p>
      <w:pPr>
        <w:pStyle w:val="Heading1"/>
        <w:keepNext/>
      </w:pPr>
      <w:r>
        <w:t>Appendix A. Deliverable Inventory</w:t>
      </w:r>
    </w:p>
    <w:tbl>
      <w:tblPr>
        <w:tblStyle w:val="TableGrid"/>
        <w:tblW w:type="dxa" w:w="9360"/>
        <w:tblLayout w:type="fixed"/>
        <w:tblLook w:firstColumn="1" w:firstRow="1" w:lastColumn="0" w:lastRow="0" w:noHBand="0" w:noVBand="1" w:val="04A0"/>
        <w:jc w:val="left"/>
        <w:tblInd w:w="120" w:type="dxa"/>
      </w:tblPr>
      <w:tblGrid>
        <w:gridCol w:w="3500"/>
        <w:gridCol w:w="5860"/>
      </w:tblGrid>
      <w:tr>
        <w:trPr>
          <w:tblHeader w:val="true"/>
        </w:trPr>
        <w:tc>
          <w:tcPr>
            <w:tcW w:type="dxa" w:w="35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File</w:t>
            </w:r>
          </w:p>
        </w:tc>
        <w:tc>
          <w:tcPr>
            <w:tcW w:type="dxa" w:w="58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Purpose</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inspect_raw_files.py</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Validates all filenames and CSV headers</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task6_load_staging.py</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Creates and loads the raw staging layer</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task6_transform_clean.py</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Creates typed, constrained clean relations</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task6_build_analytics.py</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Builds four reporting-ready analytics tables</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task6_generate_quality_report.py</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Runs checks and produces report outputs</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data_quality_report.csv</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Detailed machine-readable quality-check results</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data_quality_summary.md</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Short human-readable quality report</w:t>
            </w:r>
          </w:p>
        </w:tc>
      </w:tr>
      <w:tr>
        <w:tc>
          <w:tcPr>
            <w:tcW w:type="dxa" w:w="3500"/>
            <w:tcMar>
              <w:top w:w="80" w:type="dxa"/>
              <w:start w:w="120" w:type="dxa"/>
              <w:bottom w:w="80" w:type="dxa"/>
              <w:end w:w="120" w:type="dxa"/>
            </w:tcMar>
            <w:vAlign w:val="center"/>
          </w:tcPr>
          <w:p>
            <w:pPr>
              <w:spacing w:before="0" w:after="0" w:line="240" w:lineRule="auto"/>
              <w:jc w:val="center"/>
            </w:pPr>
            <w:r>
              <w:rPr>
                <w:rFonts w:ascii="Calibri" w:hAnsi="Calibri"/>
                <w:sz w:val="18"/>
              </w:rPr>
              <w:t>pipeline_run_log.csv</w:t>
            </w:r>
          </w:p>
        </w:tc>
        <w:tc>
          <w:tcPr>
            <w:tcW w:type="dxa" w:w="5860"/>
            <w:tcMar>
              <w:top w:w="80" w:type="dxa"/>
              <w:start w:w="120" w:type="dxa"/>
              <w:bottom w:w="80" w:type="dxa"/>
              <w:end w:w="120" w:type="dxa"/>
            </w:tcMar>
            <w:vAlign w:val="center"/>
          </w:tcPr>
          <w:p>
            <w:pPr>
              <w:spacing w:before="0" w:after="0" w:line="240" w:lineRule="auto"/>
              <w:jc w:val="left"/>
            </w:pPr>
            <w:r>
              <w:rPr>
                <w:rFonts w:ascii="Calibri" w:hAnsi="Calibri"/>
                <w:sz w:val="18"/>
              </w:rPr>
              <w:t>Stage-level lineage, counts, timings and statuses</w:t>
            </w:r>
          </w:p>
        </w:tc>
      </w:tr>
    </w:tbl>
    <w:p>
      <w:pPr>
        <w:spacing w:after="40"/>
      </w:pPr>
    </w:p>
    <w:p>
      <w:pPr>
        <w:pStyle w:val="Heading1"/>
        <w:keepNext/>
      </w:pPr>
      <w:r>
        <w:t>Appendix B. Key Database Objects</w:t>
      </w:r>
    </w:p>
    <w:tbl>
      <w:tblPr>
        <w:tblStyle w:val="TableGrid"/>
        <w:tblW w:type="dxa" w:w="9360"/>
        <w:tblLayout w:type="fixed"/>
        <w:tblLook w:firstColumn="1" w:firstRow="1" w:lastColumn="0" w:lastRow="0" w:noHBand="0" w:noVBand="1" w:val="04A0"/>
        <w:jc w:val="left"/>
        <w:tblInd w:w="120" w:type="dxa"/>
      </w:tblPr>
      <w:tblGrid>
        <w:gridCol w:w="1700"/>
        <w:gridCol w:w="7660"/>
      </w:tblGrid>
      <w:tr>
        <w:trPr>
          <w:tblHeader w:val="true"/>
        </w:trPr>
        <w:tc>
          <w:tcPr>
            <w:tcW w:type="dxa" w:w="170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Layer</w:t>
            </w:r>
          </w:p>
        </w:tc>
        <w:tc>
          <w:tcPr>
            <w:tcW w:type="dxa" w:w="7660"/>
            <w:tcMar>
              <w:top w:w="80" w:type="dxa"/>
              <w:start w:w="120" w:type="dxa"/>
              <w:bottom w:w="80" w:type="dxa"/>
              <w:end w:w="120" w:type="dxa"/>
            </w:tcMar>
            <w:vAlign w:val="center"/>
            <w:shd w:fill="F2F4F7"/>
          </w:tcPr>
          <w:p>
            <w:pPr>
              <w:spacing w:before="0" w:after="0" w:line="240" w:lineRule="auto"/>
              <w:jc w:val="center"/>
            </w:pPr>
            <w:r>
              <w:rPr>
                <w:rFonts w:ascii="Calibri" w:hAnsi="Calibri"/>
                <w:b/>
                <w:color w:val="0B2545"/>
                <w:sz w:val="18"/>
              </w:rPr>
              <w:t>Objects</w:t>
            </w:r>
          </w:p>
        </w:tc>
      </w:tr>
      <w:tr>
        <w:tc>
          <w:tcPr>
            <w:tcW w:type="dxa" w:w="1700"/>
            <w:tcMar>
              <w:top w:w="80" w:type="dxa"/>
              <w:start w:w="120" w:type="dxa"/>
              <w:bottom w:w="80" w:type="dxa"/>
              <w:end w:w="120" w:type="dxa"/>
            </w:tcMar>
            <w:vAlign w:val="center"/>
          </w:tcPr>
          <w:p>
            <w:pPr>
              <w:spacing w:before="0" w:after="0" w:line="240" w:lineRule="auto"/>
              <w:jc w:val="center"/>
            </w:pPr>
            <w:r>
              <w:rPr>
                <w:rFonts w:ascii="Calibri" w:hAnsi="Calibri"/>
                <w:sz w:val="17"/>
              </w:rPr>
              <w:t>Staging</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sz w:val="17"/>
              </w:rPr>
              <w:t>stg_courses; stg_assessments; stg_vle; stg_student_info; stg_student_registration; stg_student_assessment; stg_student_vle</w:t>
            </w:r>
          </w:p>
        </w:tc>
      </w:tr>
      <w:tr>
        <w:tc>
          <w:tcPr>
            <w:tcW w:type="dxa" w:w="1700"/>
            <w:tcMar>
              <w:top w:w="80" w:type="dxa"/>
              <w:start w:w="120" w:type="dxa"/>
              <w:bottom w:w="80" w:type="dxa"/>
              <w:end w:w="120" w:type="dxa"/>
            </w:tcMar>
            <w:vAlign w:val="center"/>
          </w:tcPr>
          <w:p>
            <w:pPr>
              <w:spacing w:before="0" w:after="0" w:line="240" w:lineRule="auto"/>
              <w:jc w:val="center"/>
            </w:pPr>
            <w:r>
              <w:rPr>
                <w:rFonts w:ascii="Calibri" w:hAnsi="Calibri"/>
                <w:sz w:val="17"/>
              </w:rPr>
              <w:t>Clean</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sz w:val="17"/>
              </w:rPr>
              <w:t>clean_module_presentation; clean_student; clean_registration; clean_assessment; clean_vle_resource; clean_student_assessment; clean_student_vle_interaction</w:t>
            </w:r>
          </w:p>
        </w:tc>
      </w:tr>
      <w:tr>
        <w:tc>
          <w:tcPr>
            <w:tcW w:type="dxa" w:w="1700"/>
            <w:tcMar>
              <w:top w:w="80" w:type="dxa"/>
              <w:start w:w="120" w:type="dxa"/>
              <w:bottom w:w="80" w:type="dxa"/>
              <w:end w:w="120" w:type="dxa"/>
            </w:tcMar>
            <w:vAlign w:val="center"/>
          </w:tcPr>
          <w:p>
            <w:pPr>
              <w:spacing w:before="0" w:after="0" w:line="240" w:lineRule="auto"/>
              <w:jc w:val="center"/>
            </w:pPr>
            <w:r>
              <w:rPr>
                <w:rFonts w:ascii="Calibri" w:hAnsi="Calibri"/>
                <w:sz w:val="17"/>
              </w:rPr>
              <w:t>Analytics</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sz w:val="17"/>
              </w:rPr>
              <w:t>analytics_student_engagement; analytics_completion_by_presentation; analytics_assessment_performance; analytics_engagement_by_result</w:t>
            </w:r>
          </w:p>
        </w:tc>
      </w:tr>
      <w:tr>
        <w:tc>
          <w:tcPr>
            <w:tcW w:type="dxa" w:w="1700"/>
            <w:tcMar>
              <w:top w:w="80" w:type="dxa"/>
              <w:start w:w="120" w:type="dxa"/>
              <w:bottom w:w="80" w:type="dxa"/>
              <w:end w:w="120" w:type="dxa"/>
            </w:tcMar>
            <w:vAlign w:val="center"/>
          </w:tcPr>
          <w:p>
            <w:pPr>
              <w:spacing w:before="0" w:after="0" w:line="240" w:lineRule="auto"/>
              <w:jc w:val="center"/>
            </w:pPr>
            <w:r>
              <w:rPr>
                <w:rFonts w:ascii="Calibri" w:hAnsi="Calibri"/>
                <w:sz w:val="17"/>
              </w:rPr>
              <w:t>Audit</w:t>
            </w:r>
          </w:p>
        </w:tc>
        <w:tc>
          <w:tcPr>
            <w:tcW w:type="dxa" w:w="7660"/>
            <w:tcMar>
              <w:top w:w="80" w:type="dxa"/>
              <w:start w:w="120" w:type="dxa"/>
              <w:bottom w:w="80" w:type="dxa"/>
              <w:end w:w="120" w:type="dxa"/>
            </w:tcMar>
            <w:vAlign w:val="center"/>
          </w:tcPr>
          <w:p>
            <w:pPr>
              <w:spacing w:before="0" w:after="0" w:line="240" w:lineRule="auto"/>
              <w:jc w:val="left"/>
            </w:pPr>
            <w:r>
              <w:rPr>
                <w:rFonts w:ascii="Calibri" w:hAnsi="Calibri"/>
                <w:sz w:val="17"/>
              </w:rPr>
              <w:t>etl_run_log; data_quality_results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5959"/>
        <w:sz w:val="18"/>
      </w:rPr>
      <w:t>OULAD TASK 6  |  ETL/ELT PIPELINE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OULAD Task 6 ETL/ELT Pipeline Implementation Report</dc:title>
  <dc:subject>Database coursework Task 6</dc:subject>
  <dc:creator>Coursework submission</dc:creator>
  <cp:keywords>OULAD, ETL, ELT, MySQL, Python, data quality, analytics</cp:keywords>
  <dc:description>Generated from successful Task 6 pipeline evidence.</dc:description>
  <cp:lastModifiedBy/>
  <cp:revision>1</cp:revision>
  <dcterms:created xsi:type="dcterms:W3CDTF">2013-12-23T23:15:00Z</dcterms:created>
  <dcterms:modified xsi:type="dcterms:W3CDTF">2013-12-23T23:15:00Z</dcterms:modified>
  <cp:category/>
</cp:coreProperties>
</file>