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6DB"/>
          <w:sz w:val="64"/>
        </w:rPr>
        <w:t>Easy Drive</w:t>
      </w:r>
    </w:p>
    <w:p>
      <w:pPr>
        <w:jc w:val="center"/>
      </w:pPr>
      <w:r>
        <w:rPr>
          <w:b/>
          <w:color w:val="111827"/>
          <w:sz w:val="40"/>
        </w:rPr>
        <w:t>Financial Guidance</w:t>
      </w:r>
    </w:p>
    <w:p/>
    <w:p>
      <w:pPr>
        <w:jc w:val="center"/>
      </w:pPr>
      <w:r>
        <w:rPr>
          <w:i/>
          <w:color w:val="6B7280"/>
          <w:sz w:val="22"/>
        </w:rPr>
        <w:t>Financial &amp; Accounting Guidance | May 2026</w:t>
      </w:r>
    </w:p>
    <w:p>
      <w:r>
        <w:br w:type="page"/>
      </w:r>
    </w:p>
    <w:p>
      <w:pPr>
        <w:pStyle w:val="Heading1"/>
        <w:spacing w:before="360" w:after="120"/>
      </w:pPr>
      <w:r>
        <w:rPr>
          <w:b/>
          <w:color w:val="1A56DB"/>
          <w:sz w:val="44"/>
        </w:rPr>
        <w:t>Easy Drive — Financial &amp; Accounting Guidance</w:t>
      </w:r>
    </w:p>
    <w:p>
      <w:pPr>
        <w:spacing w:before="40" w:after="80"/>
      </w:pPr>
      <w:r>
        <w:rPr>
          <w:b/>
          <w:i w:val="0"/>
          <w:color w:val="111827"/>
          <w:sz w:val="22"/>
        </w:rPr>
        <w:t>GB Trade and Logistics Inc. | Ontario, Canada</w:t>
      </w:r>
    </w:p>
    <w:p>
      <w:pPr>
        <w:spacing w:before="40" w:after="80"/>
      </w:pPr>
      <w:r>
        <w:rPr>
          <w:b/>
          <w:i w:val="0"/>
          <w:color w:val="111827"/>
          <w:sz w:val="22"/>
        </w:rPr>
        <w:t>Prepared: May 2026 | For Internal Use</w:t>
      </w:r>
    </w:p>
    <w:p>
      <w:pPr>
        <w:spacing w:before="40" w:after="80"/>
      </w:pPr>
      <w:r>
        <w:rPr>
          <w:b/>
          <w:i w:val="0"/>
          <w:color w:val="111827"/>
          <w:sz w:val="22"/>
        </w:rPr>
        <w:t>&gt; CPA Referral Flags: Sections throughout this document are marked [CPA REQUIRED] where the complexity or financial stakes warrant professional advice before acting. Everything else is structured so a diligent founder can handle it with the right software and processes.</w:t>
      </w:r>
    </w:p>
    <w:p>
      <w:pPr>
        <w:pStyle w:val="Heading2"/>
        <w:spacing w:before="280" w:after="80"/>
      </w:pPr>
      <w:r>
        <w:rPr>
          <w:b/>
          <w:color w:val="1A56DB"/>
          <w:sz w:val="32"/>
        </w:rPr>
        <w:t>1. Revenue Recognition — Marketplace Model</w:t>
      </w:r>
    </w:p>
    <w:p>
      <w:pPr>
        <w:pStyle w:val="Heading3"/>
        <w:spacing w:before="160" w:after="40"/>
      </w:pPr>
      <w:r>
        <w:rPr>
          <w:b/>
          <w:color w:val="1A56DB"/>
          <w:sz w:val="26"/>
        </w:rPr>
        <w:t>The Core Question: Principal vs. Agent</w:t>
      </w:r>
    </w:p>
    <w:p>
      <w:pPr>
        <w:spacing w:before="40" w:after="80"/>
      </w:pPr>
      <w:r>
        <w:rPr>
          <w:b/>
          <w:i w:val="0"/>
          <w:color w:val="111827"/>
          <w:sz w:val="22"/>
        </w:rPr>
        <w:t>Under IFRS 15 (which Canadian public companies follow) and ASPE Section 3400 (which applies to most private Canadian corporations including GB Trade and Logistics Inc.), the critical question is: Is Easy Drive acting as a principal or as an agent?</w:t>
      </w:r>
    </w:p>
    <w:p>
      <w:pPr>
        <w:spacing w:before="40" w:after="80"/>
      </w:pPr>
      <w:r>
        <w:rPr>
          <w:b/>
          <w:i w:val="0"/>
          <w:color w:val="111827"/>
          <w:sz w:val="22"/>
        </w:rPr>
        <w:t>This distinction determines whether revenue is reported at the gross rental amount or only at the net platform fee.</w:t>
      </w:r>
    </w:p>
    <w:p>
      <w:pPr>
        <w:spacing w:before="40" w:after="80"/>
      </w:pPr>
      <w:r>
        <w:rPr>
          <w:b/>
          <w:i w:val="0"/>
          <w:color w:val="111827"/>
          <w:sz w:val="22"/>
        </w:rPr>
        <w:t>Indicators Easy Drive is an Agent (not a Principal):</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Indicator</w:t>
            </w:r>
          </w:p>
        </w:tc>
        <w:tc>
          <w:tcPr>
            <w:tcW w:type="dxa" w:w="4533"/>
            <w:shd w:val="clear" w:color="auto" w:fill="1A56DB"/>
          </w:tcPr>
          <w:p>
            <w:pPr>
              <w:spacing w:before="60" w:after="60"/>
            </w:pPr>
            <w:r>
              <w:rPr>
                <w:b/>
                <w:color w:val="FFFFFF"/>
                <w:sz w:val="20"/>
              </w:rPr>
              <w:t>Easy Drive's Position</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Does Easy Drive control the service before it is transferred to the renter?</w:t>
            </w:r>
          </w:p>
        </w:tc>
        <w:tc>
          <w:tcPr>
            <w:tcW w:type="dxa" w:w="4533"/>
            <w:shd w:val="clear" w:color="auto" w:fill="1A56DB"/>
          </w:tcPr>
          <w:p>
            <w:pPr>
              <w:spacing w:before="60" w:after="60"/>
            </w:pPr>
            <w:r>
              <w:rPr>
                <w:b/>
                <w:color w:val="FFFFFF"/>
                <w:sz w:val="20"/>
              </w:rPr>
              <w:t>No — the host controls and owns the vehicle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Does Easy Drive carry inventory risk?</w:t>
            </w:r>
          </w:p>
        </w:tc>
        <w:tc>
          <w:tcPr>
            <w:tcW w:type="dxa" w:w="4533"/>
            <w:shd w:val="clear" w:color="auto" w:fill="1A56DB"/>
          </w:tcPr>
          <w:p>
            <w:pPr>
              <w:spacing w:before="60" w:after="60"/>
            </w:pPr>
            <w:r>
              <w:rPr>
                <w:b/>
                <w:color w:val="FFFFFF"/>
                <w:sz w:val="20"/>
              </w:rPr>
              <w:t>No — Easy Drive owns no vehicles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Does Easy Drive set the host's rental rate?</w:t>
            </w:r>
          </w:p>
        </w:tc>
        <w:tc>
          <w:tcPr>
            <w:tcW w:type="dxa" w:w="4533"/>
            <w:shd w:val="clear" w:color="auto" w:fill="1A56DB"/>
          </w:tcPr>
          <w:p>
            <w:pPr>
              <w:spacing w:before="60" w:after="60"/>
            </w:pPr>
            <w:r>
              <w:rPr>
                <w:b/>
                <w:color w:val="FFFFFF"/>
                <w:sz w:val="20"/>
              </w:rPr>
              <w:t>No — the host sets their own rate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Is Easy Drive the primary obligor to the renter?</w:t>
            </w:r>
          </w:p>
        </w:tc>
        <w:tc>
          <w:tcPr>
            <w:tcW w:type="dxa" w:w="4533"/>
            <w:shd w:val="clear" w:color="auto" w:fill="1A56DB"/>
          </w:tcPr>
          <w:p>
            <w:pPr>
              <w:spacing w:before="60" w:after="60"/>
            </w:pPr>
            <w:r>
              <w:rPr>
                <w:b/>
                <w:color w:val="FFFFFF"/>
                <w:sz w:val="20"/>
              </w:rPr>
              <w:t>No — the rental agreement is between host and renter</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Does Easy Drive bear credit risk for the gross amount?</w:t>
            </w:r>
          </w:p>
        </w:tc>
        <w:tc>
          <w:tcPr>
            <w:tcW w:type="dxa" w:w="4533"/>
            <w:shd w:val="clear" w:color="auto" w:fill="1A56DB"/>
          </w:tcPr>
          <w:p>
            <w:pPr>
              <w:spacing w:before="60" w:after="60"/>
            </w:pPr>
            <w:r>
              <w:rPr>
                <w:b/>
                <w:color w:val="FFFFFF"/>
                <w:sz w:val="20"/>
              </w:rPr>
              <w:t>Partially — Stripe collects gross; Easy Drive bears Stripe failure risk, not host performance risk</w:t>
            </w:r>
          </w:p>
        </w:tc>
      </w:tr>
    </w:tbl>
    <w:p/>
    <w:p>
      <w:pPr>
        <w:spacing w:before="40" w:after="80"/>
      </w:pPr>
      <w:r>
        <w:rPr>
          <w:b/>
          <w:i w:val="0"/>
          <w:color w:val="111827"/>
          <w:sz w:val="22"/>
        </w:rPr>
        <w:t>Conclusion: Easy Drive is acting as an agent. Revenue should be recognized at the net amount — the platform fee only.</w:t>
      </w:r>
    </w:p>
    <w:p>
      <w:pPr>
        <w:pStyle w:val="Heading3"/>
        <w:spacing w:before="160" w:after="40"/>
      </w:pPr>
      <w:r>
        <w:rPr>
          <w:b/>
          <w:color w:val="1A56DB"/>
          <w:sz w:val="26"/>
        </w:rPr>
        <w:t>What Goes on the Income Statement</w:t>
      </w:r>
    </w:p>
    <w:p>
      <w:pPr>
        <w:spacing w:before="40" w:after="80"/>
      </w:pPr>
      <w:r>
        <w:rPr>
          <w:b/>
          <w:i w:val="0"/>
          <w:color w:val="111827"/>
          <w:sz w:val="22"/>
        </w:rPr>
        <w:t>Correct treatment:</w:t>
      </w:r>
    </w:p>
    <w:p>
      <w:pPr>
        <w:spacing w:before="80" w:after="80"/>
        <w:ind w:left="567"/>
      </w:pPr>
      <w:r>
        <w:rPr>
          <w:rFonts w:ascii="Courier New" w:hAnsi="Courier New"/>
          <w:color w:val="1F2937"/>
          <w:sz w:val="18"/>
        </w:rPr>
        <w:t>Revenue (Platform Fees)         $70      [20% of $350 weekly rental]</w:t>
        <w:br/>
        <w:t>Cost of Revenue                 $10      [Stripe Connect fees allocated]</w:t>
        <w:br/>
        <w:t>Gross Profit                    $60</w:t>
        <w:br/>
        <w:t>Operating Expenses              (...)</w:t>
        <w:br/>
        <w:t>Net Income                      (...)</w:t>
      </w:r>
    </w:p>
    <w:p>
      <w:pPr>
        <w:spacing w:before="40" w:after="80"/>
      </w:pPr>
      <w:r>
        <w:rPr>
          <w:b/>
          <w:i w:val="0"/>
          <w:color w:val="111827"/>
          <w:sz w:val="22"/>
        </w:rPr>
        <w:t>Incorrect treatment (do not do this):</w:t>
      </w:r>
    </w:p>
    <w:p>
      <w:pPr>
        <w:spacing w:before="80" w:after="80"/>
        <w:ind w:left="567"/>
      </w:pPr>
      <w:r>
        <w:rPr>
          <w:rFonts w:ascii="Courier New" w:hAnsi="Courier New"/>
          <w:color w:val="1F2937"/>
          <w:sz w:val="18"/>
        </w:rPr>
        <w:t>Revenue                         $350     [gross rental — wrong for an agent]</w:t>
        <w:br/>
        <w:t>Cost of Revenue                 $280     [host payout — wrong presentation]</w:t>
        <w:br/>
        <w:t>Gross Profit                    $70</w:t>
      </w:r>
    </w:p>
    <w:p>
      <w:pPr>
        <w:spacing w:before="40" w:after="80"/>
      </w:pPr>
      <w:r>
        <w:rPr>
          <w:b w:val="0"/>
          <w:i w:val="0"/>
          <w:color w:val="111827"/>
          <w:sz w:val="22"/>
        </w:rPr>
        <w:t>The incorrect treatment inflates gross revenue by 5x, misrepresents the business, and can create confusion with lenders or investors who use revenue as a valuation input. It also creates misaligned HST exposure (discussed in Section 2).</w:t>
      </w:r>
    </w:p>
    <w:p>
      <w:pPr>
        <w:pStyle w:val="Heading3"/>
        <w:spacing w:before="160" w:after="40"/>
      </w:pPr>
      <w:r>
        <w:rPr>
          <w:b/>
          <w:color w:val="1A56DB"/>
          <w:sz w:val="26"/>
        </w:rPr>
        <w:t>Practical Revenue Recognition Timing</w:t>
      </w:r>
    </w:p>
    <w:p>
      <w:pPr>
        <w:spacing w:before="40" w:after="80"/>
      </w:pPr>
      <w:r>
        <w:rPr>
          <w:b/>
          <w:i w:val="0"/>
          <w:color w:val="111827"/>
          <w:sz w:val="22"/>
        </w:rPr>
        <w:t>Revenue is recognized when the performance obligation is satisfied — which for Easy Drive means when the rental week is completed and the platform fee is earned. For auto-renewing weekly rentals, this means:</w:t>
      </w:r>
    </w:p>
    <w:p>
      <w:pPr>
        <w:pStyle w:val="ListBullet"/>
        <w:spacing w:before="20" w:after="20"/>
        <w:ind w:left="283"/>
      </w:pPr>
      <w:r>
        <w:rPr>
          <w:b/>
          <w:i w:val="0"/>
          <w:color w:val="111827"/>
          <w:sz w:val="22"/>
        </w:rPr>
        <w:t>Recognize platform fee revenue weekly as each rental week completes</w:t>
      </w:r>
    </w:p>
    <w:p>
      <w:pPr>
        <w:pStyle w:val="ListBullet"/>
        <w:spacing w:before="20" w:after="20"/>
        <w:ind w:left="283"/>
      </w:pPr>
      <w:r>
        <w:rPr>
          <w:b/>
          <w:i w:val="0"/>
          <w:color w:val="111827"/>
          <w:sz w:val="22"/>
        </w:rPr>
        <w:t>The upfront collection of the first week's payment is deferred revenue until the week is earned</w:t>
      </w:r>
    </w:p>
    <w:p>
      <w:pPr>
        <w:pStyle w:val="ListBullet"/>
        <w:spacing w:before="20" w:after="20"/>
        <w:ind w:left="283"/>
      </w:pPr>
      <w:r>
        <w:rPr>
          <w:b/>
          <w:i w:val="0"/>
          <w:color w:val="111827"/>
          <w:sz w:val="22"/>
        </w:rPr>
        <w:t>Security deposits are never revenue — they are liabilities (see Section 4)</w:t>
      </w:r>
    </w:p>
    <w:p>
      <w:pPr>
        <w:spacing w:before="40" w:after="80"/>
      </w:pPr>
      <w:r>
        <w:rPr>
          <w:b/>
          <w:i w:val="0"/>
          <w:color w:val="111827"/>
          <w:sz w:val="22"/>
        </w:rPr>
        <w:t>[CPA REQUIRED] Confirm with your CPA whether GB Trade and Logistics Inc. is reporting under ASPE or has any IFRS obligations. For a private corporation at this stage, ASPE Section 3400 applies and the agent/principal analysis above holds.</w:t>
      </w:r>
    </w:p>
    <w:p>
      <w:pPr>
        <w:pStyle w:val="Heading2"/>
        <w:spacing w:before="280" w:after="80"/>
      </w:pPr>
      <w:r>
        <w:rPr>
          <w:b/>
          <w:color w:val="1A56DB"/>
          <w:sz w:val="32"/>
        </w:rPr>
        <w:t>2. HST / GST Treatment</w:t>
      </w:r>
    </w:p>
    <w:p>
      <w:pPr>
        <w:pStyle w:val="Heading3"/>
        <w:spacing w:before="160" w:after="40"/>
      </w:pPr>
      <w:r>
        <w:rPr>
          <w:b/>
          <w:color w:val="1A56DB"/>
          <w:sz w:val="26"/>
        </w:rPr>
        <w:t>Overview</w:t>
      </w:r>
    </w:p>
    <w:p>
      <w:pPr>
        <w:spacing w:before="40" w:after="80"/>
      </w:pPr>
      <w:r>
        <w:rPr>
          <w:b/>
          <w:i w:val="0"/>
          <w:color w:val="111827"/>
          <w:sz w:val="22"/>
        </w:rPr>
        <w:t>Ontario's HST rate is 13% (5% federal GST + 8% Ontario provincial component). All references below are to HST at 13%.</w:t>
      </w:r>
    </w:p>
    <w:p>
      <w:pPr>
        <w:pStyle w:val="Heading3"/>
        <w:spacing w:before="160" w:after="40"/>
      </w:pPr>
      <w:r>
        <w:rPr>
          <w:b/>
          <w:color w:val="1A56DB"/>
          <w:sz w:val="26"/>
        </w:rPr>
        <w:t>2A. Easy Drive's HST Obligation — Platform Fees</w:t>
      </w:r>
    </w:p>
    <w:p>
      <w:pPr>
        <w:spacing w:before="40" w:after="80"/>
      </w:pPr>
      <w:r>
        <w:rPr>
          <w:b/>
          <w:i w:val="0"/>
          <w:color w:val="111827"/>
          <w:sz w:val="22"/>
        </w:rPr>
        <w:t>Easy Drive (GB Trade and Logistics Inc.) is already HST-registered. The platform fee is a taxable supply and HST must be collected and remitted.</w:t>
      </w:r>
    </w:p>
    <w:p>
      <w:pPr>
        <w:spacing w:before="40" w:after="80"/>
      </w:pPr>
      <w:r>
        <w:rPr>
          <w:b/>
          <w:i w:val="0"/>
          <w:color w:val="111827"/>
          <w:sz w:val="22"/>
        </w:rPr>
        <w:t>Calculation per transaction:</w:t>
      </w:r>
    </w:p>
    <w:p>
      <w:pPr>
        <w:spacing w:before="80" w:after="80"/>
        <w:ind w:left="567"/>
      </w:pPr>
      <w:r>
        <w:rPr>
          <w:rFonts w:ascii="Courier New" w:hAnsi="Courier New"/>
          <w:color w:val="1F2937"/>
          <w:sz w:val="18"/>
        </w:rPr>
        <w:t>Host's listed rate:                 $350.00</w:t>
        <w:br/>
        <w:t>Easy Drive platform fee (20%):       $70.00</w:t>
        <w:br/>
        <w:t>HST on platform fee (13%):            $9.10</w:t>
        <w:br/>
        <w:t>Total charged to renter:            $429.10</w:t>
        <w:br/>
        <w:br/>
        <w:t>Breakdown to renter receipt:</w:t>
        <w:br/>
        <w:t xml:space="preserve">  Rental (host rate):               $350.00</w:t>
        <w:br/>
        <w:t xml:space="preserve">  Platform fee:                      $70.00</w:t>
        <w:br/>
        <w:t xml:space="preserve">  HST (on platform fee):              $9.10</w:t>
        <w:br/>
        <w:t xml:space="preserve">  Total:                            $429.10</w:t>
      </w:r>
    </w:p>
    <w:p>
      <w:pPr>
        <w:spacing w:before="40" w:after="80"/>
      </w:pPr>
      <w:r>
        <w:rPr>
          <w:b w:val="0"/>
          <w:i w:val="0"/>
          <w:color w:val="111827"/>
          <w:sz w:val="22"/>
        </w:rPr>
        <w:t>Easy Drive collects $9.10 HST and remits it to CRA on the filing schedule (likely quarterly at launch volume).</w:t>
      </w:r>
    </w:p>
    <w:p>
      <w:pPr>
        <w:spacing w:before="40" w:after="80"/>
      </w:pPr>
      <w:r>
        <w:rPr>
          <w:b/>
          <w:i w:val="0"/>
          <w:color w:val="111827"/>
          <w:sz w:val="22"/>
        </w:rPr>
        <w:t>Important: Easy Drive does not collect HST on the host's $350 portion — that is the host's tax obligation (see 2B below).</w:t>
      </w:r>
    </w:p>
    <w:p>
      <w:pPr>
        <w:pStyle w:val="Heading3"/>
        <w:spacing w:before="160" w:after="40"/>
      </w:pPr>
      <w:r>
        <w:rPr>
          <w:b/>
          <w:color w:val="1A56DB"/>
          <w:sz w:val="26"/>
        </w:rPr>
        <w:t>2B. Host HST Obligations</w:t>
      </w:r>
    </w:p>
    <w:p>
      <w:pPr>
        <w:spacing w:before="40" w:after="80"/>
      </w:pPr>
      <w:r>
        <w:rPr>
          <w:b/>
          <w:i w:val="0"/>
          <w:color w:val="111827"/>
          <w:sz w:val="22"/>
        </w:rPr>
        <w:t>The $30,000 Small Supplier Threshold:</w:t>
      </w:r>
    </w:p>
    <w:p>
      <w:pPr>
        <w:spacing w:before="40" w:after="80"/>
      </w:pPr>
      <w:r>
        <w:rPr>
          <w:b/>
          <w:i w:val="0"/>
          <w:color w:val="111827"/>
          <w:sz w:val="22"/>
        </w:rPr>
        <w:t>Under the Excise Tax Act, individuals and businesses with taxable supplies under $30,000 in any four consecutive calendar quarters are small suppliers and are not required to register for or collect HST.</w:t>
      </w:r>
    </w:p>
    <w:p>
      <w:pPr>
        <w:spacing w:before="40" w:after="80"/>
      </w:pPr>
      <w:r>
        <w:rPr>
          <w:b w:val="0"/>
          <w:i w:val="0"/>
          <w:color w:val="111827"/>
          <w:sz w:val="22"/>
        </w:rPr>
        <w:t>For a host earning $280–$360/week:</w:t>
      </w:r>
    </w:p>
    <w:p>
      <w:pPr>
        <w:pStyle w:val="ListBullet"/>
        <w:spacing w:before="20" w:after="20"/>
        <w:ind w:left="283"/>
      </w:pPr>
      <w:r>
        <w:rPr>
          <w:b w:val="0"/>
          <w:i w:val="0"/>
          <w:color w:val="111827"/>
          <w:sz w:val="22"/>
        </w:rPr>
        <w:t>$280/week × 52 weeks = $14,560/year — below threshold, no HST required</w:t>
      </w:r>
    </w:p>
    <w:p>
      <w:pPr>
        <w:pStyle w:val="ListBullet"/>
        <w:spacing w:before="20" w:after="20"/>
        <w:ind w:left="283"/>
      </w:pPr>
      <w:r>
        <w:rPr>
          <w:b w:val="0"/>
          <w:i w:val="0"/>
          <w:color w:val="111827"/>
          <w:sz w:val="22"/>
        </w:rPr>
        <w:t>$360/week × 52 weeks = $18,720/year — below threshold, no HST required</w:t>
      </w:r>
    </w:p>
    <w:p>
      <w:pPr>
        <w:pStyle w:val="ListBullet"/>
        <w:spacing w:before="20" w:after="20"/>
        <w:ind w:left="283"/>
      </w:pPr>
      <w:r>
        <w:rPr>
          <w:b/>
          <w:i w:val="0"/>
          <w:color w:val="111827"/>
          <w:sz w:val="22"/>
        </w:rPr>
        <w:t>A host with multiple vehicles earning combined rental income above $30,000 must register and collect HST</w:t>
      </w:r>
    </w:p>
    <w:p>
      <w:pPr>
        <w:spacing w:before="40" w:after="80"/>
      </w:pPr>
      <w:r>
        <w:rPr>
          <w:b/>
          <w:i w:val="0"/>
          <w:color w:val="111827"/>
          <w:sz w:val="22"/>
        </w:rPr>
        <w:t>Practical guidance for Easy Drive:</w:t>
      </w:r>
    </w:p>
    <w:p>
      <w:pPr>
        <w:pStyle w:val="ListBullet"/>
        <w:spacing w:before="20" w:after="20"/>
        <w:ind w:left="283"/>
      </w:pPr>
      <w:r>
        <w:rPr>
          <w:b w:val="0"/>
          <w:i w:val="0"/>
          <w:color w:val="111827"/>
          <w:sz w:val="22"/>
        </w:rPr>
        <w:t>At onboarding, hosts should be informed they may have HST obligations if their rental income exceeds $30,000/year</w:t>
      </w:r>
    </w:p>
    <w:p>
      <w:pPr>
        <w:pStyle w:val="ListBullet"/>
        <w:spacing w:before="20" w:after="20"/>
        <w:ind w:left="283"/>
      </w:pPr>
      <w:r>
        <w:rPr>
          <w:b w:val="0"/>
          <w:i w:val="0"/>
          <w:color w:val="111827"/>
          <w:sz w:val="22"/>
        </w:rPr>
        <w:t>Easy Drive should include a disclosure in the Host Agreement that CRA compliance is the host's responsibility</w:t>
      </w:r>
    </w:p>
    <w:p>
      <w:pPr>
        <w:pStyle w:val="ListBullet"/>
        <w:spacing w:before="20" w:after="20"/>
        <w:ind w:left="283"/>
      </w:pPr>
      <w:r>
        <w:rPr>
          <w:b/>
          <w:i w:val="0"/>
          <w:color w:val="111827"/>
          <w:sz w:val="22"/>
        </w:rPr>
        <w:t>Easy Drive must not collect HST on behalf of hosts — doing so without proper authorization creates legal and tax liability</w:t>
      </w:r>
    </w:p>
    <w:p>
      <w:pPr>
        <w:pStyle w:val="ListBullet"/>
        <w:spacing w:before="20" w:after="20"/>
        <w:ind w:left="283"/>
      </w:pPr>
      <w:r>
        <w:rPr>
          <w:b w:val="0"/>
          <w:i w:val="0"/>
          <w:color w:val="111827"/>
          <w:sz w:val="22"/>
        </w:rPr>
        <w:t>Hosts who are voluntarily HST-registered (many small business owners already are) should provide their HST number; Easy Drive's payout statements to these hosts should note the transaction amount for the host's own HST accounting</w:t>
      </w:r>
    </w:p>
    <w:p>
      <w:pPr>
        <w:spacing w:before="40" w:after="80"/>
      </w:pPr>
      <w:r>
        <w:rPr>
          <w:b/>
          <w:i w:val="0"/>
          <w:color w:val="111827"/>
          <w:sz w:val="22"/>
        </w:rPr>
        <w:t>[CPA REQUIRED] The question of whether the "rental income" hosts earn is characterized as business income or property income affects how HST applies. If a host has only one car and is truly passive, CRA may consider it property rental — which has different HST treatment. Your CPA should prepare a brief memo on this distinction for your Host Agreement and disclosure language.</w:t>
      </w:r>
    </w:p>
    <w:p>
      <w:pPr>
        <w:pStyle w:val="Heading3"/>
        <w:spacing w:before="160" w:after="40"/>
      </w:pPr>
      <w:r>
        <w:rPr>
          <w:b/>
          <w:color w:val="1A56DB"/>
          <w:sz w:val="26"/>
        </w:rPr>
        <w:t>2C. Renter's HST Exposure</w:t>
      </w:r>
    </w:p>
    <w:p>
      <w:pPr>
        <w:spacing w:before="40" w:after="80"/>
      </w:pPr>
      <w:r>
        <w:rPr>
          <w:b w:val="0"/>
          <w:i w:val="0"/>
          <w:color w:val="111827"/>
          <w:sz w:val="22"/>
        </w:rPr>
        <w:t>The renter pays:</w:t>
      </w:r>
    </w:p>
    <w:p>
      <w:pPr>
        <w:pStyle w:val="ListBullet"/>
        <w:spacing w:before="20" w:after="20"/>
        <w:ind w:left="283"/>
      </w:pPr>
      <w:r>
        <w:rPr>
          <w:b w:val="0"/>
          <w:i w:val="0"/>
          <w:color w:val="111827"/>
          <w:sz w:val="22"/>
        </w:rPr>
        <w:t>$350 (host rate) — HST applies only if host is registered; for most single-vehicle hosts, this is HST-exempt</w:t>
      </w:r>
    </w:p>
    <w:p>
      <w:pPr>
        <w:pStyle w:val="ListBullet"/>
        <w:spacing w:before="20" w:after="20"/>
        <w:ind w:left="283"/>
      </w:pPr>
      <w:r>
        <w:rPr>
          <w:b/>
          <w:i w:val="0"/>
          <w:color w:val="111827"/>
          <w:sz w:val="22"/>
        </w:rPr>
        <w:t>$70 (platform fee) — HST always applies (Easy Drive is registered); renter pays $9.10 HST on the platform fee</w:t>
      </w:r>
    </w:p>
    <w:p>
      <w:pPr>
        <w:spacing w:before="40" w:after="80"/>
      </w:pPr>
      <w:r>
        <w:rPr>
          <w:b/>
          <w:i w:val="0"/>
          <w:color w:val="111827"/>
          <w:sz w:val="22"/>
        </w:rPr>
        <w:t>The renter does not pay HST on the host's portion unless the host is HST-registered and has instructed Easy Drive to collect it on their behalf. At early stage with single-vehicle hosts, the majority of host revenue will be below the $30,000 threshold and therefore no HST will be charged on host rates.</w:t>
      </w:r>
    </w:p>
    <w:p>
      <w:pPr>
        <w:pStyle w:val="Heading3"/>
        <w:spacing w:before="160" w:after="40"/>
      </w:pPr>
      <w:r>
        <w:rPr>
          <w:b/>
          <w:color w:val="1A56DB"/>
          <w:sz w:val="26"/>
        </w:rPr>
        <w:t>2D. Stripe Connect and HST Collection</w:t>
      </w:r>
    </w:p>
    <w:p>
      <w:pPr>
        <w:spacing w:before="40" w:after="80"/>
      </w:pPr>
      <w:r>
        <w:rPr>
          <w:b/>
          <w:i w:val="0"/>
          <w:color w:val="111827"/>
          <w:sz w:val="22"/>
        </w:rPr>
        <w:t>Who is technically the collector? Easy Drive (GB Trade and Logistics Inc.) is the registered person collecting payment. Stripe is the payment processor, not the tax collector. Easy Drive is responsible for:</w:t>
      </w:r>
    </w:p>
    <w:p>
      <w:pPr>
        <w:pStyle w:val="ListBullet"/>
        <w:spacing w:before="20" w:after="20"/>
        <w:ind w:left="283"/>
      </w:pPr>
      <w:r>
        <w:rPr>
          <w:b w:val="0"/>
          <w:i w:val="0"/>
          <w:color w:val="111827"/>
          <w:sz w:val="22"/>
        </w:rPr>
        <w:t>Calculating HST correctly on the platform fee portion</w:t>
      </w:r>
    </w:p>
    <w:p>
      <w:pPr>
        <w:pStyle w:val="ListBullet"/>
        <w:spacing w:before="20" w:after="20"/>
        <w:ind w:left="283"/>
      </w:pPr>
      <w:r>
        <w:rPr>
          <w:b w:val="0"/>
          <w:i w:val="0"/>
          <w:color w:val="111827"/>
          <w:sz w:val="22"/>
        </w:rPr>
        <w:t>Displaying HST as a line item on the renter's receipt</w:t>
      </w:r>
    </w:p>
    <w:p>
      <w:pPr>
        <w:pStyle w:val="ListBullet"/>
        <w:spacing w:before="20" w:after="20"/>
        <w:ind w:left="283"/>
      </w:pPr>
      <w:r>
        <w:rPr>
          <w:b w:val="0"/>
          <w:i w:val="0"/>
          <w:color w:val="111827"/>
          <w:sz w:val="22"/>
        </w:rPr>
        <w:t>Remitting HST collected to CRA on schedule</w:t>
      </w:r>
    </w:p>
    <w:p>
      <w:pPr>
        <w:spacing w:before="40" w:after="80"/>
      </w:pPr>
      <w:r>
        <w:rPr>
          <w:b w:val="0"/>
          <w:i w:val="0"/>
          <w:color w:val="111827"/>
          <w:sz w:val="22"/>
        </w:rPr>
        <w:t>Stripe Connect does not handle Canadian HST — this must be calculated and tracked in your accounting software, not assumed to be automated by Stripe.</w:t>
      </w:r>
    </w:p>
    <w:p>
      <w:pPr>
        <w:pStyle w:val="Heading3"/>
        <w:spacing w:before="160" w:after="40"/>
      </w:pPr>
      <w:r>
        <w:rPr>
          <w:b/>
          <w:color w:val="1A56DB"/>
          <w:sz w:val="26"/>
        </w:rPr>
        <w:t>2E. Invoicing and Receipt Structure</w:t>
      </w:r>
    </w:p>
    <w:p>
      <w:pPr>
        <w:spacing w:before="40" w:after="80"/>
      </w:pPr>
      <w:r>
        <w:rPr>
          <w:b/>
          <w:i w:val="0"/>
          <w:color w:val="111827"/>
          <w:sz w:val="22"/>
        </w:rPr>
        <w:t>Renter Receipt (what renter receives after booking):</w:t>
      </w:r>
    </w:p>
    <w:p>
      <w:pPr>
        <w:spacing w:before="80" w:after="80"/>
        <w:ind w:left="567"/>
      </w:pPr>
      <w:r>
        <w:rPr>
          <w:rFonts w:ascii="Courier New" w:hAnsi="Courier New"/>
          <w:color w:val="1F2937"/>
          <w:sz w:val="18"/>
        </w:rPr>
        <w:t>EASY DRIVE — BOOKING CONFIRMATION</w:t>
        <w:br/>
        <w:t>GB Trade and Logistics Inc. (HST #: [your number])</w:t>
        <w:br/>
        <w:br/>
        <w:t>Vehicle:        [Host's vehicle description]</w:t>
        <w:br/>
        <w:t>Rental Period:  [Start date] to [End date]</w:t>
        <w:br/>
        <w:t>Host:           [Booking reference only — not host's name/HST]</w:t>
        <w:br/>
        <w:br/>
        <w:t>Rental Rate (Host):         $350.00</w:t>
        <w:br/>
        <w:t>Platform Service Fee:        $70.00</w:t>
        <w:br/>
        <w:t>HST on Service Fee (13%):     $9.10</w:t>
        <w:br/>
        <w:t>Security Deposit (refundable): $500.00</w:t>
        <w:br/>
        <w:t>------------------------------------------</w:t>
        <w:br/>
        <w:t>Total Charged Today:         $929.10</w:t>
        <w:br/>
        <w:br/>
        <w:t>Platform service fee and HST issued by GB Trade and Logistics Inc.</w:t>
        <w:br/>
        <w:t>Rental provided by vehicle owner. See Terms of Service.</w:t>
      </w:r>
    </w:p>
    <w:p>
      <w:pPr>
        <w:spacing w:before="40" w:after="80"/>
      </w:pPr>
      <w:r>
        <w:rPr>
          <w:b/>
          <w:i w:val="0"/>
          <w:color w:val="111827"/>
          <w:sz w:val="22"/>
        </w:rPr>
        <w:t>Host Payout Statement (what host receives weekly):</w:t>
      </w:r>
    </w:p>
    <w:p>
      <w:pPr>
        <w:spacing w:before="80" w:after="80"/>
        <w:ind w:left="567"/>
      </w:pPr>
      <w:r>
        <w:rPr>
          <w:rFonts w:ascii="Courier New" w:hAnsi="Courier New"/>
          <w:color w:val="1F2937"/>
          <w:sz w:val="18"/>
        </w:rPr>
        <w:t>EASY DRIVE — HOST EARNINGS STATEMENT</w:t>
        <w:br/>
        <w:t>GB Trade and Logistics Inc.</w:t>
        <w:br/>
        <w:br/>
        <w:t>Host:           [Host Name]</w:t>
        <w:br/>
        <w:t>Vehicle:        [Vehicle]</w:t>
        <w:br/>
        <w:t>Rental Period:  [Dates]</w:t>
        <w:br/>
        <w:t>Renter Ref:     [Booking ID]</w:t>
        <w:br/>
        <w:br/>
        <w:t>Gross Rental Booked:        $350.00</w:t>
        <w:br/>
        <w:t>Less: Platform Fee (20%):   ($70.00)</w:t>
        <w:br/>
        <w:t>Net Payout to Host:         $280.00</w:t>
        <w:br/>
        <w:br/>
        <w:t>Note: Stripe Connect processing fees may apply.</w:t>
        <w:br/>
        <w:t>HST obligations on rental income are the host's responsibility.</w:t>
        <w:br/>
        <w:t>Earnings for the period: [Year] should be reported to CRA.</w:t>
        <w:br/>
        <w:t>If your rental income exceeds $30,000 in any 12-month period,</w:t>
        <w:br/>
        <w:t>you are required to register for HST.</w:t>
      </w:r>
    </w:p>
    <w:p>
      <w:pPr>
        <w:spacing w:before="40" w:after="80"/>
      </w:pPr>
      <w:r>
        <w:rPr>
          <w:b/>
          <w:i w:val="0"/>
          <w:color w:val="111827"/>
          <w:sz w:val="22"/>
        </w:rPr>
        <w:t>[CPA REQUIRED] Have your CPA confirm the exact wording of the HST disclosure on host statements and confirm your HST remittance schedule (monthly vs. quarterly) based on your expected annual taxable supplies.</w:t>
      </w:r>
    </w:p>
    <w:p>
      <w:pPr>
        <w:pStyle w:val="Heading2"/>
        <w:spacing w:before="280" w:after="80"/>
      </w:pPr>
      <w:r>
        <w:rPr>
          <w:b/>
          <w:color w:val="1A56DB"/>
          <w:sz w:val="32"/>
        </w:rPr>
        <w:t>3. Stripe Connect — Accounting Treatment</w:t>
      </w:r>
    </w:p>
    <w:p>
      <w:pPr>
        <w:pStyle w:val="Heading3"/>
        <w:spacing w:before="160" w:after="40"/>
      </w:pPr>
      <w:r>
        <w:rPr>
          <w:b/>
          <w:color w:val="1A56DB"/>
          <w:sz w:val="26"/>
        </w:rPr>
        <w:t>Money Flow Anatomy</w:t>
      </w:r>
    </w:p>
    <w:p>
      <w:pPr>
        <w:spacing w:before="40" w:after="80"/>
      </w:pPr>
      <w:r>
        <w:rPr>
          <w:b w:val="0"/>
          <w:i w:val="0"/>
          <w:color w:val="111827"/>
          <w:sz w:val="22"/>
        </w:rPr>
        <w:t>For a typical $350/week booking:</w:t>
      </w:r>
    </w:p>
    <w:p>
      <w:pPr>
        <w:spacing w:before="80" w:after="80"/>
        <w:ind w:left="567"/>
      </w:pPr>
      <w:r>
        <w:rPr>
          <w:rFonts w:ascii="Courier New" w:hAnsi="Courier New"/>
          <w:color w:val="1F2937"/>
          <w:sz w:val="18"/>
        </w:rPr>
        <w:t>Renter's card is charged:           $429.10   ($350 + $70 platform fee + $9.10 HST)</w:t>
        <w:br/>
        <w:t>Plus security deposit:              $500.00</w:t>
        <w:br/>
        <w:t>Total collected from renter card:   $929.10</w:t>
        <w:br/>
        <w:br/>
        <w:t>Stripe Connect fee (~2.9% + $0.30): ($27.25)  [on $929.10 gross charge]</w:t>
        <w:br/>
        <w:t>Net in Stripe (after fee):          $901.85</w:t>
        <w:br/>
        <w:br/>
        <w:t>Split:</w:t>
        <w:br/>
        <w:t xml:space="preserve">  Host payout (80% of $350):        $280.00</w:t>
        <w:br/>
        <w:t xml:space="preserve">  Easy Drive retained:              $621.85   [deposit $500 + platform fee $70 + HST $9.10 - Stripe fee $27.25]</w:t>
        <w:br/>
        <w:t xml:space="preserve">  Less: deposit liability:         ($500.00)</w:t>
        <w:br/>
        <w:t xml:space="preserve">  Easy Drive net (excl. deposit):   $121.85</w:t>
        <w:br/>
        <w:br/>
        <w:t>Easy Drive net cash position:</w:t>
        <w:br/>
        <w:t xml:space="preserve">  Platform fee earned:               $70.00</w:t>
        <w:br/>
        <w:t xml:space="preserve">  HST collected (to remit):          ($9.10)</w:t>
        <w:br/>
        <w:t xml:space="preserve">  Stripe fees borne:                ($27.25)</w:t>
        <w:br/>
        <w:t xml:space="preserve">  Net retained after obligations:    $33.65</w:t>
      </w:r>
    </w:p>
    <w:p>
      <w:pPr>
        <w:pStyle w:val="Heading3"/>
        <w:spacing w:before="160" w:after="40"/>
      </w:pPr>
      <w:r>
        <w:rPr>
          <w:b/>
          <w:color w:val="1A56DB"/>
          <w:sz w:val="26"/>
        </w:rPr>
        <w:t>Who Bears the Stripe Fee?</w:t>
      </w:r>
    </w:p>
    <w:p>
      <w:pPr>
        <w:spacing w:before="40" w:after="80"/>
      </w:pPr>
      <w:r>
        <w:rPr>
          <w:b w:val="0"/>
          <w:i w:val="0"/>
          <w:color w:val="111827"/>
          <w:sz w:val="22"/>
        </w:rPr>
        <w:t>The business plan treats Stripe fees as a platform cost. This is correct in the marketplace agent model — the platform bears the payment processing cost, not the host. However, you have a choice:</w:t>
      </w:r>
    </w:p>
    <w:p>
      <w:pPr>
        <w:spacing w:before="40" w:after="80"/>
      </w:pPr>
      <w:r>
        <w:rPr>
          <w:b/>
          <w:i w:val="0"/>
          <w:color w:val="111827"/>
          <w:sz w:val="22"/>
        </w:rPr>
        <w:t>Option A (current model): Platform bears all Stripe fees</w:t>
      </w:r>
    </w:p>
    <w:p>
      <w:pPr>
        <w:pStyle w:val="ListBullet"/>
        <w:spacing w:before="20" w:after="20"/>
        <w:ind w:left="283"/>
      </w:pPr>
      <w:r>
        <w:rPr>
          <w:b w:val="0"/>
          <w:i w:val="0"/>
          <w:color w:val="111827"/>
          <w:sz w:val="22"/>
        </w:rPr>
        <w:t>Simpler for hosts; host receives exactly $280 guaranteed</w:t>
      </w:r>
    </w:p>
    <w:p>
      <w:pPr>
        <w:pStyle w:val="ListBullet"/>
        <w:spacing w:before="20" w:after="20"/>
        <w:ind w:left="283"/>
      </w:pPr>
      <w:r>
        <w:rPr>
          <w:b w:val="0"/>
          <w:i w:val="0"/>
          <w:color w:val="111827"/>
          <w:sz w:val="22"/>
        </w:rPr>
        <w:t>Stripe fees run ~$27/transaction on a $929 gross charge (deposit + rent + fee)</w:t>
      </w:r>
    </w:p>
    <w:p>
      <w:pPr>
        <w:pStyle w:val="ListBullet"/>
        <w:spacing w:before="20" w:after="20"/>
        <w:ind w:left="283"/>
      </w:pPr>
      <w:r>
        <w:rPr>
          <w:b w:val="0"/>
          <w:i w:val="0"/>
          <w:color w:val="111827"/>
          <w:sz w:val="22"/>
        </w:rPr>
        <w:t>At 10 active cars/week: ~$1,120/week in fees = ~$270/month</w:t>
      </w:r>
    </w:p>
    <w:p>
      <w:pPr>
        <w:spacing w:before="40" w:after="80"/>
      </w:pPr>
      <w:r>
        <w:rPr>
          <w:b/>
          <w:i w:val="0"/>
          <w:color w:val="111827"/>
          <w:sz w:val="22"/>
        </w:rPr>
        <w:t>Option B: Stripe fees netted from host payout</w:t>
      </w:r>
    </w:p>
    <w:p>
      <w:pPr>
        <w:pStyle w:val="ListBullet"/>
        <w:spacing w:before="20" w:after="20"/>
        <w:ind w:left="283"/>
      </w:pPr>
      <w:r>
        <w:rPr>
          <w:b w:val="0"/>
          <w:i w:val="0"/>
          <w:color w:val="111827"/>
          <w:sz w:val="22"/>
        </w:rPr>
        <w:t>Host receives $280 minus their proportional share of processing</w:t>
      </w:r>
    </w:p>
    <w:p>
      <w:pPr>
        <w:pStyle w:val="ListBullet"/>
        <w:spacing w:before="20" w:after="20"/>
        <w:ind w:left="283"/>
      </w:pPr>
      <w:r>
        <w:rPr>
          <w:b w:val="0"/>
          <w:i w:val="0"/>
          <w:color w:val="111827"/>
          <w:sz w:val="22"/>
        </w:rPr>
        <w:t>More transparent but creates variable host payouts; harder to communicate</w:t>
      </w:r>
    </w:p>
    <w:p>
      <w:pPr>
        <w:pStyle w:val="ListBullet"/>
        <w:spacing w:before="20" w:after="20"/>
        <w:ind w:left="283"/>
      </w:pPr>
      <w:r>
        <w:rPr>
          <w:b w:val="0"/>
          <w:i w:val="0"/>
          <w:color w:val="111827"/>
          <w:sz w:val="22"/>
        </w:rPr>
        <w:t>Not recommended at launch — simplicity in host communication matters more</w:t>
      </w:r>
    </w:p>
    <w:p>
      <w:pPr>
        <w:spacing w:before="40" w:after="80"/>
      </w:pPr>
      <w:r>
        <w:rPr>
          <w:b/>
          <w:i w:val="0"/>
          <w:color w:val="111827"/>
          <w:sz w:val="22"/>
        </w:rPr>
        <w:t>Recommendation: Absorb Stripe fees as a platform cost. The business plan's $80–$200/month estimate is low if you include deposit processing. See revised model in Section 8.</w:t>
      </w:r>
    </w:p>
    <w:p>
      <w:pPr>
        <w:pStyle w:val="Heading3"/>
        <w:spacing w:before="160" w:after="40"/>
      </w:pPr>
      <w:r>
        <w:rPr>
          <w:b/>
          <w:color w:val="1A56DB"/>
          <w:sz w:val="26"/>
        </w:rPr>
        <w:t>Journal Entry — Typical Weekly Transaction</w:t>
      </w:r>
    </w:p>
    <w:p>
      <w:pPr>
        <w:spacing w:before="40" w:after="80"/>
      </w:pPr>
      <w:r>
        <w:rPr>
          <w:b w:val="0"/>
          <w:i w:val="0"/>
          <w:color w:val="111827"/>
          <w:sz w:val="22"/>
        </w:rPr>
        <w:t>Using a $350/week booking. Notation uses simplified double-entry.</w:t>
      </w:r>
    </w:p>
    <w:p>
      <w:pPr>
        <w:spacing w:before="40" w:after="80"/>
      </w:pPr>
      <w:r>
        <w:rPr>
          <w:b/>
          <w:i w:val="0"/>
          <w:color w:val="111827"/>
          <w:sz w:val="22"/>
        </w:rPr>
        <w:t>Day 1 — Booking (renter charged):</w:t>
      </w:r>
    </w:p>
    <w:p>
      <w:pPr>
        <w:spacing w:before="80" w:after="80"/>
        <w:ind w:left="567"/>
      </w:pPr>
      <w:r>
        <w:rPr>
          <w:rFonts w:ascii="Courier New" w:hAnsi="Courier New"/>
          <w:color w:val="1F2937"/>
          <w:sz w:val="18"/>
        </w:rPr>
        <w:t>DR  Stripe Clearing Account (Asset)        $929.10</w:t>
        <w:br/>
        <w:t xml:space="preserve">    CR  Deferred Revenue — Platform Fee         $70.00</w:t>
        <w:br/>
        <w:t xml:space="preserve">    CR  HST Payable (Liability)                  $9.10</w:t>
        <w:br/>
        <w:t xml:space="preserve">    CR  Security Deposit Payable (Liability)   $500.00</w:t>
        <w:br/>
        <w:t xml:space="preserve">    CR  Payable to Host (Liability)            $280.00</w:t>
        <w:br/>
        <w:t xml:space="preserve">    CR  Stripe Fees Payable (Liability)         $27.25</w:t>
        <w:br/>
        <w:t xml:space="preserve">    CR  [Unallocated — reconcile to Stripe]     $42.75</w:t>
      </w:r>
    </w:p>
    <w:p>
      <w:pPr>
        <w:spacing w:before="40" w:after="80"/>
      </w:pPr>
      <w:r>
        <w:rPr>
          <w:b w:val="0"/>
          <w:i w:val="0"/>
          <w:color w:val="111827"/>
          <w:sz w:val="22"/>
        </w:rPr>
        <w:t>Simplified version for Wave/QuickBooks:</w:t>
      </w:r>
    </w:p>
    <w:p>
      <w:pPr>
        <w:spacing w:before="80" w:after="80"/>
        <w:ind w:left="567"/>
      </w:pPr>
      <w:r>
        <w:rPr>
          <w:rFonts w:ascii="Courier New" w:hAnsi="Courier New"/>
          <w:color w:val="1F2937"/>
          <w:sz w:val="18"/>
        </w:rPr>
        <w:t>DEBIT:</w:t>
        <w:br/>
        <w:t xml:space="preserve">  Bank — Stripe Clearing:     $929.10</w:t>
        <w:br/>
        <w:br/>
        <w:t>CREDIT:</w:t>
        <w:br/>
        <w:t xml:space="preserve">  Deferred Revenue:            $70.00     [platform fee, not yet earned]</w:t>
        <w:br/>
        <w:t xml:space="preserve">  HST Payable:                  $9.10</w:t>
        <w:br/>
        <w:t xml:space="preserve">  Security Deposits Held:      $500.00    [liability account]</w:t>
        <w:br/>
        <w:t xml:space="preserve">  Host Payouts Payable:        $280.00    [liability — owed to host]</w:t>
        <w:br/>
        <w:t xml:space="preserve">  Stripe Processing Fees:       $27.25    [expense]</w:t>
        <w:br/>
        <w:t xml:space="preserve">  [Reconciliation variance]:   $42.75    [resolve with Stripe dashboard]</w:t>
      </w:r>
    </w:p>
    <w:p>
      <w:pPr>
        <w:spacing w:before="40" w:after="80"/>
      </w:pPr>
      <w:r>
        <w:rPr>
          <w:b/>
          <w:i w:val="0"/>
          <w:color w:val="111827"/>
          <w:sz w:val="22"/>
        </w:rPr>
        <w:t>Day 7 — Rental Week Complete (revenue earned, host paid):</w:t>
      </w:r>
    </w:p>
    <w:p>
      <w:pPr>
        <w:spacing w:before="80" w:after="80"/>
        <w:ind w:left="567"/>
      </w:pPr>
      <w:r>
        <w:rPr>
          <w:rFonts w:ascii="Courier New" w:hAnsi="Courier New"/>
          <w:color w:val="1F2937"/>
          <w:sz w:val="18"/>
        </w:rPr>
        <w:t>DEBIT:</w:t>
        <w:br/>
        <w:t xml:space="preserve">  Deferred Revenue:             $70.00   [recognize earned revenue]</w:t>
        <w:br/>
        <w:t xml:space="preserve">  Host Payouts Payable:        $280.00   [clear host liability]</w:t>
        <w:br/>
        <w:br/>
        <w:t>CREDIT:</w:t>
        <w:br/>
        <w:t xml:space="preserve">  Platform Fee Revenue:         $70.00</w:t>
        <w:br/>
        <w:t xml:space="preserve">  Bank — Stripe Clearing:      $280.00   [Stripe sends to host bank]</w:t>
      </w:r>
    </w:p>
    <w:p>
      <w:pPr>
        <w:spacing w:before="40" w:after="80"/>
      </w:pPr>
      <w:r>
        <w:rPr>
          <w:b/>
          <w:i w:val="0"/>
          <w:color w:val="111827"/>
          <w:sz w:val="22"/>
        </w:rPr>
        <w:t>Day 7 — Clean Return (deposit released):</w:t>
      </w:r>
    </w:p>
    <w:p>
      <w:pPr>
        <w:spacing w:before="80" w:after="80"/>
        <w:ind w:left="567"/>
      </w:pPr>
      <w:r>
        <w:rPr>
          <w:rFonts w:ascii="Courier New" w:hAnsi="Courier New"/>
          <w:color w:val="1F2937"/>
          <w:sz w:val="18"/>
        </w:rPr>
        <w:t>DEBIT:</w:t>
        <w:br/>
        <w:t xml:space="preserve">  Security Deposits Held:      $500.00</w:t>
        <w:br/>
        <w:br/>
        <w:t>CREDIT:</w:t>
        <w:br/>
        <w:t xml:space="preserve">  Bank — Stripe Clearing:      $500.00   [refunded to renter's card]</w:t>
      </w:r>
    </w:p>
    <w:p>
      <w:pPr>
        <w:spacing w:before="40" w:after="80"/>
      </w:pPr>
      <w:r>
        <w:rPr>
          <w:b/>
          <w:i w:val="0"/>
          <w:color w:val="111827"/>
          <w:sz w:val="22"/>
        </w:rPr>
        <w:t>[CPA REQUIRED] The exact journal entries depend on how your Stripe Connect is configured (Standard vs. Express accounts) and how Stripe batches payouts. Your bookkeeper or CPA should map Stripe's payout reports to these entries in your first month and build a reconciliation template.</w:t>
      </w:r>
    </w:p>
    <w:p>
      <w:pPr>
        <w:pStyle w:val="Heading3"/>
        <w:spacing w:before="160" w:after="40"/>
      </w:pPr>
      <w:r>
        <w:rPr>
          <w:b/>
          <w:color w:val="1A56DB"/>
          <w:sz w:val="26"/>
        </w:rPr>
        <w:t>Stripe Fee Tracking Note</w:t>
      </w:r>
    </w:p>
    <w:p>
      <w:pPr>
        <w:spacing w:before="40" w:after="80"/>
      </w:pPr>
      <w:r>
        <w:rPr>
          <w:b w:val="0"/>
          <w:i w:val="0"/>
          <w:color w:val="111827"/>
          <w:sz w:val="22"/>
        </w:rPr>
        <w:t>Stripe invoices fees monthly and provides downloadable transaction-level CSVs. Export and reconcile monthly. Do not rely on bank statements alone — Stripe nets fees before depositing, so your bank will not show gross amounts.</w:t>
      </w:r>
    </w:p>
    <w:p>
      <w:pPr>
        <w:pStyle w:val="Heading2"/>
        <w:spacing w:before="280" w:after="80"/>
      </w:pPr>
      <w:r>
        <w:rPr>
          <w:b/>
          <w:color w:val="1A56DB"/>
          <w:sz w:val="32"/>
        </w:rPr>
        <w:t>4. Security Deposit Accounting</w:t>
      </w:r>
    </w:p>
    <w:p>
      <w:pPr>
        <w:pStyle w:val="Heading3"/>
        <w:spacing w:before="160" w:after="40"/>
      </w:pPr>
      <w:r>
        <w:rPr>
          <w:b/>
          <w:color w:val="1A56DB"/>
          <w:sz w:val="26"/>
        </w:rPr>
        <w:t>Classification: Liability, Not Revenue</w:t>
      </w:r>
    </w:p>
    <w:p>
      <w:pPr>
        <w:spacing w:before="40" w:after="80"/>
      </w:pPr>
      <w:r>
        <w:rPr>
          <w:b/>
          <w:i w:val="0"/>
          <w:color w:val="111827"/>
          <w:sz w:val="22"/>
        </w:rPr>
        <w:t>Security deposits are never income. When collected, they create a liability on Easy Drive's balance sheet — you owe that money back to the renter unless a valid claim is made.</w:t>
      </w:r>
    </w:p>
    <w:p>
      <w:pPr>
        <w:spacing w:before="40" w:after="80"/>
      </w:pPr>
      <w:r>
        <w:rPr>
          <w:b/>
          <w:i w:val="0"/>
          <w:color w:val="111827"/>
          <w:sz w:val="22"/>
        </w:rPr>
        <w:t>Balance sheet treatment:</w:t>
      </w:r>
    </w:p>
    <w:p>
      <w:pPr>
        <w:spacing w:before="80" w:after="80"/>
        <w:ind w:left="567"/>
      </w:pPr>
      <w:r>
        <w:rPr>
          <w:rFonts w:ascii="Courier New" w:hAnsi="Courier New"/>
          <w:color w:val="1F2937"/>
          <w:sz w:val="18"/>
        </w:rPr>
        <w:t>ASSET:  Bank — Stripe Clearing       $500   [cash in hand]</w:t>
        <w:br/>
        <w:t>LIABILITY: Security Deposits Held    $500   [obligation to refund]</w:t>
      </w:r>
    </w:p>
    <w:p>
      <w:pPr>
        <w:spacing w:before="40" w:after="80"/>
      </w:pPr>
      <w:r>
        <w:rPr>
          <w:b w:val="0"/>
          <w:i w:val="0"/>
          <w:color w:val="111827"/>
          <w:sz w:val="22"/>
        </w:rPr>
        <w:t>This is identical to how a landlord treats a damage deposit.</w:t>
      </w:r>
    </w:p>
    <w:p>
      <w:pPr>
        <w:pStyle w:val="Heading3"/>
        <w:spacing w:before="160" w:after="40"/>
      </w:pPr>
      <w:r>
        <w:rPr>
          <w:b/>
          <w:color w:val="1A56DB"/>
          <w:sz w:val="26"/>
        </w:rPr>
        <w:t>Three Scenarios at Rental End</w:t>
      </w:r>
    </w:p>
    <w:p>
      <w:pPr>
        <w:spacing w:before="40" w:after="80"/>
      </w:pPr>
      <w:r>
        <w:rPr>
          <w:b/>
          <w:i w:val="0"/>
          <w:color w:val="111827"/>
          <w:sz w:val="22"/>
        </w:rPr>
        <w:t>Scenario A: Clean return — full refund</w:t>
      </w:r>
    </w:p>
    <w:p>
      <w:pPr>
        <w:spacing w:before="80" w:after="80"/>
        <w:ind w:left="567"/>
      </w:pPr>
      <w:r>
        <w:rPr>
          <w:rFonts w:ascii="Courier New" w:hAnsi="Courier New"/>
          <w:color w:val="1F2937"/>
          <w:sz w:val="18"/>
        </w:rPr>
        <w:t>DR  Security Deposits Held (Liability)    $500</w:t>
        <w:br/>
        <w:t>CR  Bank — Stripe Clearing (Asset)        $500</w:t>
      </w:r>
    </w:p>
    <w:p>
      <w:pPr>
        <w:spacing w:before="40" w:after="80"/>
      </w:pPr>
      <w:r>
        <w:rPr>
          <w:b/>
          <w:i w:val="0"/>
          <w:color w:val="111827"/>
          <w:sz w:val="22"/>
        </w:rPr>
        <w:t>Scenario B: Partial damage — $200 applied to host, $300 refunded</w:t>
      </w:r>
    </w:p>
    <w:p>
      <w:pPr>
        <w:spacing w:before="80" w:after="80"/>
        <w:ind w:left="567"/>
      </w:pPr>
      <w:r>
        <w:rPr>
          <w:rFonts w:ascii="Courier New" w:hAnsi="Courier New"/>
          <w:color w:val="1F2937"/>
          <w:sz w:val="18"/>
        </w:rPr>
        <w:t>DR  Security Deposits Held (Liability)    $500</w:t>
        <w:br/>
        <w:t>CR  Bank (refund to renter)               $300</w:t>
        <w:br/>
        <w:t>CR  Damage Claim Payable to Host          $200   [then pay host separately]</w:t>
      </w:r>
    </w:p>
    <w:p>
      <w:pPr>
        <w:spacing w:before="40" w:after="80"/>
      </w:pPr>
      <w:r>
        <w:rPr>
          <w:b w:val="0"/>
          <w:i w:val="0"/>
          <w:color w:val="111827"/>
          <w:sz w:val="22"/>
        </w:rPr>
        <w:t>Note: When Easy Drive pays the $200 to the host:</w:t>
      </w:r>
    </w:p>
    <w:p>
      <w:pPr>
        <w:spacing w:before="80" w:after="80"/>
        <w:ind w:left="567"/>
      </w:pPr>
      <w:r>
        <w:rPr>
          <w:rFonts w:ascii="Courier New" w:hAnsi="Courier New"/>
          <w:color w:val="1F2937"/>
          <w:sz w:val="18"/>
        </w:rPr>
        <w:t>DR  Damage Claim Payable to Host          $200</w:t>
        <w:br/>
        <w:t>CR  Bank                                  $200</w:t>
      </w:r>
    </w:p>
    <w:p>
      <w:pPr>
        <w:spacing w:before="40" w:after="80"/>
      </w:pPr>
      <w:r>
        <w:rPr>
          <w:b/>
          <w:i w:val="0"/>
          <w:color w:val="111827"/>
          <w:sz w:val="22"/>
        </w:rPr>
        <w:t>Scenario C: Full forfeiture — $500 applied to damage/breach</w:t>
      </w:r>
    </w:p>
    <w:p>
      <w:pPr>
        <w:spacing w:before="80" w:after="80"/>
        <w:ind w:left="567"/>
      </w:pPr>
      <w:r>
        <w:rPr>
          <w:rFonts w:ascii="Courier New" w:hAnsi="Courier New"/>
          <w:color w:val="1F2937"/>
          <w:sz w:val="18"/>
        </w:rPr>
        <w:t>DR  Security Deposits Held (Liability)    $500</w:t>
        <w:br/>
        <w:t>CR  Damage Claim Payable to Host          $500</w:t>
      </w:r>
    </w:p>
    <w:p>
      <w:pPr>
        <w:spacing w:before="40" w:after="80"/>
      </w:pPr>
      <w:r>
        <w:rPr>
          <w:b w:val="0"/>
          <w:i w:val="0"/>
          <w:color w:val="111827"/>
          <w:sz w:val="22"/>
        </w:rPr>
        <w:t>When paying host: same as Scenario B final entry.</w:t>
      </w:r>
    </w:p>
    <w:p>
      <w:pPr>
        <w:pStyle w:val="Heading3"/>
        <w:spacing w:before="160" w:after="40"/>
      </w:pPr>
      <w:r>
        <w:rPr>
          <w:b/>
          <w:color w:val="1A56DB"/>
          <w:sz w:val="26"/>
        </w:rPr>
        <w:t>Is the Forfeited Deposit Income to Easy Drive?</w:t>
      </w:r>
    </w:p>
    <w:p>
      <w:pPr>
        <w:spacing w:before="40" w:after="80"/>
      </w:pPr>
      <w:r>
        <w:rPr>
          <w:b/>
          <w:i w:val="0"/>
          <w:color w:val="111827"/>
          <w:sz w:val="22"/>
        </w:rPr>
        <w:t>No — in the current model, forfeited deposits are paid through to the host (for vehicle damage). If for any reason Easy Drive retains a portion of a forfeited deposit (e.g., as a mediation fee), that retained portion is income and is HST-taxable. Keep this clean — if Easy Drive ever introduces a deposit-processing fee, document it explicitly and charge HST on it.</w:t>
      </w:r>
    </w:p>
    <w:p>
      <w:pPr>
        <w:pStyle w:val="Heading3"/>
        <w:spacing w:before="160" w:after="40"/>
      </w:pPr>
      <w:r>
        <w:rPr>
          <w:b/>
          <w:color w:val="1A56DB"/>
          <w:sz w:val="26"/>
        </w:rPr>
        <w:t>Interest on Held Deposits</w:t>
      </w:r>
    </w:p>
    <w:p>
      <w:pPr>
        <w:spacing w:before="40" w:after="80"/>
      </w:pPr>
      <w:r>
        <w:rPr>
          <w:b w:val="0"/>
          <w:i w:val="0"/>
          <w:color w:val="111827"/>
          <w:sz w:val="22"/>
        </w:rPr>
        <w:t>At current volumes (10 cars × $500 = $5,000 held), interest earned in a standard business chequing account will be minimal (a few dollars per year). However:</w:t>
      </w:r>
    </w:p>
    <w:p>
      <w:pPr>
        <w:pStyle w:val="ListBullet"/>
        <w:spacing w:before="20" w:after="20"/>
        <w:ind w:left="283"/>
      </w:pPr>
      <w:r>
        <w:rPr>
          <w:b/>
          <w:i w:val="0"/>
          <w:color w:val="111827"/>
          <w:sz w:val="22"/>
        </w:rPr>
        <w:t>Interest earned on deposit funds is taxable income to GB Trade and Logistics Inc.</w:t>
      </w:r>
    </w:p>
    <w:p>
      <w:pPr>
        <w:pStyle w:val="ListBullet"/>
        <w:spacing w:before="20" w:after="20"/>
        <w:ind w:left="283"/>
      </w:pPr>
      <w:r>
        <w:rPr>
          <w:b/>
          <w:i w:val="0"/>
          <w:color w:val="111827"/>
          <w:sz w:val="22"/>
        </w:rPr>
        <w:t>It is not owed to renters unless your Terms of Service state otherwise</w:t>
      </w:r>
    </w:p>
    <w:p>
      <w:pPr>
        <w:pStyle w:val="ListBullet"/>
        <w:spacing w:before="20" w:after="20"/>
        <w:ind w:left="283"/>
      </w:pPr>
      <w:r>
        <w:rPr>
          <w:b w:val="0"/>
          <w:i w:val="0"/>
          <w:color w:val="111827"/>
          <w:sz w:val="22"/>
        </w:rPr>
        <w:t>Recommended: keep deposit funds in the same operating account as other platform funds; do not segregate into a separate high-interest account until volume justifies it (50+ cars)</w:t>
      </w:r>
    </w:p>
    <w:p>
      <w:pPr>
        <w:pStyle w:val="ListBullet"/>
        <w:spacing w:before="20" w:after="20"/>
        <w:ind w:left="283"/>
      </w:pPr>
      <w:r>
        <w:rPr>
          <w:b/>
          <w:i w:val="0"/>
          <w:color w:val="111827"/>
          <w:sz w:val="22"/>
        </w:rPr>
        <w:t>At scale, you may want a dedicated trust account — [CPA REQUIRED] discuss this threshold with your CPA</w:t>
      </w:r>
    </w:p>
    <w:p>
      <w:pPr>
        <w:pStyle w:val="Heading2"/>
        <w:spacing w:before="280" w:after="80"/>
      </w:pPr>
      <w:r>
        <w:rPr>
          <w:b/>
          <w:color w:val="1A56DB"/>
          <w:sz w:val="32"/>
        </w:rPr>
        <w:t>5. Expense Categories &amp; Chart of Accounts</w:t>
      </w:r>
    </w:p>
    <w:p>
      <w:pPr>
        <w:pStyle w:val="Heading3"/>
        <w:spacing w:before="160" w:after="40"/>
      </w:pPr>
      <w:r>
        <w:rPr>
          <w:b/>
          <w:color w:val="1A56DB"/>
          <w:sz w:val="26"/>
        </w:rPr>
        <w:t>Chart of Accounts — Easy Drive Division</w:t>
      </w:r>
    </w:p>
    <w:p>
      <w:pPr>
        <w:spacing w:before="40" w:after="80"/>
      </w:pPr>
      <w:r>
        <w:rPr>
          <w:b w:val="0"/>
          <w:i w:val="0"/>
          <w:color w:val="111827"/>
          <w:sz w:val="22"/>
        </w:rPr>
        <w:t>Structure your bookkeeping to segregate Easy Drive activity from any other GB Trade and Logistics Inc. revenue streams. Use a department/class code of "EASY-DRIVE" in your accounting software.</w:t>
      </w:r>
    </w:p>
    <w:p>
      <w:pPr>
        <w:pStyle w:val="Heading4"/>
        <w:spacing w:before="160" w:after="40"/>
      </w:pPr>
      <w:r>
        <w:rPr>
          <w:b/>
          <w:color w:val="1A56DB"/>
          <w:sz w:val="24"/>
        </w:rPr>
        <w:t>Revenue Accounts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Account Code</w:t>
            </w:r>
          </w:p>
        </w:tc>
        <w:tc>
          <w:tcPr>
            <w:tcW w:type="dxa" w:w="3022"/>
            <w:shd w:val="clear" w:color="auto" w:fill="1A56DB"/>
          </w:tcPr>
          <w:p>
            <w:pPr>
              <w:spacing w:before="60" w:after="60"/>
            </w:pPr>
            <w:r>
              <w:rPr>
                <w:b/>
                <w:color w:val="FFFFFF"/>
                <w:sz w:val="20"/>
              </w:rPr>
              <w:t>Account Name</w:t>
            </w:r>
          </w:p>
        </w:tc>
        <w:tc>
          <w:tcPr>
            <w:tcW w:type="dxa" w:w="3022"/>
            <w:shd w:val="clear" w:color="auto" w:fill="1A56DB"/>
          </w:tcPr>
          <w:p>
            <w:pPr>
              <w:spacing w:before="60" w:after="60"/>
            </w:pPr>
            <w:r>
              <w:rPr>
                <w:b/>
                <w:color w:val="FFFFFF"/>
                <w:sz w:val="20"/>
              </w:rPr>
              <w:t>Description</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4000</w:t>
            </w:r>
          </w:p>
        </w:tc>
        <w:tc>
          <w:tcPr>
            <w:tcW w:type="dxa" w:w="3022"/>
            <w:shd w:val="clear" w:color="auto" w:fill="1A56DB"/>
          </w:tcPr>
          <w:p>
            <w:pPr>
              <w:spacing w:before="60" w:after="60"/>
            </w:pPr>
            <w:r>
              <w:rPr>
                <w:b/>
                <w:color w:val="FFFFFF"/>
                <w:sz w:val="20"/>
              </w:rPr>
              <w:t>Platform Fee Revenue</w:t>
            </w:r>
          </w:p>
        </w:tc>
        <w:tc>
          <w:tcPr>
            <w:tcW w:type="dxa" w:w="3022"/>
            <w:shd w:val="clear" w:color="auto" w:fill="1A56DB"/>
          </w:tcPr>
          <w:p>
            <w:pPr>
              <w:spacing w:before="60" w:after="60"/>
            </w:pPr>
            <w:r>
              <w:rPr>
                <w:b/>
                <w:color w:val="FFFFFF"/>
                <w:sz w:val="20"/>
              </w:rPr>
              <w:t>20% commission earned — net of HST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4010</w:t>
            </w:r>
          </w:p>
        </w:tc>
        <w:tc>
          <w:tcPr>
            <w:tcW w:type="dxa" w:w="3022"/>
            <w:shd w:val="clear" w:color="auto" w:fill="1A56DB"/>
          </w:tcPr>
          <w:p>
            <w:pPr>
              <w:spacing w:before="60" w:after="60"/>
            </w:pPr>
            <w:r>
              <w:rPr>
                <w:b/>
                <w:color w:val="FFFFFF"/>
                <w:sz w:val="20"/>
              </w:rPr>
              <w:t>Late Return Fees</w:t>
            </w:r>
          </w:p>
        </w:tc>
        <w:tc>
          <w:tcPr>
            <w:tcW w:type="dxa" w:w="3022"/>
            <w:shd w:val="clear" w:color="auto" w:fill="1A56DB"/>
          </w:tcPr>
          <w:p>
            <w:pPr>
              <w:spacing w:before="60" w:after="60"/>
            </w:pPr>
            <w:r>
              <w:rPr>
                <w:b/>
                <w:color w:val="FFFFFF"/>
                <w:sz w:val="20"/>
              </w:rPr>
              <w:t>$50/day late fee revenue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4020</w:t>
            </w:r>
          </w:p>
        </w:tc>
        <w:tc>
          <w:tcPr>
            <w:tcW w:type="dxa" w:w="3022"/>
            <w:shd w:val="clear" w:color="auto" w:fill="1A56DB"/>
          </w:tcPr>
          <w:p>
            <w:pPr>
              <w:spacing w:before="60" w:after="60"/>
            </w:pPr>
            <w:r>
              <w:rPr>
                <w:b/>
                <w:color w:val="FFFFFF"/>
                <w:sz w:val="20"/>
              </w:rPr>
              <w:t>Early Termination Fees</w:t>
            </w:r>
          </w:p>
        </w:tc>
        <w:tc>
          <w:tcPr>
            <w:tcW w:type="dxa" w:w="3022"/>
            <w:shd w:val="clear" w:color="auto" w:fill="1A56DB"/>
          </w:tcPr>
          <w:p>
            <w:pPr>
              <w:spacing w:before="60" w:after="60"/>
            </w:pPr>
            <w:r>
              <w:rPr>
                <w:b/>
                <w:color w:val="FFFFFF"/>
                <w:sz w:val="20"/>
              </w:rPr>
              <w:t>Penalty fees retained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4030</w:t>
            </w:r>
          </w:p>
        </w:tc>
        <w:tc>
          <w:tcPr>
            <w:tcW w:type="dxa" w:w="3022"/>
            <w:shd w:val="clear" w:color="auto" w:fill="1A56DB"/>
          </w:tcPr>
          <w:p>
            <w:pPr>
              <w:spacing w:before="60" w:after="60"/>
            </w:pPr>
            <w:r>
              <w:rPr>
                <w:b/>
                <w:color w:val="FFFFFF"/>
                <w:sz w:val="20"/>
              </w:rPr>
              <w:t>Other Platform Income</w:t>
            </w:r>
          </w:p>
        </w:tc>
        <w:tc>
          <w:tcPr>
            <w:tcW w:type="dxa" w:w="3022"/>
            <w:shd w:val="clear" w:color="auto" w:fill="1A56DB"/>
          </w:tcPr>
          <w:p>
            <w:pPr>
              <w:spacing w:before="60" w:after="60"/>
            </w:pPr>
            <w:r>
              <w:rPr>
                <w:b/>
                <w:color w:val="FFFFFF"/>
                <w:sz w:val="20"/>
              </w:rPr>
              <w:t>Future: listing upgrade fees, etc.</w:t>
            </w:r>
          </w:p>
        </w:tc>
      </w:tr>
    </w:tbl>
    <w:p/>
    <w:p>
      <w:pPr>
        <w:pStyle w:val="Heading4"/>
        <w:spacing w:before="160" w:after="40"/>
      </w:pPr>
      <w:r>
        <w:rPr>
          <w:b/>
          <w:color w:val="1A56DB"/>
          <w:sz w:val="24"/>
        </w:rPr>
        <w:t>Liability Accounts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Account Code</w:t>
            </w:r>
          </w:p>
        </w:tc>
        <w:tc>
          <w:tcPr>
            <w:tcW w:type="dxa" w:w="3022"/>
            <w:shd w:val="clear" w:color="auto" w:fill="1A56DB"/>
          </w:tcPr>
          <w:p>
            <w:pPr>
              <w:spacing w:before="60" w:after="60"/>
            </w:pPr>
            <w:r>
              <w:rPr>
                <w:b/>
                <w:color w:val="FFFFFF"/>
                <w:sz w:val="20"/>
              </w:rPr>
              <w:t>Account Name</w:t>
            </w:r>
          </w:p>
        </w:tc>
        <w:tc>
          <w:tcPr>
            <w:tcW w:type="dxa" w:w="3022"/>
            <w:shd w:val="clear" w:color="auto" w:fill="1A56DB"/>
          </w:tcPr>
          <w:p>
            <w:pPr>
              <w:spacing w:before="60" w:after="60"/>
            </w:pPr>
            <w:r>
              <w:rPr>
                <w:b/>
                <w:color w:val="FFFFFF"/>
                <w:sz w:val="20"/>
              </w:rPr>
              <w:t>Description</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2100</w:t>
            </w:r>
          </w:p>
        </w:tc>
        <w:tc>
          <w:tcPr>
            <w:tcW w:type="dxa" w:w="3022"/>
            <w:shd w:val="clear" w:color="auto" w:fill="1A56DB"/>
          </w:tcPr>
          <w:p>
            <w:pPr>
              <w:spacing w:before="60" w:after="60"/>
            </w:pPr>
            <w:r>
              <w:rPr>
                <w:b/>
                <w:color w:val="FFFFFF"/>
                <w:sz w:val="20"/>
              </w:rPr>
              <w:t>HST Payable</w:t>
            </w:r>
          </w:p>
        </w:tc>
        <w:tc>
          <w:tcPr>
            <w:tcW w:type="dxa" w:w="3022"/>
            <w:shd w:val="clear" w:color="auto" w:fill="1A56DB"/>
          </w:tcPr>
          <w:p>
            <w:pPr>
              <w:spacing w:before="60" w:after="60"/>
            </w:pPr>
            <w:r>
              <w:rPr>
                <w:b/>
                <w:color w:val="FFFFFF"/>
                <w:sz w:val="20"/>
              </w:rPr>
              <w:t>HST collected, owed to CRA</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2200</w:t>
            </w:r>
          </w:p>
        </w:tc>
        <w:tc>
          <w:tcPr>
            <w:tcW w:type="dxa" w:w="3022"/>
            <w:shd w:val="clear" w:color="auto" w:fill="1A56DB"/>
          </w:tcPr>
          <w:p>
            <w:pPr>
              <w:spacing w:before="60" w:after="60"/>
            </w:pPr>
            <w:r>
              <w:rPr>
                <w:b/>
                <w:color w:val="FFFFFF"/>
                <w:sz w:val="20"/>
              </w:rPr>
              <w:t>Security Deposits Held</w:t>
            </w:r>
          </w:p>
        </w:tc>
        <w:tc>
          <w:tcPr>
            <w:tcW w:type="dxa" w:w="3022"/>
            <w:shd w:val="clear" w:color="auto" w:fill="1A56DB"/>
          </w:tcPr>
          <w:p>
            <w:pPr>
              <w:spacing w:before="60" w:after="60"/>
            </w:pPr>
            <w:r>
              <w:rPr>
                <w:b/>
                <w:color w:val="FFFFFF"/>
                <w:sz w:val="20"/>
              </w:rPr>
              <w:t>Renter deposits (liability until released)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2210</w:t>
            </w:r>
          </w:p>
        </w:tc>
        <w:tc>
          <w:tcPr>
            <w:tcW w:type="dxa" w:w="3022"/>
            <w:shd w:val="clear" w:color="auto" w:fill="1A56DB"/>
          </w:tcPr>
          <w:p>
            <w:pPr>
              <w:spacing w:before="60" w:after="60"/>
            </w:pPr>
            <w:r>
              <w:rPr>
                <w:b/>
                <w:color w:val="FFFFFF"/>
                <w:sz w:val="20"/>
              </w:rPr>
              <w:t>Deferred Revenue</w:t>
            </w:r>
          </w:p>
        </w:tc>
        <w:tc>
          <w:tcPr>
            <w:tcW w:type="dxa" w:w="3022"/>
            <w:shd w:val="clear" w:color="auto" w:fill="1A56DB"/>
          </w:tcPr>
          <w:p>
            <w:pPr>
              <w:spacing w:before="60" w:after="60"/>
            </w:pPr>
            <w:r>
              <w:rPr>
                <w:b/>
                <w:color w:val="FFFFFF"/>
                <w:sz w:val="20"/>
              </w:rPr>
              <w:t>Prepaid platform fees not yet earned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2220</w:t>
            </w:r>
          </w:p>
        </w:tc>
        <w:tc>
          <w:tcPr>
            <w:tcW w:type="dxa" w:w="3022"/>
            <w:shd w:val="clear" w:color="auto" w:fill="1A56DB"/>
          </w:tcPr>
          <w:p>
            <w:pPr>
              <w:spacing w:before="60" w:after="60"/>
            </w:pPr>
            <w:r>
              <w:rPr>
                <w:b/>
                <w:color w:val="FFFFFF"/>
                <w:sz w:val="20"/>
              </w:rPr>
              <w:t>Host Payouts Payable</w:t>
            </w:r>
          </w:p>
        </w:tc>
        <w:tc>
          <w:tcPr>
            <w:tcW w:type="dxa" w:w="3022"/>
            <w:shd w:val="clear" w:color="auto" w:fill="1A56DB"/>
          </w:tcPr>
          <w:p>
            <w:pPr>
              <w:spacing w:before="60" w:after="60"/>
            </w:pPr>
            <w:r>
              <w:rPr>
                <w:b/>
                <w:color w:val="FFFFFF"/>
                <w:sz w:val="20"/>
              </w:rPr>
              <w:t>Amounts owed to hosts pending Stripe payout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2230</w:t>
            </w:r>
          </w:p>
        </w:tc>
        <w:tc>
          <w:tcPr>
            <w:tcW w:type="dxa" w:w="3022"/>
            <w:shd w:val="clear" w:color="auto" w:fill="1A56DB"/>
          </w:tcPr>
          <w:p>
            <w:pPr>
              <w:spacing w:before="60" w:after="60"/>
            </w:pPr>
            <w:r>
              <w:rPr>
                <w:b/>
                <w:color w:val="FFFFFF"/>
                <w:sz w:val="20"/>
              </w:rPr>
              <w:t>Damage Claims Payable</w:t>
            </w:r>
          </w:p>
        </w:tc>
        <w:tc>
          <w:tcPr>
            <w:tcW w:type="dxa" w:w="3022"/>
            <w:shd w:val="clear" w:color="auto" w:fill="1A56DB"/>
          </w:tcPr>
          <w:p>
            <w:pPr>
              <w:spacing w:before="60" w:after="60"/>
            </w:pPr>
            <w:r>
              <w:rPr>
                <w:b/>
                <w:color w:val="FFFFFF"/>
                <w:sz w:val="20"/>
              </w:rPr>
              <w:t>Deposits allocated to approved host damage claims</w:t>
            </w:r>
          </w:p>
        </w:tc>
      </w:tr>
    </w:tbl>
    <w:p/>
    <w:p>
      <w:pPr>
        <w:pStyle w:val="Heading4"/>
        <w:spacing w:before="160" w:after="40"/>
      </w:pPr>
      <w:r>
        <w:rPr>
          <w:b/>
          <w:color w:val="1A56DB"/>
          <w:sz w:val="24"/>
        </w:rPr>
        <w:t>Expense Accounts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Account Code</w:t>
            </w:r>
          </w:p>
        </w:tc>
        <w:tc>
          <w:tcPr>
            <w:tcW w:type="dxa" w:w="3022"/>
            <w:shd w:val="clear" w:color="auto" w:fill="1A56DB"/>
          </w:tcPr>
          <w:p>
            <w:pPr>
              <w:spacing w:before="60" w:after="60"/>
            </w:pPr>
            <w:r>
              <w:rPr>
                <w:b/>
                <w:color w:val="FFFFFF"/>
                <w:sz w:val="20"/>
              </w:rPr>
              <w:t>Account Name</w:t>
            </w:r>
          </w:p>
        </w:tc>
        <w:tc>
          <w:tcPr>
            <w:tcW w:type="dxa" w:w="3022"/>
            <w:shd w:val="clear" w:color="auto" w:fill="1A56DB"/>
          </w:tcPr>
          <w:p>
            <w:pPr>
              <w:spacing w:before="60" w:after="60"/>
            </w:pPr>
            <w:r>
              <w:rPr>
                <w:b/>
                <w:color w:val="FFFFFF"/>
                <w:sz w:val="20"/>
              </w:rPr>
              <w:t>Description</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5000</w:t>
            </w:r>
          </w:p>
        </w:tc>
        <w:tc>
          <w:tcPr>
            <w:tcW w:type="dxa" w:w="3022"/>
            <w:shd w:val="clear" w:color="auto" w:fill="1A56DB"/>
          </w:tcPr>
          <w:p>
            <w:pPr>
              <w:spacing w:before="60" w:after="60"/>
            </w:pPr>
            <w:r>
              <w:rPr>
                <w:b/>
                <w:color w:val="FFFFFF"/>
                <w:sz w:val="20"/>
              </w:rPr>
              <w:t>Payment Processing — Stripe</w:t>
            </w:r>
          </w:p>
        </w:tc>
        <w:tc>
          <w:tcPr>
            <w:tcW w:type="dxa" w:w="3022"/>
            <w:shd w:val="clear" w:color="auto" w:fill="1A56DB"/>
          </w:tcPr>
          <w:p>
            <w:pPr>
              <w:spacing w:before="60" w:after="60"/>
            </w:pPr>
            <w:r>
              <w:rPr>
                <w:b/>
                <w:color w:val="FFFFFF"/>
                <w:sz w:val="20"/>
              </w:rPr>
              <w:t>Stripe Connect fees (2.9% + $0.30)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5010</w:t>
            </w:r>
          </w:p>
        </w:tc>
        <w:tc>
          <w:tcPr>
            <w:tcW w:type="dxa" w:w="3022"/>
            <w:shd w:val="clear" w:color="auto" w:fill="1A56DB"/>
          </w:tcPr>
          <w:p>
            <w:pPr>
              <w:spacing w:before="60" w:after="60"/>
            </w:pPr>
            <w:r>
              <w:rPr>
                <w:b/>
                <w:color w:val="FFFFFF"/>
                <w:sz w:val="20"/>
              </w:rPr>
              <w:t>Platform Software — Vercel</w:t>
            </w:r>
          </w:p>
        </w:tc>
        <w:tc>
          <w:tcPr>
            <w:tcW w:type="dxa" w:w="3022"/>
            <w:shd w:val="clear" w:color="auto" w:fill="1A56DB"/>
          </w:tcPr>
          <w:p>
            <w:pPr>
              <w:spacing w:before="60" w:after="60"/>
            </w:pPr>
            <w:r>
              <w:rPr>
                <w:b/>
                <w:color w:val="FFFFFF"/>
                <w:sz w:val="20"/>
              </w:rPr>
              <w:t>Hosting</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5020</w:t>
            </w:r>
          </w:p>
        </w:tc>
        <w:tc>
          <w:tcPr>
            <w:tcW w:type="dxa" w:w="3022"/>
            <w:shd w:val="clear" w:color="auto" w:fill="1A56DB"/>
          </w:tcPr>
          <w:p>
            <w:pPr>
              <w:spacing w:before="60" w:after="60"/>
            </w:pPr>
            <w:r>
              <w:rPr>
                <w:b/>
                <w:color w:val="FFFFFF"/>
                <w:sz w:val="20"/>
              </w:rPr>
              <w:t>Platform Software — Supabase</w:t>
            </w:r>
          </w:p>
        </w:tc>
        <w:tc>
          <w:tcPr>
            <w:tcW w:type="dxa" w:w="3022"/>
            <w:shd w:val="clear" w:color="auto" w:fill="1A56DB"/>
          </w:tcPr>
          <w:p>
            <w:pPr>
              <w:spacing w:before="60" w:after="60"/>
            </w:pPr>
            <w:r>
              <w:rPr>
                <w:b/>
                <w:color w:val="FFFFFF"/>
                <w:sz w:val="20"/>
              </w:rPr>
              <w:t>Database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5030</w:t>
            </w:r>
          </w:p>
        </w:tc>
        <w:tc>
          <w:tcPr>
            <w:tcW w:type="dxa" w:w="3022"/>
            <w:shd w:val="clear" w:color="auto" w:fill="1A56DB"/>
          </w:tcPr>
          <w:p>
            <w:pPr>
              <w:spacing w:before="60" w:after="60"/>
            </w:pPr>
            <w:r>
              <w:rPr>
                <w:b/>
                <w:color w:val="FFFFFF"/>
                <w:sz w:val="20"/>
              </w:rPr>
              <w:t>Platform Software — Twilio</w:t>
            </w:r>
          </w:p>
        </w:tc>
        <w:tc>
          <w:tcPr>
            <w:tcW w:type="dxa" w:w="3022"/>
            <w:shd w:val="clear" w:color="auto" w:fill="1A56DB"/>
          </w:tcPr>
          <w:p>
            <w:pPr>
              <w:spacing w:before="60" w:after="60"/>
            </w:pPr>
            <w:r>
              <w:rPr>
                <w:b/>
                <w:color w:val="FFFFFF"/>
                <w:sz w:val="20"/>
              </w:rPr>
              <w:t>SMS notifications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5040</w:t>
            </w:r>
          </w:p>
        </w:tc>
        <w:tc>
          <w:tcPr>
            <w:tcW w:type="dxa" w:w="3022"/>
            <w:shd w:val="clear" w:color="auto" w:fill="1A56DB"/>
          </w:tcPr>
          <w:p>
            <w:pPr>
              <w:spacing w:before="60" w:after="60"/>
            </w:pPr>
            <w:r>
              <w:rPr>
                <w:b/>
                <w:color w:val="FFFFFF"/>
                <w:sz w:val="20"/>
              </w:rPr>
              <w:t>Platform Software — Resend</w:t>
            </w:r>
          </w:p>
        </w:tc>
        <w:tc>
          <w:tcPr>
            <w:tcW w:type="dxa" w:w="3022"/>
            <w:shd w:val="clear" w:color="auto" w:fill="1A56DB"/>
          </w:tcPr>
          <w:p>
            <w:pPr>
              <w:spacing w:before="60" w:after="60"/>
            </w:pPr>
            <w:r>
              <w:rPr>
                <w:b/>
                <w:color w:val="FFFFFF"/>
                <w:sz w:val="20"/>
              </w:rPr>
              <w:t>Email notifications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5050</w:t>
            </w:r>
          </w:p>
        </w:tc>
        <w:tc>
          <w:tcPr>
            <w:tcW w:type="dxa" w:w="3022"/>
            <w:shd w:val="clear" w:color="auto" w:fill="1A56DB"/>
          </w:tcPr>
          <w:p>
            <w:pPr>
              <w:spacing w:before="60" w:after="60"/>
            </w:pPr>
            <w:r>
              <w:rPr>
                <w:b/>
                <w:color w:val="FFFFFF"/>
                <w:sz w:val="20"/>
              </w:rPr>
              <w:t>Platform Software — PandaDoc</w:t>
            </w:r>
          </w:p>
        </w:tc>
        <w:tc>
          <w:tcPr>
            <w:tcW w:type="dxa" w:w="3022"/>
            <w:shd w:val="clear" w:color="auto" w:fill="1A56DB"/>
          </w:tcPr>
          <w:p>
            <w:pPr>
              <w:spacing w:before="60" w:after="60"/>
            </w:pPr>
            <w:r>
              <w:rPr>
                <w:b/>
                <w:color w:val="FFFFFF"/>
                <w:sz w:val="20"/>
              </w:rPr>
              <w:t>Digital rental agreements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5060</w:t>
            </w:r>
          </w:p>
        </w:tc>
        <w:tc>
          <w:tcPr>
            <w:tcW w:type="dxa" w:w="3022"/>
            <w:shd w:val="clear" w:color="auto" w:fill="1A56DB"/>
          </w:tcPr>
          <w:p>
            <w:pPr>
              <w:spacing w:before="60" w:after="60"/>
            </w:pPr>
            <w:r>
              <w:rPr>
                <w:b/>
                <w:color w:val="FFFFFF"/>
                <w:sz w:val="20"/>
              </w:rPr>
              <w:t>Platform Software — Other</w:t>
            </w:r>
          </w:p>
        </w:tc>
        <w:tc>
          <w:tcPr>
            <w:tcW w:type="dxa" w:w="3022"/>
            <w:shd w:val="clear" w:color="auto" w:fill="1A56DB"/>
          </w:tcPr>
          <w:p>
            <w:pPr>
              <w:spacing w:before="60" w:after="60"/>
            </w:pPr>
            <w:r>
              <w:rPr>
                <w:b/>
                <w:color w:val="FFFFFF"/>
                <w:sz w:val="20"/>
              </w:rPr>
              <w:t>Any additional SaaS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5100</w:t>
            </w:r>
          </w:p>
        </w:tc>
        <w:tc>
          <w:tcPr>
            <w:tcW w:type="dxa" w:w="3022"/>
            <w:shd w:val="clear" w:color="auto" w:fill="1A56DB"/>
          </w:tcPr>
          <w:p>
            <w:pPr>
              <w:spacing w:before="60" w:after="60"/>
            </w:pPr>
            <w:r>
              <w:rPr>
                <w:b/>
                <w:color w:val="FFFFFF"/>
                <w:sz w:val="20"/>
              </w:rPr>
              <w:t>Legal &amp; Compliance</w:t>
            </w:r>
          </w:p>
        </w:tc>
        <w:tc>
          <w:tcPr>
            <w:tcW w:type="dxa" w:w="3022"/>
            <w:shd w:val="clear" w:color="auto" w:fill="1A56DB"/>
          </w:tcPr>
          <w:p>
            <w:pPr>
              <w:spacing w:before="60" w:after="60"/>
            </w:pPr>
            <w:r>
              <w:rPr>
                <w:b/>
                <w:color w:val="FFFFFF"/>
                <w:sz w:val="20"/>
              </w:rPr>
              <w:t>Lawyer fees, ToS drafting</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5110</w:t>
            </w:r>
          </w:p>
        </w:tc>
        <w:tc>
          <w:tcPr>
            <w:tcW w:type="dxa" w:w="3022"/>
            <w:shd w:val="clear" w:color="auto" w:fill="1A56DB"/>
          </w:tcPr>
          <w:p>
            <w:pPr>
              <w:spacing w:before="60" w:after="60"/>
            </w:pPr>
            <w:r>
              <w:rPr>
                <w:b/>
                <w:color w:val="FFFFFF"/>
                <w:sz w:val="20"/>
              </w:rPr>
              <w:t>Accounting &amp; Bookkeeping</w:t>
            </w:r>
          </w:p>
        </w:tc>
        <w:tc>
          <w:tcPr>
            <w:tcW w:type="dxa" w:w="3022"/>
            <w:shd w:val="clear" w:color="auto" w:fill="1A56DB"/>
          </w:tcPr>
          <w:p>
            <w:pPr>
              <w:spacing w:before="60" w:after="60"/>
            </w:pPr>
            <w:r>
              <w:rPr>
                <w:b/>
                <w:color w:val="FFFFFF"/>
                <w:sz w:val="20"/>
              </w:rPr>
              <w:t>Wave, QuickBooks, or CPA fees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5200</w:t>
            </w:r>
          </w:p>
        </w:tc>
        <w:tc>
          <w:tcPr>
            <w:tcW w:type="dxa" w:w="3022"/>
            <w:shd w:val="clear" w:color="auto" w:fill="1A56DB"/>
          </w:tcPr>
          <w:p>
            <w:pPr>
              <w:spacing w:before="60" w:after="60"/>
            </w:pPr>
            <w:r>
              <w:rPr>
                <w:b/>
                <w:color w:val="FFFFFF"/>
                <w:sz w:val="20"/>
              </w:rPr>
              <w:t>Marketing — Digital</w:t>
            </w:r>
          </w:p>
        </w:tc>
        <w:tc>
          <w:tcPr>
            <w:tcW w:type="dxa" w:w="3022"/>
            <w:shd w:val="clear" w:color="auto" w:fill="1A56DB"/>
          </w:tcPr>
          <w:p>
            <w:pPr>
              <w:spacing w:before="60" w:after="60"/>
            </w:pPr>
            <w:r>
              <w:rPr>
                <w:b/>
                <w:color w:val="FFFFFF"/>
                <w:sz w:val="20"/>
              </w:rPr>
              <w:t>Facebook ads, Google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5210</w:t>
            </w:r>
          </w:p>
        </w:tc>
        <w:tc>
          <w:tcPr>
            <w:tcW w:type="dxa" w:w="3022"/>
            <w:shd w:val="clear" w:color="auto" w:fill="1A56DB"/>
          </w:tcPr>
          <w:p>
            <w:pPr>
              <w:spacing w:before="60" w:after="60"/>
            </w:pPr>
            <w:r>
              <w:rPr>
                <w:b/>
                <w:color w:val="FFFFFF"/>
                <w:sz w:val="20"/>
              </w:rPr>
              <w:t>Marketing — Physical</w:t>
            </w:r>
          </w:p>
        </w:tc>
        <w:tc>
          <w:tcPr>
            <w:tcW w:type="dxa" w:w="3022"/>
            <w:shd w:val="clear" w:color="auto" w:fill="1A56DB"/>
          </w:tcPr>
          <w:p>
            <w:pPr>
              <w:spacing w:before="60" w:after="60"/>
            </w:pPr>
            <w:r>
              <w:rPr>
                <w:b/>
                <w:color w:val="FFFFFF"/>
                <w:sz w:val="20"/>
              </w:rPr>
              <w:t>Flyers, printing</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5220</w:t>
            </w:r>
          </w:p>
        </w:tc>
        <w:tc>
          <w:tcPr>
            <w:tcW w:type="dxa" w:w="3022"/>
            <w:shd w:val="clear" w:color="auto" w:fill="1A56DB"/>
          </w:tcPr>
          <w:p>
            <w:pPr>
              <w:spacing w:before="60" w:after="60"/>
            </w:pPr>
            <w:r>
              <w:rPr>
                <w:b/>
                <w:color w:val="FFFFFF"/>
                <w:sz w:val="20"/>
              </w:rPr>
              <w:t>Marketing — Referral Bonuses</w:t>
            </w:r>
          </w:p>
        </w:tc>
        <w:tc>
          <w:tcPr>
            <w:tcW w:type="dxa" w:w="3022"/>
            <w:shd w:val="clear" w:color="auto" w:fill="1A56DB"/>
          </w:tcPr>
          <w:p>
            <w:pPr>
              <w:spacing w:before="60" w:after="60"/>
            </w:pPr>
            <w:r>
              <w:rPr>
                <w:b/>
                <w:color w:val="FFFFFF"/>
                <w:sz w:val="20"/>
              </w:rPr>
              <w:t>Host/renter referral credits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5300</w:t>
            </w:r>
          </w:p>
        </w:tc>
        <w:tc>
          <w:tcPr>
            <w:tcW w:type="dxa" w:w="3022"/>
            <w:shd w:val="clear" w:color="auto" w:fill="1A56DB"/>
          </w:tcPr>
          <w:p>
            <w:pPr>
              <w:spacing w:before="60" w:after="60"/>
            </w:pPr>
            <w:r>
              <w:rPr>
                <w:b/>
                <w:color w:val="FFFFFF"/>
                <w:sz w:val="20"/>
              </w:rPr>
              <w:t>Bank &amp; Merchant Fees</w:t>
            </w:r>
          </w:p>
        </w:tc>
        <w:tc>
          <w:tcPr>
            <w:tcW w:type="dxa" w:w="3022"/>
            <w:shd w:val="clear" w:color="auto" w:fill="1A56DB"/>
          </w:tcPr>
          <w:p>
            <w:pPr>
              <w:spacing w:before="60" w:after="60"/>
            </w:pPr>
            <w:r>
              <w:rPr>
                <w:b/>
                <w:color w:val="FFFFFF"/>
                <w:sz w:val="20"/>
              </w:rPr>
              <w:t>Business account fees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5400</w:t>
            </w:r>
          </w:p>
        </w:tc>
        <w:tc>
          <w:tcPr>
            <w:tcW w:type="dxa" w:w="3022"/>
            <w:shd w:val="clear" w:color="auto" w:fill="1A56DB"/>
          </w:tcPr>
          <w:p>
            <w:pPr>
              <w:spacing w:before="60" w:after="60"/>
            </w:pPr>
            <w:r>
              <w:rPr>
                <w:b/>
                <w:color w:val="FFFFFF"/>
                <w:sz w:val="20"/>
              </w:rPr>
              <w:t>Administration</w:t>
            </w:r>
          </w:p>
        </w:tc>
        <w:tc>
          <w:tcPr>
            <w:tcW w:type="dxa" w:w="3022"/>
            <w:shd w:val="clear" w:color="auto" w:fill="1A56DB"/>
          </w:tcPr>
          <w:p>
            <w:pPr>
              <w:spacing w:before="60" w:after="60"/>
            </w:pPr>
            <w:r>
              <w:rPr>
                <w:b/>
                <w:color w:val="FFFFFF"/>
                <w:sz w:val="20"/>
              </w:rPr>
              <w:t>Phone, office supplies, misc</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5500</w:t>
            </w:r>
          </w:p>
        </w:tc>
        <w:tc>
          <w:tcPr>
            <w:tcW w:type="dxa" w:w="3022"/>
            <w:shd w:val="clear" w:color="auto" w:fill="1A56DB"/>
          </w:tcPr>
          <w:p>
            <w:pPr>
              <w:spacing w:before="60" w:after="60"/>
            </w:pPr>
            <w:r>
              <w:rPr>
                <w:b/>
                <w:color w:val="FFFFFF"/>
                <w:sz w:val="20"/>
              </w:rPr>
              <w:t>Insurance — Platform</w:t>
            </w:r>
          </w:p>
        </w:tc>
        <w:tc>
          <w:tcPr>
            <w:tcW w:type="dxa" w:w="3022"/>
            <w:shd w:val="clear" w:color="auto" w:fill="1A56DB"/>
          </w:tcPr>
          <w:p>
            <w:pPr>
              <w:spacing w:before="60" w:after="60"/>
            </w:pPr>
            <w:r>
              <w:rPr>
                <w:b/>
                <w:color w:val="FFFFFF"/>
                <w:sz w:val="20"/>
              </w:rPr>
              <w:t>Any D&amp;O or business liability policy</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5600</w:t>
            </w:r>
          </w:p>
        </w:tc>
        <w:tc>
          <w:tcPr>
            <w:tcW w:type="dxa" w:w="3022"/>
            <w:shd w:val="clear" w:color="auto" w:fill="1A56DB"/>
          </w:tcPr>
          <w:p>
            <w:pPr>
              <w:spacing w:before="60" w:after="60"/>
            </w:pPr>
            <w:r>
              <w:rPr>
                <w:b/>
                <w:color w:val="FFFFFF"/>
                <w:sz w:val="20"/>
              </w:rPr>
              <w:t>Host Acquisition — Subsidies</w:t>
            </w:r>
          </w:p>
        </w:tc>
        <w:tc>
          <w:tcPr>
            <w:tcW w:type="dxa" w:w="3022"/>
            <w:shd w:val="clear" w:color="auto" w:fill="1A56DB"/>
          </w:tcPr>
          <w:p>
            <w:pPr>
              <w:spacing w:before="60" w:after="60"/>
            </w:pPr>
            <w:r>
              <w:rPr>
                <w:b/>
                <w:color w:val="FFFFFF"/>
                <w:sz w:val="20"/>
              </w:rPr>
              <w:t>Bouncie device subsidies for early hosts</w:t>
            </w:r>
          </w:p>
        </w:tc>
      </w:tr>
    </w:tbl>
    <w:p/>
    <w:p>
      <w:pPr>
        <w:pStyle w:val="Heading4"/>
        <w:spacing w:before="160" w:after="40"/>
      </w:pPr>
      <w:r>
        <w:rPr>
          <w:b/>
          <w:color w:val="1A56DB"/>
          <w:sz w:val="24"/>
        </w:rPr>
        <w:t>Asset Accounts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Account Code</w:t>
            </w:r>
          </w:p>
        </w:tc>
        <w:tc>
          <w:tcPr>
            <w:tcW w:type="dxa" w:w="3022"/>
            <w:shd w:val="clear" w:color="auto" w:fill="1A56DB"/>
          </w:tcPr>
          <w:p>
            <w:pPr>
              <w:spacing w:before="60" w:after="60"/>
            </w:pPr>
            <w:r>
              <w:rPr>
                <w:b/>
                <w:color w:val="FFFFFF"/>
                <w:sz w:val="20"/>
              </w:rPr>
              <w:t>Account Name</w:t>
            </w:r>
          </w:p>
        </w:tc>
        <w:tc>
          <w:tcPr>
            <w:tcW w:type="dxa" w:w="3022"/>
            <w:shd w:val="clear" w:color="auto" w:fill="1A56DB"/>
          </w:tcPr>
          <w:p>
            <w:pPr>
              <w:spacing w:before="60" w:after="60"/>
            </w:pPr>
            <w:r>
              <w:rPr>
                <w:b/>
                <w:color w:val="FFFFFF"/>
                <w:sz w:val="20"/>
              </w:rPr>
              <w:t>Description</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1000</w:t>
            </w:r>
          </w:p>
        </w:tc>
        <w:tc>
          <w:tcPr>
            <w:tcW w:type="dxa" w:w="3022"/>
            <w:shd w:val="clear" w:color="auto" w:fill="1A56DB"/>
          </w:tcPr>
          <w:p>
            <w:pPr>
              <w:spacing w:before="60" w:after="60"/>
            </w:pPr>
            <w:r>
              <w:rPr>
                <w:b/>
                <w:color w:val="FFFFFF"/>
                <w:sz w:val="20"/>
              </w:rPr>
              <w:t>Bank — Operating</w:t>
            </w:r>
          </w:p>
        </w:tc>
        <w:tc>
          <w:tcPr>
            <w:tcW w:type="dxa" w:w="3022"/>
            <w:shd w:val="clear" w:color="auto" w:fill="1A56DB"/>
          </w:tcPr>
          <w:p>
            <w:pPr>
              <w:spacing w:before="60" w:after="60"/>
            </w:pPr>
            <w:r>
              <w:rPr>
                <w:b/>
                <w:color w:val="FFFFFF"/>
                <w:sz w:val="20"/>
              </w:rPr>
              <w:t>Main business chequing</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1010</w:t>
            </w:r>
          </w:p>
        </w:tc>
        <w:tc>
          <w:tcPr>
            <w:tcW w:type="dxa" w:w="3022"/>
            <w:shd w:val="clear" w:color="auto" w:fill="1A56DB"/>
          </w:tcPr>
          <w:p>
            <w:pPr>
              <w:spacing w:before="60" w:after="60"/>
            </w:pPr>
            <w:r>
              <w:rPr>
                <w:b/>
                <w:color w:val="FFFFFF"/>
                <w:sz w:val="20"/>
              </w:rPr>
              <w:t>Bank — Stripe Clearing</w:t>
            </w:r>
          </w:p>
        </w:tc>
        <w:tc>
          <w:tcPr>
            <w:tcW w:type="dxa" w:w="3022"/>
            <w:shd w:val="clear" w:color="auto" w:fill="1A56DB"/>
          </w:tcPr>
          <w:p>
            <w:pPr>
              <w:spacing w:before="60" w:after="60"/>
            </w:pPr>
            <w:r>
              <w:rPr>
                <w:b/>
                <w:color w:val="FFFFFF"/>
                <w:sz w:val="20"/>
              </w:rPr>
              <w:t>Stripe settlement balance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1020</w:t>
            </w:r>
          </w:p>
        </w:tc>
        <w:tc>
          <w:tcPr>
            <w:tcW w:type="dxa" w:w="3022"/>
            <w:shd w:val="clear" w:color="auto" w:fill="1A56DB"/>
          </w:tcPr>
          <w:p>
            <w:pPr>
              <w:spacing w:before="60" w:after="60"/>
            </w:pPr>
            <w:r>
              <w:rPr>
                <w:b/>
                <w:color w:val="FFFFFF"/>
                <w:sz w:val="20"/>
              </w:rPr>
              <w:t>Stripe Deposits Held</w:t>
            </w:r>
          </w:p>
        </w:tc>
        <w:tc>
          <w:tcPr>
            <w:tcW w:type="dxa" w:w="3022"/>
            <w:shd w:val="clear" w:color="auto" w:fill="1A56DB"/>
          </w:tcPr>
          <w:p>
            <w:pPr>
              <w:spacing w:before="60" w:after="60"/>
            </w:pPr>
            <w:r>
              <w:rPr>
                <w:b/>
                <w:color w:val="FFFFFF"/>
                <w:sz w:val="20"/>
              </w:rPr>
              <w:t>Stripe-held deposit balance (mirrors 2200)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1100</w:t>
            </w:r>
          </w:p>
        </w:tc>
        <w:tc>
          <w:tcPr>
            <w:tcW w:type="dxa" w:w="3022"/>
            <w:shd w:val="clear" w:color="auto" w:fill="1A56DB"/>
          </w:tcPr>
          <w:p>
            <w:pPr>
              <w:spacing w:before="60" w:after="60"/>
            </w:pPr>
            <w:r>
              <w:rPr>
                <w:b/>
                <w:color w:val="FFFFFF"/>
                <w:sz w:val="20"/>
              </w:rPr>
              <w:t>Accounts Receivable</w:t>
            </w:r>
          </w:p>
        </w:tc>
        <w:tc>
          <w:tcPr>
            <w:tcW w:type="dxa" w:w="3022"/>
            <w:shd w:val="clear" w:color="auto" w:fill="1A56DB"/>
          </w:tcPr>
          <w:p>
            <w:pPr>
              <w:spacing w:before="60" w:after="60"/>
            </w:pPr>
            <w:r>
              <w:rPr>
                <w:b/>
                <w:color w:val="FFFFFF"/>
                <w:sz w:val="20"/>
              </w:rPr>
              <w:t>Outstanding platform fees (rare — Stripe collects upfront)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1200</w:t>
            </w:r>
          </w:p>
        </w:tc>
        <w:tc>
          <w:tcPr>
            <w:tcW w:type="dxa" w:w="3022"/>
            <w:shd w:val="clear" w:color="auto" w:fill="1A56DB"/>
          </w:tcPr>
          <w:p>
            <w:pPr>
              <w:spacing w:before="60" w:after="60"/>
            </w:pPr>
            <w:r>
              <w:rPr>
                <w:b/>
                <w:color w:val="FFFFFF"/>
                <w:sz w:val="20"/>
              </w:rPr>
              <w:t>Prepaid Expenses</w:t>
            </w:r>
          </w:p>
        </w:tc>
        <w:tc>
          <w:tcPr>
            <w:tcW w:type="dxa" w:w="3022"/>
            <w:shd w:val="clear" w:color="auto" w:fill="1A56DB"/>
          </w:tcPr>
          <w:p>
            <w:pPr>
              <w:spacing w:before="60" w:after="60"/>
            </w:pPr>
            <w:r>
              <w:rPr>
                <w:b/>
                <w:color w:val="FFFFFF"/>
                <w:sz w:val="20"/>
              </w:rPr>
              <w:t>Annual SaaS subscriptions paid in advance</w:t>
            </w:r>
          </w:p>
        </w:tc>
      </w:tr>
    </w:tbl>
    <w:p/>
    <w:p>
      <w:pPr>
        <w:pStyle w:val="Heading3"/>
        <w:spacing w:before="160" w:after="40"/>
      </w:pPr>
      <w:r>
        <w:rPr>
          <w:b/>
          <w:color w:val="1A56DB"/>
          <w:sz w:val="26"/>
        </w:rPr>
        <w:t>Separating Easy Drive from GB Trade Activity</w:t>
      </w:r>
    </w:p>
    <w:p>
      <w:pPr>
        <w:spacing w:before="40" w:after="80"/>
      </w:pPr>
      <w:r>
        <w:rPr>
          <w:b/>
          <w:i w:val="0"/>
          <w:color w:val="111827"/>
          <w:sz w:val="22"/>
        </w:rPr>
        <w:t>If GB Trade and Logistics Inc. has other revenue streams, use class/department tracking in your accounting software to keep Easy Drive's P&amp;L clean. This matters for:</w:t>
      </w:r>
    </w:p>
    <w:p>
      <w:pPr>
        <w:pStyle w:val="ListBullet"/>
        <w:spacing w:before="20" w:after="20"/>
        <w:ind w:left="283"/>
      </w:pPr>
      <w:r>
        <w:rPr>
          <w:b w:val="0"/>
          <w:i w:val="0"/>
          <w:color w:val="111827"/>
          <w:sz w:val="22"/>
        </w:rPr>
        <w:t>Applying the small business deduction correctly to each stream</w:t>
      </w:r>
    </w:p>
    <w:p>
      <w:pPr>
        <w:pStyle w:val="ListBullet"/>
        <w:spacing w:before="20" w:after="20"/>
        <w:ind w:left="283"/>
      </w:pPr>
      <w:r>
        <w:rPr>
          <w:b w:val="0"/>
          <w:i w:val="0"/>
          <w:color w:val="111827"/>
          <w:sz w:val="22"/>
        </w:rPr>
        <w:t>Tracking platform profitability independently</w:t>
      </w:r>
    </w:p>
    <w:p>
      <w:pPr>
        <w:pStyle w:val="ListBullet"/>
        <w:spacing w:before="20" w:after="20"/>
        <w:ind w:left="283"/>
      </w:pPr>
      <w:r>
        <w:rPr>
          <w:b w:val="0"/>
          <w:i w:val="0"/>
          <w:color w:val="111827"/>
          <w:sz w:val="22"/>
        </w:rPr>
        <w:t>Future investor or lender reporting on Easy Drive specifically</w:t>
      </w:r>
    </w:p>
    <w:p>
      <w:pPr>
        <w:spacing w:before="40" w:after="80"/>
      </w:pPr>
      <w:r>
        <w:rPr>
          <w:b w:val="0"/>
          <w:i w:val="0"/>
          <w:color w:val="111827"/>
          <w:sz w:val="22"/>
        </w:rPr>
        <w:t>Do not commingle expenses. If you buy a laptop that serves both business lines, allocate a percentage to each (e.g., 70% Easy Drive, 30% other). Document your allocation methodology and apply it consistently.</w:t>
      </w:r>
    </w:p>
    <w:p>
      <w:pPr>
        <w:pStyle w:val="Heading2"/>
        <w:spacing w:before="280" w:after="80"/>
      </w:pPr>
      <w:r>
        <w:rPr>
          <w:b/>
          <w:color w:val="1A56DB"/>
          <w:sz w:val="32"/>
        </w:rPr>
        <w:t>6. Tax Considerations</w:t>
      </w:r>
    </w:p>
    <w:p>
      <w:pPr>
        <w:pStyle w:val="Heading3"/>
        <w:spacing w:before="160" w:after="40"/>
      </w:pPr>
      <w:r>
        <w:rPr>
          <w:b/>
          <w:color w:val="1A56DB"/>
          <w:sz w:val="26"/>
        </w:rPr>
        <w:t>6A. Corporate Tax — How Platform Revenue Flows Through</w:t>
      </w:r>
    </w:p>
    <w:p>
      <w:pPr>
        <w:spacing w:before="40" w:after="80"/>
      </w:pPr>
      <w:r>
        <w:rPr>
          <w:b/>
          <w:i w:val="0"/>
          <w:color w:val="111827"/>
          <w:sz w:val="22"/>
        </w:rPr>
        <w:t>Platform fee revenue (net of HST) flows into GB Trade and Logistics Inc.'s taxable income. As a Canadian-controlled private corporation (CCPC), GB Trade and Logistics Inc. benefits from the Small Business Deduction (SBD).</w:t>
      </w:r>
    </w:p>
    <w:p>
      <w:pPr>
        <w:spacing w:before="40" w:after="80"/>
      </w:pPr>
      <w:r>
        <w:rPr>
          <w:b/>
          <w:i w:val="0"/>
          <w:color w:val="111827"/>
          <w:sz w:val="22"/>
        </w:rPr>
        <w:t>2026 Ontario corporate tax rates (approximate):</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Tax Bracket</w:t>
            </w:r>
          </w:p>
        </w:tc>
        <w:tc>
          <w:tcPr>
            <w:tcW w:type="dxa" w:w="2266"/>
            <w:shd w:val="clear" w:color="auto" w:fill="1A56DB"/>
          </w:tcPr>
          <w:p>
            <w:pPr>
              <w:spacing w:before="60" w:after="60"/>
            </w:pPr>
            <w:r>
              <w:rPr>
                <w:b/>
                <w:color w:val="FFFFFF"/>
                <w:sz w:val="20"/>
              </w:rPr>
              <w:t>Federal Rate</w:t>
            </w:r>
          </w:p>
        </w:tc>
        <w:tc>
          <w:tcPr>
            <w:tcW w:type="dxa" w:w="2266"/>
            <w:shd w:val="clear" w:color="auto" w:fill="1A56DB"/>
          </w:tcPr>
          <w:p>
            <w:pPr>
              <w:spacing w:before="60" w:after="60"/>
            </w:pPr>
            <w:r>
              <w:rPr>
                <w:b/>
                <w:color w:val="FFFFFF"/>
                <w:sz w:val="20"/>
              </w:rPr>
              <w:t>Ontario Rate</w:t>
            </w:r>
          </w:p>
        </w:tc>
        <w:tc>
          <w:tcPr>
            <w:tcW w:type="dxa" w:w="2266"/>
            <w:shd w:val="clear" w:color="auto" w:fill="1A56DB"/>
          </w:tcPr>
          <w:p>
            <w:pPr>
              <w:spacing w:before="60" w:after="60"/>
            </w:pPr>
            <w:r>
              <w:rPr>
                <w:b/>
                <w:color w:val="FFFFFF"/>
                <w:sz w:val="20"/>
              </w:rPr>
              <w:t>Combined</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Active business income up to $500,000 (SBD)</w:t>
            </w:r>
          </w:p>
        </w:tc>
        <w:tc>
          <w:tcPr>
            <w:tcW w:type="dxa" w:w="2266"/>
            <w:shd w:val="clear" w:color="auto" w:fill="1A56DB"/>
          </w:tcPr>
          <w:p>
            <w:pPr>
              <w:spacing w:before="60" w:after="60"/>
            </w:pPr>
            <w:r>
              <w:rPr>
                <w:b/>
                <w:color w:val="FFFFFF"/>
                <w:sz w:val="20"/>
              </w:rPr>
              <w:t>9%</w:t>
            </w:r>
          </w:p>
        </w:tc>
        <w:tc>
          <w:tcPr>
            <w:tcW w:type="dxa" w:w="2266"/>
            <w:shd w:val="clear" w:color="auto" w:fill="1A56DB"/>
          </w:tcPr>
          <w:p>
            <w:pPr>
              <w:spacing w:before="60" w:after="60"/>
            </w:pPr>
            <w:r>
              <w:rPr>
                <w:b/>
                <w:color w:val="FFFFFF"/>
                <w:sz w:val="20"/>
              </w:rPr>
              <w:t>3.2%</w:t>
            </w:r>
          </w:p>
        </w:tc>
        <w:tc>
          <w:tcPr>
            <w:tcW w:type="dxa" w:w="2266"/>
            <w:shd w:val="clear" w:color="auto" w:fill="1A56DB"/>
          </w:tcPr>
          <w:p>
            <w:pPr>
              <w:spacing w:before="60" w:after="60"/>
            </w:pPr>
            <w:r>
              <w:rPr>
                <w:b/>
                <w:color w:val="FFFFFF"/>
                <w:sz w:val="20"/>
              </w:rPr>
              <w:t>~12.2%</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Active business income above $500,000</w:t>
            </w:r>
          </w:p>
        </w:tc>
        <w:tc>
          <w:tcPr>
            <w:tcW w:type="dxa" w:w="2266"/>
            <w:shd w:val="clear" w:color="auto" w:fill="1A56DB"/>
          </w:tcPr>
          <w:p>
            <w:pPr>
              <w:spacing w:before="60" w:after="60"/>
            </w:pPr>
            <w:r>
              <w:rPr>
                <w:b/>
                <w:color w:val="FFFFFF"/>
                <w:sz w:val="20"/>
              </w:rPr>
              <w:t>15%</w:t>
            </w:r>
          </w:p>
        </w:tc>
        <w:tc>
          <w:tcPr>
            <w:tcW w:type="dxa" w:w="2266"/>
            <w:shd w:val="clear" w:color="auto" w:fill="1A56DB"/>
          </w:tcPr>
          <w:p>
            <w:pPr>
              <w:spacing w:before="60" w:after="60"/>
            </w:pPr>
            <w:r>
              <w:rPr>
                <w:b/>
                <w:color w:val="FFFFFF"/>
                <w:sz w:val="20"/>
              </w:rPr>
              <w:t>11.5%</w:t>
            </w:r>
          </w:p>
        </w:tc>
        <w:tc>
          <w:tcPr>
            <w:tcW w:type="dxa" w:w="2266"/>
            <w:shd w:val="clear" w:color="auto" w:fill="1A56DB"/>
          </w:tcPr>
          <w:p>
            <w:pPr>
              <w:spacing w:before="60" w:after="60"/>
            </w:pPr>
            <w:r>
              <w:rPr>
                <w:b/>
                <w:color w:val="FFFFFF"/>
                <w:sz w:val="20"/>
              </w:rPr>
              <w:t>~26.5%</w:t>
            </w:r>
          </w:p>
        </w:tc>
      </w:tr>
    </w:tbl>
    <w:p/>
    <w:p>
      <w:pPr>
        <w:spacing w:before="40" w:after="80"/>
      </w:pPr>
      <w:r>
        <w:rPr>
          <w:b/>
          <w:i w:val="0"/>
          <w:color w:val="111827"/>
          <w:sz w:val="22"/>
        </w:rPr>
        <w:t>At Easy Drive's Year 1 projected revenue ($22,000–$60,000), the entire amount falls within the SBD — combined tax rate of approximately 12.2% on net income.</w:t>
      </w:r>
    </w:p>
    <w:p>
      <w:pPr>
        <w:spacing w:before="40" w:after="80"/>
      </w:pPr>
      <w:r>
        <w:rPr>
          <w:b/>
          <w:i w:val="0"/>
          <w:color w:val="111827"/>
          <w:sz w:val="22"/>
        </w:rPr>
        <w:t>This is a significant tax advantage. Keep the corporation alive and healthy. Resist the urge to extract cash as salary unnecessarily — salary creates payroll tax obligations (CPP, EI) and is taxed as personal income at marginal rates (up to 53.53% in Ontario for high earners). The optimal extraction strategy at this stage is: leave profits in the corporation until you have a year's data, then have your CPA advise on salary vs. dividend mix.</w:t>
      </w:r>
    </w:p>
    <w:p>
      <w:pPr>
        <w:spacing w:before="40" w:after="80"/>
      </w:pPr>
      <w:r>
        <w:rPr>
          <w:b/>
          <w:i w:val="0"/>
          <w:color w:val="111827"/>
          <w:sz w:val="22"/>
        </w:rPr>
        <w:t>[CPA REQUIRED] Salary vs. dividend mix optimization is one of the highest-value engagements for a sole-founder CCPC. Book a session with your CPA at the 6-month mark or when net income exceeds $2,000/month.</w:t>
      </w:r>
    </w:p>
    <w:p>
      <w:pPr>
        <w:pStyle w:val="Heading3"/>
        <w:spacing w:before="160" w:after="40"/>
      </w:pPr>
      <w:r>
        <w:rPr>
          <w:b/>
          <w:color w:val="1A56DB"/>
          <w:sz w:val="26"/>
        </w:rPr>
        <w:t>6B. Deductible Business Expenses</w:t>
      </w:r>
    </w:p>
    <w:p>
      <w:pPr>
        <w:spacing w:before="40" w:after="80"/>
      </w:pPr>
      <w:r>
        <w:rPr>
          <w:b w:val="0"/>
          <w:i w:val="0"/>
          <w:color w:val="111827"/>
          <w:sz w:val="22"/>
        </w:rPr>
        <w:t>All expenses in Section 5's expense chart of accounts are deductible against platform income, subject to the "reasonable and incurred for the purpose of earning income" test under the Income Tax Act.</w:t>
      </w:r>
    </w:p>
    <w:p>
      <w:pPr>
        <w:spacing w:before="40" w:after="80"/>
      </w:pPr>
      <w:r>
        <w:rPr>
          <w:b/>
          <w:i w:val="0"/>
          <w:color w:val="111827"/>
          <w:sz w:val="22"/>
        </w:rPr>
        <w:t>Specific items to note:</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Expense</w:t>
            </w:r>
          </w:p>
        </w:tc>
        <w:tc>
          <w:tcPr>
            <w:tcW w:type="dxa" w:w="4533"/>
            <w:shd w:val="clear" w:color="auto" w:fill="1A56DB"/>
          </w:tcPr>
          <w:p>
            <w:pPr>
              <w:spacing w:before="60" w:after="60"/>
            </w:pPr>
            <w:r>
              <w:rPr>
                <w:b/>
                <w:color w:val="FFFFFF"/>
                <w:sz w:val="20"/>
              </w:rPr>
              <w:t>Deductibility Note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Legal fees (ToS, agreements)</w:t>
            </w:r>
          </w:p>
        </w:tc>
        <w:tc>
          <w:tcPr>
            <w:tcW w:type="dxa" w:w="4533"/>
            <w:shd w:val="clear" w:color="auto" w:fill="1A56DB"/>
          </w:tcPr>
          <w:p>
            <w:pPr>
              <w:spacing w:before="60" w:after="60"/>
            </w:pPr>
            <w:r>
              <w:rPr>
                <w:b/>
                <w:color w:val="FFFFFF"/>
                <w:sz w:val="20"/>
              </w:rPr>
              <w:t>100% deductible — directly tied to platform operation</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Stripe fees</w:t>
            </w:r>
          </w:p>
        </w:tc>
        <w:tc>
          <w:tcPr>
            <w:tcW w:type="dxa" w:w="4533"/>
            <w:shd w:val="clear" w:color="auto" w:fill="1A56DB"/>
          </w:tcPr>
          <w:p>
            <w:pPr>
              <w:spacing w:before="60" w:after="60"/>
            </w:pPr>
            <w:r>
              <w:rPr>
                <w:b/>
                <w:color w:val="FFFFFF"/>
                <w:sz w:val="20"/>
              </w:rPr>
              <w:t>100% deductible — cost of revenue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SaaS subscriptions</w:t>
            </w:r>
          </w:p>
        </w:tc>
        <w:tc>
          <w:tcPr>
            <w:tcW w:type="dxa" w:w="4533"/>
            <w:shd w:val="clear" w:color="auto" w:fill="1A56DB"/>
          </w:tcPr>
          <w:p>
            <w:pPr>
              <w:spacing w:before="60" w:after="60"/>
            </w:pPr>
            <w:r>
              <w:rPr>
                <w:b/>
                <w:color w:val="FFFFFF"/>
                <w:sz w:val="20"/>
              </w:rPr>
              <w:t>100% deductible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Marketing and advertising</w:t>
            </w:r>
          </w:p>
        </w:tc>
        <w:tc>
          <w:tcPr>
            <w:tcW w:type="dxa" w:w="4533"/>
            <w:shd w:val="clear" w:color="auto" w:fill="1A56DB"/>
          </w:tcPr>
          <w:p>
            <w:pPr>
              <w:spacing w:before="60" w:after="60"/>
            </w:pPr>
            <w:r>
              <w:rPr>
                <w:b/>
                <w:color w:val="FFFFFF"/>
                <w:sz w:val="20"/>
              </w:rPr>
              <w:t>100% deductible — keep all receipts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Host Bouncie subsidies</w:t>
            </w:r>
          </w:p>
        </w:tc>
        <w:tc>
          <w:tcPr>
            <w:tcW w:type="dxa" w:w="4533"/>
            <w:shd w:val="clear" w:color="auto" w:fill="1A56DB"/>
          </w:tcPr>
          <w:p>
            <w:pPr>
              <w:spacing w:before="60" w:after="60"/>
            </w:pPr>
            <w:r>
              <w:rPr>
                <w:b/>
                <w:color w:val="FFFFFF"/>
                <w:sz w:val="20"/>
              </w:rPr>
              <w:t>Deductible as customer acquisition cost — treat as marketing expense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Host referral bonuses ($100 credit)</w:t>
            </w:r>
          </w:p>
        </w:tc>
        <w:tc>
          <w:tcPr>
            <w:tcW w:type="dxa" w:w="4533"/>
            <w:shd w:val="clear" w:color="auto" w:fill="1A56DB"/>
          </w:tcPr>
          <w:p>
            <w:pPr>
              <w:spacing w:before="60" w:after="60"/>
            </w:pPr>
            <w:r>
              <w:rPr>
                <w:b/>
                <w:color w:val="FFFFFF"/>
                <w:sz w:val="20"/>
              </w:rPr>
              <w:t>Deductible — document clearly in your records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Renter referral credits ($25 off)</w:t>
            </w:r>
          </w:p>
        </w:tc>
        <w:tc>
          <w:tcPr>
            <w:tcW w:type="dxa" w:w="4533"/>
            <w:shd w:val="clear" w:color="auto" w:fill="1A56DB"/>
          </w:tcPr>
          <w:p>
            <w:pPr>
              <w:spacing w:before="60" w:after="60"/>
            </w:pPr>
            <w:r>
              <w:rPr>
                <w:b/>
                <w:color w:val="FFFFFF"/>
                <w:sz w:val="20"/>
              </w:rPr>
              <w:t>Deductible — discount on platform fee income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Home office portion</w:t>
            </w:r>
          </w:p>
        </w:tc>
        <w:tc>
          <w:tcPr>
            <w:tcW w:type="dxa" w:w="4533"/>
            <w:shd w:val="clear" w:color="auto" w:fill="1A56DB"/>
          </w:tcPr>
          <w:p>
            <w:pPr>
              <w:spacing w:before="60" w:after="60"/>
            </w:pPr>
            <w:r>
              <w:rPr>
                <w:b/>
                <w:color w:val="FFFFFF"/>
                <w:sz w:val="20"/>
              </w:rPr>
              <w:t>Deductible if you work from home — pro-rated % of home expenses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Phone (business use portion)</w:t>
            </w:r>
          </w:p>
        </w:tc>
        <w:tc>
          <w:tcPr>
            <w:tcW w:type="dxa" w:w="4533"/>
            <w:shd w:val="clear" w:color="auto" w:fill="1A56DB"/>
          </w:tcPr>
          <w:p>
            <w:pPr>
              <w:spacing w:before="60" w:after="60"/>
            </w:pPr>
            <w:r>
              <w:rPr>
                <w:b/>
                <w:color w:val="FFFFFF"/>
                <w:sz w:val="20"/>
              </w:rPr>
              <w:t>Deductible — estimate % used for Easy Drive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Meals/entertainment</w:t>
            </w:r>
          </w:p>
        </w:tc>
        <w:tc>
          <w:tcPr>
            <w:tcW w:type="dxa" w:w="4533"/>
            <w:shd w:val="clear" w:color="auto" w:fill="1A56DB"/>
          </w:tcPr>
          <w:p>
            <w:pPr>
              <w:spacing w:before="60" w:after="60"/>
            </w:pPr>
            <w:r>
              <w:rPr>
                <w:b/>
                <w:color w:val="FFFFFF"/>
                <w:sz w:val="20"/>
              </w:rPr>
              <w:t>50% deductible — only if directly business-related</w:t>
            </w:r>
          </w:p>
        </w:tc>
      </w:tr>
    </w:tbl>
    <w:p/>
    <w:p>
      <w:pPr>
        <w:spacing w:before="40" w:after="80"/>
      </w:pPr>
      <w:r>
        <w:rPr>
          <w:b/>
          <w:i w:val="0"/>
          <w:color w:val="111827"/>
          <w:sz w:val="22"/>
        </w:rPr>
        <w:t>Home office deduction: If you operate Easy Drive from home, you can deduct a pro-rated portion of rent/mortgage interest, utilities, and internet based on the square footage used as a dedicated workspace. This is particularly valuable for a solo-founder at launch.</w:t>
      </w:r>
    </w:p>
    <w:p>
      <w:pPr>
        <w:spacing w:before="40" w:after="80"/>
      </w:pPr>
      <w:r>
        <w:rPr>
          <w:b/>
          <w:i w:val="0"/>
          <w:color w:val="111827"/>
          <w:sz w:val="22"/>
        </w:rPr>
        <w:t>[CPA REQUIRED] Home office calculations require specific CRA form T2200 guidance for corporations. Confirm the deduction structure with your CPA.</w:t>
      </w:r>
    </w:p>
    <w:p>
      <w:pPr>
        <w:pStyle w:val="Heading3"/>
        <w:spacing w:before="160" w:after="40"/>
      </w:pPr>
      <w:r>
        <w:rPr>
          <w:b/>
          <w:color w:val="1A56DB"/>
          <w:sz w:val="26"/>
        </w:rPr>
        <w:t>6C. T4A Reporting for Hosts</w:t>
      </w:r>
    </w:p>
    <w:p>
      <w:pPr>
        <w:spacing w:before="40" w:after="80"/>
      </w:pPr>
      <w:r>
        <w:rPr>
          <w:b w:val="0"/>
          <w:i w:val="0"/>
          <w:color w:val="111827"/>
          <w:sz w:val="22"/>
        </w:rPr>
        <w:t>See Section 7 for full detail. At the corporate level: T4A slip amounts are deductible when paid, but only if properly reported. Failing to file T4As when required can result in CRA disallowing the deduction.</w:t>
      </w:r>
    </w:p>
    <w:p>
      <w:pPr>
        <w:pStyle w:val="Heading2"/>
        <w:spacing w:before="280" w:after="80"/>
      </w:pPr>
      <w:r>
        <w:rPr>
          <w:b/>
          <w:color w:val="1A56DB"/>
          <w:sz w:val="32"/>
        </w:rPr>
        <w:t>7. Host Payout Reporting — T4A Obligations</w:t>
      </w:r>
    </w:p>
    <w:p>
      <w:pPr>
        <w:pStyle w:val="Heading3"/>
        <w:spacing w:before="160" w:after="40"/>
      </w:pPr>
      <w:r>
        <w:rPr>
          <w:b/>
          <w:color w:val="1A56DB"/>
          <w:sz w:val="26"/>
        </w:rPr>
        <w:t>Does Easy Drive Need to Issue T4As to Hosts?</w:t>
      </w:r>
    </w:p>
    <w:p>
      <w:pPr>
        <w:spacing w:before="40" w:after="80"/>
      </w:pPr>
      <w:r>
        <w:rPr>
          <w:b/>
          <w:i w:val="0"/>
          <w:color w:val="111827"/>
          <w:sz w:val="22"/>
        </w:rPr>
        <w:t>Short answer: Likely yes, for hosts earning above $500/year.</w:t>
      </w:r>
    </w:p>
    <w:p>
      <w:pPr>
        <w:spacing w:before="40" w:after="80"/>
      </w:pPr>
      <w:r>
        <w:rPr>
          <w:b/>
          <w:i w:val="0"/>
          <w:color w:val="111827"/>
          <w:sz w:val="22"/>
        </w:rPr>
        <w:t>Under CRA requirements, payers who pay fees, commissions, or other amounts to self-employed individuals (independent contractors) must file a T4A slip for any individual who receives $500 or more in a calendar year.</w:t>
      </w:r>
    </w:p>
    <w:p>
      <w:pPr>
        <w:spacing w:before="40" w:after="80"/>
      </w:pPr>
      <w:r>
        <w:rPr>
          <w:b/>
          <w:i w:val="0"/>
          <w:color w:val="111827"/>
          <w:sz w:val="22"/>
        </w:rPr>
        <w:t>Analysis of Easy Drive's situation:</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Factor</w:t>
            </w:r>
          </w:p>
        </w:tc>
        <w:tc>
          <w:tcPr>
            <w:tcW w:type="dxa" w:w="4533"/>
            <w:shd w:val="clear" w:color="auto" w:fill="1A56DB"/>
          </w:tcPr>
          <w:p>
            <w:pPr>
              <w:spacing w:before="60" w:after="60"/>
            </w:pPr>
            <w:r>
              <w:rPr>
                <w:b/>
                <w:color w:val="FFFFFF"/>
                <w:sz w:val="20"/>
              </w:rPr>
              <w:t>Assessment</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Are hosts employees?</w:t>
            </w:r>
          </w:p>
        </w:tc>
        <w:tc>
          <w:tcPr>
            <w:tcW w:type="dxa" w:w="4533"/>
            <w:shd w:val="clear" w:color="auto" w:fill="1A56DB"/>
          </w:tcPr>
          <w:p>
            <w:pPr>
              <w:spacing w:before="60" w:after="60"/>
            </w:pPr>
            <w:r>
              <w:rPr>
                <w:b/>
                <w:color w:val="FFFFFF"/>
                <w:sz w:val="20"/>
              </w:rPr>
              <w:t>No — independent vehicle owners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Are hosts incorporated?</w:t>
            </w:r>
          </w:p>
        </w:tc>
        <w:tc>
          <w:tcPr>
            <w:tcW w:type="dxa" w:w="4533"/>
            <w:shd w:val="clear" w:color="auto" w:fill="1A56DB"/>
          </w:tcPr>
          <w:p>
            <w:pPr>
              <w:spacing w:before="60" w:after="60"/>
            </w:pPr>
            <w:r>
              <w:rPr>
                <w:b/>
                <w:color w:val="FFFFFF"/>
                <w:sz w:val="20"/>
              </w:rPr>
              <w:t>Some may be; corporations are generally exempt from T4A</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Are hosts receiving "fees for services"?</w:t>
            </w:r>
          </w:p>
        </w:tc>
        <w:tc>
          <w:tcPr>
            <w:tcW w:type="dxa" w:w="4533"/>
            <w:shd w:val="clear" w:color="auto" w:fill="1A56DB"/>
          </w:tcPr>
          <w:p>
            <w:pPr>
              <w:spacing w:before="60" w:after="60"/>
            </w:pPr>
            <w:r>
              <w:rPr>
                <w:b/>
                <w:color w:val="FFFFFF"/>
                <w:sz w:val="20"/>
              </w:rPr>
              <w:t>Yes — rental income facilitated by Easy Drive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Do hosts earn $500+ per year on the platform?</w:t>
            </w:r>
          </w:p>
        </w:tc>
        <w:tc>
          <w:tcPr>
            <w:tcW w:type="dxa" w:w="4533"/>
            <w:shd w:val="clear" w:color="auto" w:fill="1A56DB"/>
          </w:tcPr>
          <w:p>
            <w:pPr>
              <w:spacing w:before="60" w:after="60"/>
            </w:pPr>
            <w:r>
              <w:rPr>
                <w:b/>
                <w:color w:val="FFFFFF"/>
                <w:sz w:val="20"/>
              </w:rPr>
              <w:t>Almost certainly yes (minimum $280/week payout)</w:t>
            </w:r>
          </w:p>
        </w:tc>
      </w:tr>
    </w:tbl>
    <w:p/>
    <w:p>
      <w:pPr>
        <w:spacing w:before="40" w:after="80"/>
      </w:pPr>
      <w:r>
        <w:rPr>
          <w:b/>
          <w:i w:val="0"/>
          <w:color w:val="111827"/>
          <w:sz w:val="22"/>
        </w:rPr>
        <w:t>CRA's position: Amounts paid through a platform to independent parties (not corporations) for services rendered trigger T4A obligations for the payer. The CRA has been increasingly aggressive about platform economy reporting since 2022. Airbnb Canada, for example, issues T4As to hosts.</w:t>
      </w:r>
    </w:p>
    <w:p>
      <w:pPr>
        <w:spacing w:before="40" w:after="80"/>
      </w:pPr>
      <w:r>
        <w:rPr>
          <w:b/>
          <w:i w:val="0"/>
          <w:color w:val="111827"/>
          <w:sz w:val="22"/>
        </w:rPr>
        <w:t>[CPA REQUIRED] There is a genuine debate about whether host payouts are "fees for services" (T4A-reportable) or "rent" (which has different T4A rules under Box 48 vs. Box 16). This distinction also matters for hosts' own tax treatment. Get a written memo from your CPA before your first T4A filing season (January of the year following your first full calendar year of operation).</w:t>
      </w:r>
    </w:p>
    <w:p>
      <w:pPr>
        <w:pStyle w:val="Heading3"/>
        <w:spacing w:before="160" w:after="40"/>
      </w:pPr>
      <w:r>
        <w:rPr>
          <w:b/>
          <w:color w:val="1A56DB"/>
          <w:sz w:val="26"/>
        </w:rPr>
        <w:t>What to Collect from Hosts at Onboarding</w:t>
      </w:r>
    </w:p>
    <w:p>
      <w:pPr>
        <w:spacing w:before="40" w:after="80"/>
      </w:pPr>
      <w:r>
        <w:rPr>
          <w:b w:val="0"/>
          <w:i w:val="0"/>
          <w:color w:val="111827"/>
          <w:sz w:val="22"/>
        </w:rPr>
        <w:t>To fulfill T4A obligations, collect the following from every host at onboarding (before first payout):</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Information</w:t>
            </w:r>
          </w:p>
        </w:tc>
        <w:tc>
          <w:tcPr>
            <w:tcW w:type="dxa" w:w="4533"/>
            <w:shd w:val="clear" w:color="auto" w:fill="1A56DB"/>
          </w:tcPr>
          <w:p>
            <w:pPr>
              <w:spacing w:before="60" w:after="60"/>
            </w:pPr>
            <w:r>
              <w:rPr>
                <w:b/>
                <w:color w:val="FFFFFF"/>
                <w:sz w:val="20"/>
              </w:rPr>
              <w:t>Why Needed</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Full legal name</w:t>
            </w:r>
          </w:p>
        </w:tc>
        <w:tc>
          <w:tcPr>
            <w:tcW w:type="dxa" w:w="4533"/>
            <w:shd w:val="clear" w:color="auto" w:fill="1A56DB"/>
          </w:tcPr>
          <w:p>
            <w:pPr>
              <w:spacing w:before="60" w:after="60"/>
            </w:pPr>
            <w:r>
              <w:rPr>
                <w:b/>
                <w:color w:val="FFFFFF"/>
                <w:sz w:val="20"/>
              </w:rPr>
              <w:t>T4A recipient name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SIN (Social Insurance Number)</w:t>
            </w:r>
          </w:p>
        </w:tc>
        <w:tc>
          <w:tcPr>
            <w:tcW w:type="dxa" w:w="4533"/>
            <w:shd w:val="clear" w:color="auto" w:fill="1A56DB"/>
          </w:tcPr>
          <w:p>
            <w:pPr>
              <w:spacing w:before="60" w:after="60"/>
            </w:pPr>
            <w:r>
              <w:rPr>
                <w:b/>
                <w:color w:val="FFFFFF"/>
                <w:sz w:val="20"/>
              </w:rPr>
              <w:t>Required for T4A filing — for individuals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Business Number (BN)</w:t>
            </w:r>
          </w:p>
        </w:tc>
        <w:tc>
          <w:tcPr>
            <w:tcW w:type="dxa" w:w="4533"/>
            <w:shd w:val="clear" w:color="auto" w:fill="1A56DB"/>
          </w:tcPr>
          <w:p>
            <w:pPr>
              <w:spacing w:before="60" w:after="60"/>
            </w:pPr>
            <w:r>
              <w:rPr>
                <w:b/>
                <w:color w:val="FFFFFF"/>
                <w:sz w:val="20"/>
              </w:rPr>
              <w:t>If host is incorporated — exempts from T4A</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HST registration number (if applicable)</w:t>
            </w:r>
          </w:p>
        </w:tc>
        <w:tc>
          <w:tcPr>
            <w:tcW w:type="dxa" w:w="4533"/>
            <w:shd w:val="clear" w:color="auto" w:fill="1A56DB"/>
          </w:tcPr>
          <w:p>
            <w:pPr>
              <w:spacing w:before="60" w:after="60"/>
            </w:pPr>
            <w:r>
              <w:rPr>
                <w:b/>
                <w:color w:val="FFFFFF"/>
                <w:sz w:val="20"/>
              </w:rPr>
              <w:t>For your own records on HST handling</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Mailing address</w:t>
            </w:r>
          </w:p>
        </w:tc>
        <w:tc>
          <w:tcPr>
            <w:tcW w:type="dxa" w:w="4533"/>
            <w:shd w:val="clear" w:color="auto" w:fill="1A56DB"/>
          </w:tcPr>
          <w:p>
            <w:pPr>
              <w:spacing w:before="60" w:after="60"/>
            </w:pPr>
            <w:r>
              <w:rPr>
                <w:b/>
                <w:color w:val="FFFFFF"/>
                <w:sz w:val="20"/>
              </w:rPr>
              <w:t>T4A delivery</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Date of birth (optional but helpful)</w:t>
            </w:r>
          </w:p>
        </w:tc>
        <w:tc>
          <w:tcPr>
            <w:tcW w:type="dxa" w:w="4533"/>
            <w:shd w:val="clear" w:color="auto" w:fill="1A56DB"/>
          </w:tcPr>
          <w:p>
            <w:pPr>
              <w:spacing w:before="60" w:after="60"/>
            </w:pPr>
            <w:r>
              <w:rPr>
                <w:b/>
                <w:color w:val="FFFFFF"/>
                <w:sz w:val="20"/>
              </w:rPr>
              <w:t>CRA identity matching</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Banking information</w:t>
            </w:r>
          </w:p>
        </w:tc>
        <w:tc>
          <w:tcPr>
            <w:tcW w:type="dxa" w:w="4533"/>
            <w:shd w:val="clear" w:color="auto" w:fill="1A56DB"/>
          </w:tcPr>
          <w:p>
            <w:pPr>
              <w:spacing w:before="60" w:after="60"/>
            </w:pPr>
            <w:r>
              <w:rPr>
                <w:b/>
                <w:color w:val="FFFFFF"/>
                <w:sz w:val="20"/>
              </w:rPr>
              <w:t>Stripe Connect onboarding</w:t>
            </w:r>
          </w:p>
        </w:tc>
      </w:tr>
    </w:tbl>
    <w:p/>
    <w:p>
      <w:pPr>
        <w:spacing w:before="40" w:after="80"/>
      </w:pPr>
      <w:r>
        <w:rPr>
          <w:b/>
          <w:i w:val="0"/>
          <w:color w:val="111827"/>
          <w:sz w:val="22"/>
        </w:rPr>
        <w:t>Important: Do not skip collecting SINs. If a host refuses to provide a SIN and is an individual (not incorporated), CRA requires you to withhold tax (currently at a flat rate) from their payments. This is an enforcement mechanism to prevent underground economy income. Include SIN collection as a mandatory field in your host application — explain clearly it is required for CRA T4A reporting. You can reference this in your Host Agreement.</w:t>
      </w:r>
    </w:p>
    <w:p>
      <w:pPr>
        <w:pStyle w:val="Heading3"/>
        <w:spacing w:before="160" w:after="40"/>
      </w:pPr>
      <w:r>
        <w:rPr>
          <w:b/>
          <w:color w:val="1A56DB"/>
          <w:sz w:val="26"/>
        </w:rPr>
        <w:t>T4A Filing Deadlines</w:t>
      </w:r>
    </w:p>
    <w:p>
      <w:pPr>
        <w:pStyle w:val="ListBullet"/>
        <w:spacing w:before="20" w:after="20"/>
        <w:ind w:left="283"/>
      </w:pPr>
      <w:r>
        <w:rPr>
          <w:b/>
          <w:i w:val="0"/>
          <w:color w:val="111827"/>
          <w:sz w:val="22"/>
        </w:rPr>
        <w:t>T4A slips must be delivered to hosts by February 28 of the following year</w:t>
      </w:r>
    </w:p>
    <w:p>
      <w:pPr>
        <w:pStyle w:val="ListBullet"/>
        <w:spacing w:before="20" w:after="20"/>
        <w:ind w:left="283"/>
      </w:pPr>
      <w:r>
        <w:rPr>
          <w:b/>
          <w:i w:val="0"/>
          <w:color w:val="111827"/>
          <w:sz w:val="22"/>
        </w:rPr>
        <w:t>T4A Summary must be filed with CRA by February 28 of the following year</w:t>
      </w:r>
    </w:p>
    <w:p>
      <w:pPr>
        <w:pStyle w:val="ListBullet"/>
        <w:spacing w:before="20" w:after="20"/>
        <w:ind w:left="283"/>
      </w:pPr>
      <w:r>
        <w:rPr>
          <w:b w:val="0"/>
          <w:i w:val="0"/>
          <w:color w:val="111827"/>
          <w:sz w:val="22"/>
        </w:rPr>
        <w:t>First applicable filing: if you launch in 2026, first T4As are due February 28, 2027</w:t>
      </w:r>
    </w:p>
    <w:p>
      <w:pPr>
        <w:pStyle w:val="Heading3"/>
        <w:spacing w:before="160" w:after="40"/>
      </w:pPr>
      <w:r>
        <w:rPr>
          <w:b/>
          <w:color w:val="1A56DB"/>
          <w:sz w:val="26"/>
        </w:rPr>
        <w:t>Practical Recommendation</w:t>
      </w:r>
    </w:p>
    <w:p>
      <w:pPr>
        <w:spacing w:before="40" w:after="80"/>
      </w:pPr>
      <w:r>
        <w:rPr>
          <w:b w:val="0"/>
          <w:i w:val="0"/>
          <w:color w:val="111827"/>
          <w:sz w:val="22"/>
        </w:rPr>
        <w:t>In your host onboarding flow (Supabase/platform), add a dedicated section that collects:</w:t>
      </w:r>
    </w:p>
    <w:p>
      <w:pPr>
        <w:pStyle w:val="ListBullet"/>
        <w:spacing w:before="20" w:after="20"/>
        <w:ind w:left="283"/>
      </w:pPr>
      <w:r>
        <w:rPr>
          <w:b w:val="0"/>
          <w:i w:val="0"/>
          <w:color w:val="111827"/>
          <w:sz w:val="22"/>
        </w:rPr>
        <w:t>Stripe Connect account setup (banking)</w:t>
      </w:r>
    </w:p>
    <w:p>
      <w:pPr>
        <w:pStyle w:val="ListBullet"/>
        <w:spacing w:before="20" w:after="20"/>
        <w:ind w:left="283"/>
      </w:pPr>
      <w:r>
        <w:rPr>
          <w:b w:val="0"/>
          <w:i w:val="0"/>
          <w:color w:val="111827"/>
          <w:sz w:val="22"/>
        </w:rPr>
        <w:t>T4A information (legal name, SIN or BN, address)</w:t>
      </w:r>
    </w:p>
    <w:p>
      <w:pPr>
        <w:spacing w:before="40" w:after="80"/>
      </w:pPr>
      <w:r>
        <w:rPr>
          <w:b w:val="0"/>
          <w:i w:val="0"/>
          <w:color w:val="111827"/>
          <w:sz w:val="22"/>
        </w:rPr>
        <w:t>Mark the T4A fields as required before a host can receive their first payout. This is standard practice for all sharing economy platforms operating in Canada.</w:t>
      </w:r>
    </w:p>
    <w:p>
      <w:pPr>
        <w:pStyle w:val="Heading2"/>
        <w:spacing w:before="280" w:after="80"/>
      </w:pPr>
      <w:r>
        <w:rPr>
          <w:b/>
          <w:color w:val="1A56DB"/>
          <w:sz w:val="32"/>
        </w:rPr>
        <w:t>8. Financial Model Validation</w:t>
      </w:r>
    </w:p>
    <w:p>
      <w:pPr>
        <w:pStyle w:val="Heading3"/>
        <w:spacing w:before="160" w:after="40"/>
      </w:pPr>
      <w:r>
        <w:rPr>
          <w:b/>
          <w:color w:val="1A56DB"/>
          <w:sz w:val="26"/>
        </w:rPr>
        <w:t>Review of Business Plan Section 9 Projections</w:t>
      </w:r>
    </w:p>
    <w:p>
      <w:pPr>
        <w:pStyle w:val="Heading4"/>
        <w:spacing w:before="160" w:after="40"/>
      </w:pPr>
      <w:r>
        <w:rPr>
          <w:b/>
          <w:color w:val="1A56DB"/>
          <w:sz w:val="24"/>
        </w:rPr>
        <w:t>Monthly Revenue Model — Validation</w:t>
      </w:r>
    </w:p>
    <w:p>
      <w:pPr>
        <w:spacing w:before="40" w:after="80"/>
      </w:pPr>
      <w:r>
        <w:rPr>
          <w:b w:val="0"/>
          <w:i w:val="0"/>
          <w:color w:val="111827"/>
          <w:sz w:val="22"/>
        </w:rPr>
        <w:t>The business plan uses this table:</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Active Listings</w:t>
            </w:r>
          </w:p>
        </w:tc>
        <w:tc>
          <w:tcPr>
            <w:tcW w:type="dxa" w:w="1813"/>
            <w:shd w:val="clear" w:color="auto" w:fill="1A56DB"/>
          </w:tcPr>
          <w:p>
            <w:pPr>
              <w:spacing w:before="60" w:after="60"/>
            </w:pPr>
            <w:r>
              <w:rPr>
                <w:b/>
                <w:color w:val="FFFFFF"/>
                <w:sz w:val="20"/>
              </w:rPr>
              <w:t>Avg. Weekly Rate</w:t>
            </w:r>
          </w:p>
        </w:tc>
        <w:tc>
          <w:tcPr>
            <w:tcW w:type="dxa" w:w="1813"/>
            <w:shd w:val="clear" w:color="auto" w:fill="1A56DB"/>
          </w:tcPr>
          <w:p>
            <w:pPr>
              <w:spacing w:before="60" w:after="60"/>
            </w:pPr>
            <w:r>
              <w:rPr>
                <w:b/>
                <w:color w:val="FFFFFF"/>
                <w:sz w:val="20"/>
              </w:rPr>
              <w:t>Avg. Utilization</w:t>
            </w:r>
          </w:p>
        </w:tc>
        <w:tc>
          <w:tcPr>
            <w:tcW w:type="dxa" w:w="1813"/>
            <w:shd w:val="clear" w:color="auto" w:fill="1A56DB"/>
          </w:tcPr>
          <w:p>
            <w:pPr>
              <w:spacing w:before="60" w:after="60"/>
            </w:pPr>
            <w:r>
              <w:rPr>
                <w:b/>
                <w:color w:val="FFFFFF"/>
                <w:sz w:val="20"/>
              </w:rPr>
              <w:t>Monthly Gross Volume</w:t>
            </w:r>
          </w:p>
        </w:tc>
        <w:tc>
          <w:tcPr>
            <w:tcW w:type="dxa" w:w="1813"/>
            <w:shd w:val="clear" w:color="auto" w:fill="1A56DB"/>
          </w:tcPr>
          <w:p>
            <w:pPr>
              <w:spacing w:before="60" w:after="60"/>
            </w:pPr>
            <w:r>
              <w:rPr>
                <w:b/>
                <w:color w:val="FFFFFF"/>
                <w:sz w:val="20"/>
              </w:rPr>
              <w:t>Platform Revenue (20%)</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5 cars</w:t>
            </w:r>
          </w:p>
        </w:tc>
        <w:tc>
          <w:tcPr>
            <w:tcW w:type="dxa" w:w="1813"/>
            <w:shd w:val="clear" w:color="auto" w:fill="1A56DB"/>
          </w:tcPr>
          <w:p>
            <w:pPr>
              <w:spacing w:before="60" w:after="60"/>
            </w:pPr>
            <w:r>
              <w:rPr>
                <w:b/>
                <w:color w:val="FFFFFF"/>
                <w:sz w:val="20"/>
              </w:rPr>
              <w:t>$300/week</w:t>
            </w:r>
          </w:p>
        </w:tc>
        <w:tc>
          <w:tcPr>
            <w:tcW w:type="dxa" w:w="1813"/>
            <w:shd w:val="clear" w:color="auto" w:fill="1A56DB"/>
          </w:tcPr>
          <w:p>
            <w:pPr>
              <w:spacing w:before="60" w:after="60"/>
            </w:pPr>
            <w:r>
              <w:rPr>
                <w:b/>
                <w:color w:val="FFFFFF"/>
                <w:sz w:val="20"/>
              </w:rPr>
              <w:t>85%</w:t>
            </w:r>
          </w:p>
        </w:tc>
        <w:tc>
          <w:tcPr>
            <w:tcW w:type="dxa" w:w="1813"/>
            <w:shd w:val="clear" w:color="auto" w:fill="1A56DB"/>
          </w:tcPr>
          <w:p>
            <w:pPr>
              <w:spacing w:before="60" w:after="60"/>
            </w:pPr>
            <w:r>
              <w:rPr>
                <w:b/>
                <w:color w:val="FFFFFF"/>
                <w:sz w:val="20"/>
              </w:rPr>
              <w:t>$5,525</w:t>
            </w:r>
          </w:p>
        </w:tc>
        <w:tc>
          <w:tcPr>
            <w:tcW w:type="dxa" w:w="1813"/>
            <w:shd w:val="clear" w:color="auto" w:fill="1A56DB"/>
          </w:tcPr>
          <w:p>
            <w:pPr>
              <w:spacing w:before="60" w:after="60"/>
            </w:pPr>
            <w:r>
              <w:rPr>
                <w:b/>
                <w:color w:val="FFFFFF"/>
                <w:sz w:val="20"/>
              </w:rPr>
              <w:t>$1,105</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10 cars</w:t>
            </w:r>
          </w:p>
        </w:tc>
        <w:tc>
          <w:tcPr>
            <w:tcW w:type="dxa" w:w="1813"/>
            <w:shd w:val="clear" w:color="auto" w:fill="1A56DB"/>
          </w:tcPr>
          <w:p>
            <w:pPr>
              <w:spacing w:before="60" w:after="60"/>
            </w:pPr>
            <w:r>
              <w:rPr>
                <w:b/>
                <w:color w:val="FFFFFF"/>
                <w:sz w:val="20"/>
              </w:rPr>
              <w:t>$320/week</w:t>
            </w:r>
          </w:p>
        </w:tc>
        <w:tc>
          <w:tcPr>
            <w:tcW w:type="dxa" w:w="1813"/>
            <w:shd w:val="clear" w:color="auto" w:fill="1A56DB"/>
          </w:tcPr>
          <w:p>
            <w:pPr>
              <w:spacing w:before="60" w:after="60"/>
            </w:pPr>
            <w:r>
              <w:rPr>
                <w:b/>
                <w:color w:val="FFFFFF"/>
                <w:sz w:val="20"/>
              </w:rPr>
              <w:t>85%</w:t>
            </w:r>
          </w:p>
        </w:tc>
        <w:tc>
          <w:tcPr>
            <w:tcW w:type="dxa" w:w="1813"/>
            <w:shd w:val="clear" w:color="auto" w:fill="1A56DB"/>
          </w:tcPr>
          <w:p>
            <w:pPr>
              <w:spacing w:before="60" w:after="60"/>
            </w:pPr>
            <w:r>
              <w:rPr>
                <w:b/>
                <w:color w:val="FFFFFF"/>
                <w:sz w:val="20"/>
              </w:rPr>
              <w:t>$11,733</w:t>
            </w:r>
          </w:p>
        </w:tc>
        <w:tc>
          <w:tcPr>
            <w:tcW w:type="dxa" w:w="1813"/>
            <w:shd w:val="clear" w:color="auto" w:fill="1A56DB"/>
          </w:tcPr>
          <w:p>
            <w:pPr>
              <w:spacing w:before="60" w:after="60"/>
            </w:pPr>
            <w:r>
              <w:rPr>
                <w:b/>
                <w:color w:val="FFFFFF"/>
                <w:sz w:val="20"/>
              </w:rPr>
              <w:t>$2,347</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20 cars</w:t>
            </w:r>
          </w:p>
        </w:tc>
        <w:tc>
          <w:tcPr>
            <w:tcW w:type="dxa" w:w="1813"/>
            <w:shd w:val="clear" w:color="auto" w:fill="1A56DB"/>
          </w:tcPr>
          <w:p>
            <w:pPr>
              <w:spacing w:before="60" w:after="60"/>
            </w:pPr>
            <w:r>
              <w:rPr>
                <w:b/>
                <w:color w:val="FFFFFF"/>
                <w:sz w:val="20"/>
              </w:rPr>
              <w:t>$330/week</w:t>
            </w:r>
          </w:p>
        </w:tc>
        <w:tc>
          <w:tcPr>
            <w:tcW w:type="dxa" w:w="1813"/>
            <w:shd w:val="clear" w:color="auto" w:fill="1A56DB"/>
          </w:tcPr>
          <w:p>
            <w:pPr>
              <w:spacing w:before="60" w:after="60"/>
            </w:pPr>
            <w:r>
              <w:rPr>
                <w:b/>
                <w:color w:val="FFFFFF"/>
                <w:sz w:val="20"/>
              </w:rPr>
              <w:t>90%</w:t>
            </w:r>
          </w:p>
        </w:tc>
        <w:tc>
          <w:tcPr>
            <w:tcW w:type="dxa" w:w="1813"/>
            <w:shd w:val="clear" w:color="auto" w:fill="1A56DB"/>
          </w:tcPr>
          <w:p>
            <w:pPr>
              <w:spacing w:before="60" w:after="60"/>
            </w:pPr>
            <w:r>
              <w:rPr>
                <w:b/>
                <w:color w:val="FFFFFF"/>
                <w:sz w:val="20"/>
              </w:rPr>
              <w:t>$25,740</w:t>
            </w:r>
          </w:p>
        </w:tc>
        <w:tc>
          <w:tcPr>
            <w:tcW w:type="dxa" w:w="1813"/>
            <w:shd w:val="clear" w:color="auto" w:fill="1A56DB"/>
          </w:tcPr>
          <w:p>
            <w:pPr>
              <w:spacing w:before="60" w:after="60"/>
            </w:pPr>
            <w:r>
              <w:rPr>
                <w:b/>
                <w:color w:val="FFFFFF"/>
                <w:sz w:val="20"/>
              </w:rPr>
              <w:t>$5,148</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50 cars</w:t>
            </w:r>
          </w:p>
        </w:tc>
        <w:tc>
          <w:tcPr>
            <w:tcW w:type="dxa" w:w="1813"/>
            <w:shd w:val="clear" w:color="auto" w:fill="1A56DB"/>
          </w:tcPr>
          <w:p>
            <w:pPr>
              <w:spacing w:before="60" w:after="60"/>
            </w:pPr>
            <w:r>
              <w:rPr>
                <w:b/>
                <w:color w:val="FFFFFF"/>
                <w:sz w:val="20"/>
              </w:rPr>
              <w:t>$340/week</w:t>
            </w:r>
          </w:p>
        </w:tc>
        <w:tc>
          <w:tcPr>
            <w:tcW w:type="dxa" w:w="1813"/>
            <w:shd w:val="clear" w:color="auto" w:fill="1A56DB"/>
          </w:tcPr>
          <w:p>
            <w:pPr>
              <w:spacing w:before="60" w:after="60"/>
            </w:pPr>
            <w:r>
              <w:rPr>
                <w:b/>
                <w:color w:val="FFFFFF"/>
                <w:sz w:val="20"/>
              </w:rPr>
              <w:t>92%</w:t>
            </w:r>
          </w:p>
        </w:tc>
        <w:tc>
          <w:tcPr>
            <w:tcW w:type="dxa" w:w="1813"/>
            <w:shd w:val="clear" w:color="auto" w:fill="1A56DB"/>
          </w:tcPr>
          <w:p>
            <w:pPr>
              <w:spacing w:before="60" w:after="60"/>
            </w:pPr>
            <w:r>
              <w:rPr>
                <w:b/>
                <w:color w:val="FFFFFF"/>
                <w:sz w:val="20"/>
              </w:rPr>
              <w:t>$64,537</w:t>
            </w:r>
          </w:p>
        </w:tc>
        <w:tc>
          <w:tcPr>
            <w:tcW w:type="dxa" w:w="1813"/>
            <w:shd w:val="clear" w:color="auto" w:fill="1A56DB"/>
          </w:tcPr>
          <w:p>
            <w:pPr>
              <w:spacing w:before="60" w:after="60"/>
            </w:pPr>
            <w:r>
              <w:rPr>
                <w:b/>
                <w:color w:val="FFFFFF"/>
                <w:sz w:val="20"/>
              </w:rPr>
              <w:t>$12,907</w:t>
            </w:r>
          </w:p>
        </w:tc>
      </w:tr>
    </w:tbl>
    <w:p/>
    <w:p>
      <w:pPr>
        <w:spacing w:before="40" w:after="80"/>
      </w:pPr>
      <w:r>
        <w:rPr>
          <w:b/>
          <w:i w:val="0"/>
          <w:color w:val="111827"/>
          <w:sz w:val="22"/>
        </w:rPr>
        <w:t>Math check — 5 cars:</w:t>
      </w:r>
    </w:p>
    <w:p>
      <w:pPr>
        <w:spacing w:before="40" w:after="80"/>
      </w:pPr>
      <w:r>
        <w:rPr>
          <w:b/>
          <w:i w:val="0"/>
          <w:color w:val="111827"/>
          <w:sz w:val="22"/>
        </w:rPr>
        <w:t>5 × $300 × 4.33 weeks/month × 85% = $5,525. Correct.</w:t>
      </w:r>
    </w:p>
    <w:p>
      <w:pPr>
        <w:spacing w:before="40" w:after="80"/>
      </w:pPr>
      <w:r>
        <w:rPr>
          <w:b/>
          <w:i w:val="0"/>
          <w:color w:val="111827"/>
          <w:sz w:val="22"/>
        </w:rPr>
        <w:t>Math check — 10 cars:</w:t>
      </w:r>
    </w:p>
    <w:p>
      <w:pPr>
        <w:spacing w:before="40" w:after="80"/>
      </w:pPr>
      <w:r>
        <w:rPr>
          <w:b/>
          <w:i w:val="0"/>
          <w:color w:val="111827"/>
          <w:sz w:val="22"/>
        </w:rPr>
        <w:t>10 × $320 × 4.33 × 85% = $11,774. Business plan shows $11,733 — minor rounding difference, acceptable.</w:t>
      </w:r>
    </w:p>
    <w:p>
      <w:pPr>
        <w:spacing w:before="40" w:after="80"/>
      </w:pPr>
      <w:r>
        <w:rPr>
          <w:b/>
          <w:i w:val="0"/>
          <w:color w:val="111827"/>
          <w:sz w:val="22"/>
        </w:rPr>
        <w:t>Math check — 20 cars:</w:t>
      </w:r>
    </w:p>
    <w:p>
      <w:pPr>
        <w:spacing w:before="40" w:after="80"/>
      </w:pPr>
      <w:r>
        <w:rPr>
          <w:b/>
          <w:i w:val="0"/>
          <w:color w:val="111827"/>
          <w:sz w:val="22"/>
        </w:rPr>
        <w:t>20 × $330 × 4.33 × 90% = $25,721. Business plan shows $25,740 — minor rounding, acceptable.</w:t>
      </w:r>
    </w:p>
    <w:p>
      <w:pPr>
        <w:spacing w:before="40" w:after="80"/>
      </w:pPr>
      <w:r>
        <w:rPr>
          <w:b/>
          <w:i w:val="0"/>
          <w:color w:val="111827"/>
          <w:sz w:val="22"/>
        </w:rPr>
        <w:t>Math check — 50 cars:</w:t>
      </w:r>
    </w:p>
    <w:p>
      <w:pPr>
        <w:spacing w:before="40" w:after="80"/>
      </w:pPr>
      <w:r>
        <w:rPr>
          <w:b/>
          <w:i w:val="0"/>
          <w:color w:val="111827"/>
          <w:sz w:val="22"/>
        </w:rPr>
        <w:t>50 × $340 × 4.33 × 92% = $67,817. Business plan shows $64,537 — this is a material discrepancy of $3,280/month (approximately 5%). The business plan appears to use 4.1 weeks/month rather than 4.33. Recommend using 4.33 (52 weeks ÷ 12 months) for consistency.</w:t>
      </w:r>
    </w:p>
    <w:p>
      <w:pPr>
        <w:pStyle w:val="Heading4"/>
        <w:spacing w:before="160" w:after="40"/>
      </w:pPr>
      <w:r>
        <w:rPr>
          <w:b/>
          <w:color w:val="1A56DB"/>
          <w:sz w:val="24"/>
        </w:rPr>
        <w:t>Monthly Operating Costs — Issues Identified</w:t>
      </w:r>
    </w:p>
    <w:p>
      <w:pPr>
        <w:spacing w:before="40" w:after="80"/>
      </w:pPr>
      <w:r>
        <w:rPr>
          <w:b/>
          <w:i w:val="0"/>
          <w:color w:val="111827"/>
          <w:sz w:val="22"/>
        </w:rPr>
        <w:t>The business plan estimates $304–$634/month in operating costs. This is materially understated. Here is a corrected view:</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Cost Item</w:t>
            </w:r>
          </w:p>
        </w:tc>
        <w:tc>
          <w:tcPr>
            <w:tcW w:type="dxa" w:w="2266"/>
            <w:shd w:val="clear" w:color="auto" w:fill="1A56DB"/>
          </w:tcPr>
          <w:p>
            <w:pPr>
              <w:spacing w:before="60" w:after="60"/>
            </w:pPr>
            <w:r>
              <w:rPr>
                <w:b/>
                <w:color w:val="FFFFFF"/>
                <w:sz w:val="20"/>
              </w:rPr>
              <w:t>Business Plan</w:t>
            </w:r>
          </w:p>
        </w:tc>
        <w:tc>
          <w:tcPr>
            <w:tcW w:type="dxa" w:w="2266"/>
            <w:shd w:val="clear" w:color="auto" w:fill="1A56DB"/>
          </w:tcPr>
          <w:p>
            <w:pPr>
              <w:spacing w:before="60" w:after="60"/>
            </w:pPr>
            <w:r>
              <w:rPr>
                <w:b/>
                <w:color w:val="FFFFFF"/>
                <w:sz w:val="20"/>
              </w:rPr>
              <w:t>Corrected Estimate</w:t>
            </w:r>
          </w:p>
        </w:tc>
        <w:tc>
          <w:tcPr>
            <w:tcW w:type="dxa" w:w="2266"/>
            <w:shd w:val="clear" w:color="auto" w:fill="1A56DB"/>
          </w:tcPr>
          <w:p>
            <w:pPr>
              <w:spacing w:before="60" w:after="60"/>
            </w:pPr>
            <w:r>
              <w:rPr>
                <w:b/>
                <w:color w:val="FFFFFF"/>
                <w:sz w:val="20"/>
              </w:rPr>
              <w:t>Note</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Stripe Connect fees</w:t>
            </w:r>
          </w:p>
        </w:tc>
        <w:tc>
          <w:tcPr>
            <w:tcW w:type="dxa" w:w="2266"/>
            <w:shd w:val="clear" w:color="auto" w:fill="1A56DB"/>
          </w:tcPr>
          <w:p>
            <w:pPr>
              <w:spacing w:before="60" w:after="60"/>
            </w:pPr>
            <w:r>
              <w:rPr>
                <w:b/>
                <w:color w:val="FFFFFF"/>
                <w:sz w:val="20"/>
              </w:rPr>
              <w:t>$80–$200</w:t>
            </w:r>
          </w:p>
        </w:tc>
        <w:tc>
          <w:tcPr>
            <w:tcW w:type="dxa" w:w="2266"/>
            <w:shd w:val="clear" w:color="auto" w:fill="1A56DB"/>
          </w:tcPr>
          <w:p>
            <w:pPr>
              <w:spacing w:before="60" w:after="60"/>
            </w:pPr>
            <w:r>
              <w:rPr>
                <w:b/>
                <w:color w:val="FFFFFF"/>
                <w:sz w:val="20"/>
              </w:rPr>
              <w:t>**$250–$400**</w:t>
            </w:r>
          </w:p>
        </w:tc>
        <w:tc>
          <w:tcPr>
            <w:tcW w:type="dxa" w:w="2266"/>
            <w:shd w:val="clear" w:color="auto" w:fill="1A56DB"/>
          </w:tcPr>
          <w:p>
            <w:pPr>
              <w:spacing w:before="60" w:after="60"/>
            </w:pPr>
            <w:r>
              <w:rPr>
                <w:b/>
                <w:color w:val="FFFFFF"/>
                <w:sz w:val="20"/>
              </w:rPr>
              <w:t>At 10 cars: ~10 bookings + deposits/week; fee applies to gross charge including deposits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Vercel hosting</w:t>
            </w:r>
          </w:p>
        </w:tc>
        <w:tc>
          <w:tcPr>
            <w:tcW w:type="dxa" w:w="2266"/>
            <w:shd w:val="clear" w:color="auto" w:fill="1A56DB"/>
          </w:tcPr>
          <w:p>
            <w:pPr>
              <w:spacing w:before="60" w:after="60"/>
            </w:pPr>
            <w:r>
              <w:rPr>
                <w:b/>
                <w:color w:val="FFFFFF"/>
                <w:sz w:val="20"/>
              </w:rPr>
              <w:t>$0–$20</w:t>
            </w:r>
          </w:p>
        </w:tc>
        <w:tc>
          <w:tcPr>
            <w:tcW w:type="dxa" w:w="2266"/>
            <w:shd w:val="clear" w:color="auto" w:fill="1A56DB"/>
          </w:tcPr>
          <w:p>
            <w:pPr>
              <w:spacing w:before="60" w:after="60"/>
            </w:pPr>
            <w:r>
              <w:rPr>
                <w:b/>
                <w:color w:val="FFFFFF"/>
                <w:sz w:val="20"/>
              </w:rPr>
              <w:t>$0–$20</w:t>
            </w:r>
          </w:p>
        </w:tc>
        <w:tc>
          <w:tcPr>
            <w:tcW w:type="dxa" w:w="2266"/>
            <w:shd w:val="clear" w:color="auto" w:fill="1A56DB"/>
          </w:tcPr>
          <w:p>
            <w:pPr>
              <w:spacing w:before="60" w:after="60"/>
            </w:pPr>
            <w:r>
              <w:rPr>
                <w:b/>
                <w:color w:val="FFFFFF"/>
                <w:sz w:val="20"/>
              </w:rPr>
              <w:t>Correct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Supabase</w:t>
            </w:r>
          </w:p>
        </w:tc>
        <w:tc>
          <w:tcPr>
            <w:tcW w:type="dxa" w:w="2266"/>
            <w:shd w:val="clear" w:color="auto" w:fill="1A56DB"/>
          </w:tcPr>
          <w:p>
            <w:pPr>
              <w:spacing w:before="60" w:after="60"/>
            </w:pPr>
            <w:r>
              <w:rPr>
                <w:b/>
                <w:color w:val="FFFFFF"/>
                <w:sz w:val="20"/>
              </w:rPr>
              <w:t>$0–$25</w:t>
            </w:r>
          </w:p>
        </w:tc>
        <w:tc>
          <w:tcPr>
            <w:tcW w:type="dxa" w:w="2266"/>
            <w:shd w:val="clear" w:color="auto" w:fill="1A56DB"/>
          </w:tcPr>
          <w:p>
            <w:pPr>
              <w:spacing w:before="60" w:after="60"/>
            </w:pPr>
            <w:r>
              <w:rPr>
                <w:b/>
                <w:color w:val="FFFFFF"/>
                <w:sz w:val="20"/>
              </w:rPr>
              <w:t>$0–$25</w:t>
            </w:r>
          </w:p>
        </w:tc>
        <w:tc>
          <w:tcPr>
            <w:tcW w:type="dxa" w:w="2266"/>
            <w:shd w:val="clear" w:color="auto" w:fill="1A56DB"/>
          </w:tcPr>
          <w:p>
            <w:pPr>
              <w:spacing w:before="60" w:after="60"/>
            </w:pPr>
            <w:r>
              <w:rPr>
                <w:b/>
                <w:color w:val="FFFFFF"/>
                <w:sz w:val="20"/>
              </w:rPr>
              <w:t>Correct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Bouncie API</w:t>
            </w:r>
          </w:p>
        </w:tc>
        <w:tc>
          <w:tcPr>
            <w:tcW w:type="dxa" w:w="2266"/>
            <w:shd w:val="clear" w:color="auto" w:fill="1A56DB"/>
          </w:tcPr>
          <w:p>
            <w:pPr>
              <w:spacing w:before="60" w:after="60"/>
            </w:pPr>
            <w:r>
              <w:rPr>
                <w:b/>
                <w:color w:val="FFFFFF"/>
                <w:sz w:val="20"/>
              </w:rPr>
              <w:t>$0</w:t>
            </w:r>
          </w:p>
        </w:tc>
        <w:tc>
          <w:tcPr>
            <w:tcW w:type="dxa" w:w="2266"/>
            <w:shd w:val="clear" w:color="auto" w:fill="1A56DB"/>
          </w:tcPr>
          <w:p>
            <w:pPr>
              <w:spacing w:before="60" w:after="60"/>
            </w:pPr>
            <w:r>
              <w:rPr>
                <w:b/>
                <w:color w:val="FFFFFF"/>
                <w:sz w:val="20"/>
              </w:rPr>
              <w:t>$0</w:t>
            </w:r>
          </w:p>
        </w:tc>
        <w:tc>
          <w:tcPr>
            <w:tcW w:type="dxa" w:w="2266"/>
            <w:shd w:val="clear" w:color="auto" w:fill="1A56DB"/>
          </w:tcPr>
          <w:p>
            <w:pPr>
              <w:spacing w:before="60" w:after="60"/>
            </w:pPr>
            <w:r>
              <w:rPr>
                <w:b/>
                <w:color w:val="FFFFFF"/>
                <w:sz w:val="20"/>
              </w:rPr>
              <w:t>Correct — host-borne</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Twilio SMS</w:t>
            </w:r>
          </w:p>
        </w:tc>
        <w:tc>
          <w:tcPr>
            <w:tcW w:type="dxa" w:w="2266"/>
            <w:shd w:val="clear" w:color="auto" w:fill="1A56DB"/>
          </w:tcPr>
          <w:p>
            <w:pPr>
              <w:spacing w:before="60" w:after="60"/>
            </w:pPr>
            <w:r>
              <w:rPr>
                <w:b/>
                <w:color w:val="FFFFFF"/>
                <w:sz w:val="20"/>
              </w:rPr>
              <w:t>$5–$20</w:t>
            </w:r>
          </w:p>
        </w:tc>
        <w:tc>
          <w:tcPr>
            <w:tcW w:type="dxa" w:w="2266"/>
            <w:shd w:val="clear" w:color="auto" w:fill="1A56DB"/>
          </w:tcPr>
          <w:p>
            <w:pPr>
              <w:spacing w:before="60" w:after="60"/>
            </w:pPr>
            <w:r>
              <w:rPr>
                <w:b/>
                <w:color w:val="FFFFFF"/>
                <w:sz w:val="20"/>
              </w:rPr>
              <w:t>$15–$40</w:t>
            </w:r>
          </w:p>
        </w:tc>
        <w:tc>
          <w:tcPr>
            <w:tcW w:type="dxa" w:w="2266"/>
            <w:shd w:val="clear" w:color="auto" w:fill="1A56DB"/>
          </w:tcPr>
          <w:p>
            <w:pPr>
              <w:spacing w:before="60" w:after="60"/>
            </w:pPr>
            <w:r>
              <w:rPr>
                <w:b/>
                <w:color w:val="FFFFFF"/>
                <w:sz w:val="20"/>
              </w:rPr>
              <w:t>Higher at scale; weekly renewal messages to 10+ renters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Resend email</w:t>
            </w:r>
          </w:p>
        </w:tc>
        <w:tc>
          <w:tcPr>
            <w:tcW w:type="dxa" w:w="2266"/>
            <w:shd w:val="clear" w:color="auto" w:fill="1A56DB"/>
          </w:tcPr>
          <w:p>
            <w:pPr>
              <w:spacing w:before="60" w:after="60"/>
            </w:pPr>
            <w:r>
              <w:rPr>
                <w:b/>
                <w:color w:val="FFFFFF"/>
                <w:sz w:val="20"/>
              </w:rPr>
              <w:t>$0–$20</w:t>
            </w:r>
          </w:p>
        </w:tc>
        <w:tc>
          <w:tcPr>
            <w:tcW w:type="dxa" w:w="2266"/>
            <w:shd w:val="clear" w:color="auto" w:fill="1A56DB"/>
          </w:tcPr>
          <w:p>
            <w:pPr>
              <w:spacing w:before="60" w:after="60"/>
            </w:pPr>
            <w:r>
              <w:rPr>
                <w:b/>
                <w:color w:val="FFFFFF"/>
                <w:sz w:val="20"/>
              </w:rPr>
              <w:t>$0–$20</w:t>
            </w:r>
          </w:p>
        </w:tc>
        <w:tc>
          <w:tcPr>
            <w:tcW w:type="dxa" w:w="2266"/>
            <w:shd w:val="clear" w:color="auto" w:fill="1A56DB"/>
          </w:tcPr>
          <w:p>
            <w:pPr>
              <w:spacing w:before="60" w:after="60"/>
            </w:pPr>
            <w:r>
              <w:rPr>
                <w:b/>
                <w:color w:val="FFFFFF"/>
                <w:sz w:val="20"/>
              </w:rPr>
              <w:t>Correct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PandaDoc</w:t>
            </w:r>
          </w:p>
        </w:tc>
        <w:tc>
          <w:tcPr>
            <w:tcW w:type="dxa" w:w="2266"/>
            <w:shd w:val="clear" w:color="auto" w:fill="1A56DB"/>
          </w:tcPr>
          <w:p>
            <w:pPr>
              <w:spacing w:before="60" w:after="60"/>
            </w:pPr>
            <w:r>
              <w:rPr>
                <w:b/>
                <w:color w:val="FFFFFF"/>
                <w:sz w:val="20"/>
              </w:rPr>
              <w:t>$19–$49</w:t>
            </w:r>
          </w:p>
        </w:tc>
        <w:tc>
          <w:tcPr>
            <w:tcW w:type="dxa" w:w="2266"/>
            <w:shd w:val="clear" w:color="auto" w:fill="1A56DB"/>
          </w:tcPr>
          <w:p>
            <w:pPr>
              <w:spacing w:before="60" w:after="60"/>
            </w:pPr>
            <w:r>
              <w:rPr>
                <w:b/>
                <w:color w:val="FFFFFF"/>
                <w:sz w:val="20"/>
              </w:rPr>
              <w:t>$19–$49</w:t>
            </w:r>
          </w:p>
        </w:tc>
        <w:tc>
          <w:tcPr>
            <w:tcW w:type="dxa" w:w="2266"/>
            <w:shd w:val="clear" w:color="auto" w:fill="1A56DB"/>
          </w:tcPr>
          <w:p>
            <w:pPr>
              <w:spacing w:before="60" w:after="60"/>
            </w:pPr>
            <w:r>
              <w:rPr>
                <w:b/>
                <w:color w:val="FFFFFF"/>
                <w:sz w:val="20"/>
              </w:rPr>
              <w:t>Correct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Legal / compliance</w:t>
            </w:r>
          </w:p>
        </w:tc>
        <w:tc>
          <w:tcPr>
            <w:tcW w:type="dxa" w:w="2266"/>
            <w:shd w:val="clear" w:color="auto" w:fill="1A56DB"/>
          </w:tcPr>
          <w:p>
            <w:pPr>
              <w:spacing w:before="60" w:after="60"/>
            </w:pPr>
            <w:r>
              <w:rPr>
                <w:b/>
                <w:color w:val="FFFFFF"/>
                <w:sz w:val="20"/>
              </w:rPr>
              <w:t>$100–$200</w:t>
            </w:r>
          </w:p>
        </w:tc>
        <w:tc>
          <w:tcPr>
            <w:tcW w:type="dxa" w:w="2266"/>
            <w:shd w:val="clear" w:color="auto" w:fill="1A56DB"/>
          </w:tcPr>
          <w:p>
            <w:pPr>
              <w:spacing w:before="60" w:after="60"/>
            </w:pPr>
            <w:r>
              <w:rPr>
                <w:b/>
                <w:color w:val="FFFFFF"/>
                <w:sz w:val="20"/>
              </w:rPr>
              <w:t>**$150–$300**</w:t>
            </w:r>
          </w:p>
        </w:tc>
        <w:tc>
          <w:tcPr>
            <w:tcW w:type="dxa" w:w="2266"/>
            <w:shd w:val="clear" w:color="auto" w:fill="1A56DB"/>
          </w:tcPr>
          <w:p>
            <w:pPr>
              <w:spacing w:before="60" w:after="60"/>
            </w:pPr>
            <w:r>
              <w:rPr>
                <w:b/>
                <w:color w:val="FFFFFF"/>
                <w:sz w:val="20"/>
              </w:rPr>
              <w:t>Slightly higher for ongoing contract reviews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Misc admin</w:t>
            </w:r>
          </w:p>
        </w:tc>
        <w:tc>
          <w:tcPr>
            <w:tcW w:type="dxa" w:w="2266"/>
            <w:shd w:val="clear" w:color="auto" w:fill="1A56DB"/>
          </w:tcPr>
          <w:p>
            <w:pPr>
              <w:spacing w:before="60" w:after="60"/>
            </w:pPr>
            <w:r>
              <w:rPr>
                <w:b/>
                <w:color w:val="FFFFFF"/>
                <w:sz w:val="20"/>
              </w:rPr>
              <w:t>$100</w:t>
            </w:r>
          </w:p>
        </w:tc>
        <w:tc>
          <w:tcPr>
            <w:tcW w:type="dxa" w:w="2266"/>
            <w:shd w:val="clear" w:color="auto" w:fill="1A56DB"/>
          </w:tcPr>
          <w:p>
            <w:pPr>
              <w:spacing w:before="60" w:after="60"/>
            </w:pPr>
            <w:r>
              <w:rPr>
                <w:b/>
                <w:color w:val="FFFFFF"/>
                <w:sz w:val="20"/>
              </w:rPr>
              <w:t>$100</w:t>
            </w:r>
          </w:p>
        </w:tc>
        <w:tc>
          <w:tcPr>
            <w:tcW w:type="dxa" w:w="2266"/>
            <w:shd w:val="clear" w:color="auto" w:fill="1A56DB"/>
          </w:tcPr>
          <w:p>
            <w:pPr>
              <w:spacing w:before="60" w:after="60"/>
            </w:pPr>
            <w:r>
              <w:rPr>
                <w:b/>
                <w:color w:val="FFFFFF"/>
                <w:sz w:val="20"/>
              </w:rPr>
              <w:t>Correct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**Accounting/bookkeeping**</w:t>
            </w:r>
          </w:p>
        </w:tc>
        <w:tc>
          <w:tcPr>
            <w:tcW w:type="dxa" w:w="2266"/>
            <w:shd w:val="clear" w:color="auto" w:fill="1A56DB"/>
          </w:tcPr>
          <w:p>
            <w:pPr>
              <w:spacing w:before="60" w:after="60"/>
            </w:pPr>
            <w:r>
              <w:rPr>
                <w:b/>
                <w:color w:val="FFFFFF"/>
                <w:sz w:val="20"/>
              </w:rPr>
              <w:t>**$0**</w:t>
            </w:r>
          </w:p>
        </w:tc>
        <w:tc>
          <w:tcPr>
            <w:tcW w:type="dxa" w:w="2266"/>
            <w:shd w:val="clear" w:color="auto" w:fill="1A56DB"/>
          </w:tcPr>
          <w:p>
            <w:pPr>
              <w:spacing w:before="60" w:after="60"/>
            </w:pPr>
            <w:r>
              <w:rPr>
                <w:b/>
                <w:color w:val="FFFFFF"/>
                <w:sz w:val="20"/>
              </w:rPr>
              <w:t>**$100–$200**</w:t>
            </w:r>
          </w:p>
        </w:tc>
        <w:tc>
          <w:tcPr>
            <w:tcW w:type="dxa" w:w="2266"/>
            <w:shd w:val="clear" w:color="auto" w:fill="1A56DB"/>
          </w:tcPr>
          <w:p>
            <w:pPr>
              <w:spacing w:before="60" w:after="60"/>
            </w:pPr>
            <w:r>
              <w:rPr>
                <w:b/>
                <w:color w:val="FFFFFF"/>
                <w:sz w:val="20"/>
              </w:rPr>
              <w:t>**Missing — Wave Pro or QuickBooks Self-Employed subscription + bookkeeping time**</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**T4A filing (annualized)**</w:t>
            </w:r>
          </w:p>
        </w:tc>
        <w:tc>
          <w:tcPr>
            <w:tcW w:type="dxa" w:w="2266"/>
            <w:shd w:val="clear" w:color="auto" w:fill="1A56DB"/>
          </w:tcPr>
          <w:p>
            <w:pPr>
              <w:spacing w:before="60" w:after="60"/>
            </w:pPr>
            <w:r>
              <w:rPr>
                <w:b/>
                <w:color w:val="FFFFFF"/>
                <w:sz w:val="20"/>
              </w:rPr>
              <w:t>**$0**</w:t>
            </w:r>
          </w:p>
        </w:tc>
        <w:tc>
          <w:tcPr>
            <w:tcW w:type="dxa" w:w="2266"/>
            <w:shd w:val="clear" w:color="auto" w:fill="1A56DB"/>
          </w:tcPr>
          <w:p>
            <w:pPr>
              <w:spacing w:before="60" w:after="60"/>
            </w:pPr>
            <w:r>
              <w:rPr>
                <w:b/>
                <w:color w:val="FFFFFF"/>
                <w:sz w:val="20"/>
              </w:rPr>
              <w:t>**$30–$50/month**</w:t>
            </w:r>
          </w:p>
        </w:tc>
        <w:tc>
          <w:tcPr>
            <w:tcW w:type="dxa" w:w="2266"/>
            <w:shd w:val="clear" w:color="auto" w:fill="1A56DB"/>
          </w:tcPr>
          <w:p>
            <w:pPr>
              <w:spacing w:before="60" w:after="60"/>
            </w:pPr>
            <w:r>
              <w:rPr>
                <w:b/>
                <w:color w:val="FFFFFF"/>
                <w:sz w:val="20"/>
              </w:rPr>
              <w:t>**Missing — CPA or software to prepare annual T4As; annualize ~$400–$600/year**</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**Host referral bonuses**</w:t>
            </w:r>
          </w:p>
        </w:tc>
        <w:tc>
          <w:tcPr>
            <w:tcW w:type="dxa" w:w="2266"/>
            <w:shd w:val="clear" w:color="auto" w:fill="1A56DB"/>
          </w:tcPr>
          <w:p>
            <w:pPr>
              <w:spacing w:before="60" w:after="60"/>
            </w:pPr>
            <w:r>
              <w:rPr>
                <w:b/>
                <w:color w:val="FFFFFF"/>
                <w:sz w:val="20"/>
              </w:rPr>
              <w:t>**$0**</w:t>
            </w:r>
          </w:p>
        </w:tc>
        <w:tc>
          <w:tcPr>
            <w:tcW w:type="dxa" w:w="2266"/>
            <w:shd w:val="clear" w:color="auto" w:fill="1A56DB"/>
          </w:tcPr>
          <w:p>
            <w:pPr>
              <w:spacing w:before="60" w:after="60"/>
            </w:pPr>
            <w:r>
              <w:rPr>
                <w:b/>
                <w:color w:val="FFFFFF"/>
                <w:sz w:val="20"/>
              </w:rPr>
              <w:t>**$50–$100**</w:t>
            </w:r>
          </w:p>
        </w:tc>
        <w:tc>
          <w:tcPr>
            <w:tcW w:type="dxa" w:w="2266"/>
            <w:shd w:val="clear" w:color="auto" w:fill="1A56DB"/>
          </w:tcPr>
          <w:p>
            <w:pPr>
              <w:spacing w:before="60" w:after="60"/>
            </w:pPr>
            <w:r>
              <w:rPr>
                <w:b/>
                <w:color w:val="FFFFFF"/>
                <w:sz w:val="20"/>
              </w:rPr>
              <w:t>**Missing — $100 per new referred host; budget for 0.5–1 per month**</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**HST remittance admin**</w:t>
            </w:r>
          </w:p>
        </w:tc>
        <w:tc>
          <w:tcPr>
            <w:tcW w:type="dxa" w:w="2266"/>
            <w:shd w:val="clear" w:color="auto" w:fill="1A56DB"/>
          </w:tcPr>
          <w:p>
            <w:pPr>
              <w:spacing w:before="60" w:after="60"/>
            </w:pPr>
            <w:r>
              <w:rPr>
                <w:b/>
                <w:color w:val="FFFFFF"/>
                <w:sz w:val="20"/>
              </w:rPr>
              <w:t>**$0**</w:t>
            </w:r>
          </w:p>
        </w:tc>
        <w:tc>
          <w:tcPr>
            <w:tcW w:type="dxa" w:w="2266"/>
            <w:shd w:val="clear" w:color="auto" w:fill="1A56DB"/>
          </w:tcPr>
          <w:p>
            <w:pPr>
              <w:spacing w:before="60" w:after="60"/>
            </w:pPr>
            <w:r>
              <w:rPr>
                <w:b/>
                <w:color w:val="FFFFFF"/>
                <w:sz w:val="20"/>
              </w:rPr>
              <w:t>**Included above**</w:t>
            </w:r>
          </w:p>
        </w:tc>
        <w:tc>
          <w:tcPr>
            <w:tcW w:type="dxa" w:w="2266"/>
            <w:shd w:val="clear" w:color="auto" w:fill="1A56DB"/>
          </w:tcPr>
          <w:p>
            <w:pPr>
              <w:spacing w:before="60" w:after="60"/>
            </w:pPr>
            <w:r>
              <w:rPr>
                <w:b/>
                <w:color w:val="FFFFFF"/>
                <w:sz w:val="20"/>
              </w:rPr>
              <w:t>Time cost is real but no cash outlay</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**Revised Total**</w:t>
            </w:r>
          </w:p>
        </w:tc>
        <w:tc>
          <w:tcPr>
            <w:tcW w:type="dxa" w:w="2266"/>
            <w:shd w:val="clear" w:color="auto" w:fill="1A56DB"/>
          </w:tcPr>
          <w:p>
            <w:pPr>
              <w:spacing w:before="60" w:after="60"/>
            </w:pPr>
            <w:r>
              <w:rPr>
                <w:b/>
                <w:color w:val="FFFFFF"/>
                <w:sz w:val="20"/>
              </w:rPr>
              <w:t>**$304–$634**</w:t>
            </w:r>
          </w:p>
        </w:tc>
        <w:tc>
          <w:tcPr>
            <w:tcW w:type="dxa" w:w="2266"/>
            <w:shd w:val="clear" w:color="auto" w:fill="1A56DB"/>
          </w:tcPr>
          <w:p>
            <w:pPr>
              <w:spacing w:before="60" w:after="60"/>
            </w:pPr>
            <w:r>
              <w:rPr>
                <w:b/>
                <w:color w:val="FFFFFF"/>
                <w:sz w:val="20"/>
              </w:rPr>
              <w:t>**$714–$1,204**</w:t>
            </w:r>
          </w:p>
        </w:tc>
        <w:tc>
          <w:tcPr>
            <w:tcW w:type="dxa" w:w="2266"/>
            <w:shd w:val="clear" w:color="auto" w:fill="1A56DB"/>
          </w:tcPr>
          <w:p>
            <w:pPr>
              <w:spacing w:before="60" w:after="60"/>
            </w:pPr>
            <w:r>
              <w:rPr>
                <w:b/>
                <w:color w:val="FFFFFF"/>
                <w:sz w:val="20"/>
              </w:rPr>
            </w:r>
          </w:p>
        </w:tc>
      </w:tr>
    </w:tbl>
    <w:p/>
    <w:p>
      <w:pPr>
        <w:spacing w:before="40" w:after="80"/>
      </w:pPr>
      <w:r>
        <w:rPr>
          <w:b/>
          <w:i w:val="0"/>
          <w:color w:val="111827"/>
          <w:sz w:val="22"/>
        </w:rPr>
        <w:t>The break-even calculation changes: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Metric</w:t>
            </w:r>
          </w:p>
        </w:tc>
        <w:tc>
          <w:tcPr>
            <w:tcW w:type="dxa" w:w="3022"/>
            <w:shd w:val="clear" w:color="auto" w:fill="1A56DB"/>
          </w:tcPr>
          <w:p>
            <w:pPr>
              <w:spacing w:before="60" w:after="60"/>
            </w:pPr>
            <w:r>
              <w:rPr>
                <w:b/>
                <w:color w:val="FFFFFF"/>
                <w:sz w:val="20"/>
              </w:rPr>
              <w:t>Business Plan</w:t>
            </w:r>
          </w:p>
        </w:tc>
        <w:tc>
          <w:tcPr>
            <w:tcW w:type="dxa" w:w="3022"/>
            <w:shd w:val="clear" w:color="auto" w:fill="1A56DB"/>
          </w:tcPr>
          <w:p>
            <w:pPr>
              <w:spacing w:before="60" w:after="60"/>
            </w:pPr>
            <w:r>
              <w:rPr>
                <w:b/>
                <w:color w:val="FFFFFF"/>
                <w:sz w:val="20"/>
              </w:rPr>
              <w:t>Corrected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Monthly fixed costs</w:t>
            </w:r>
          </w:p>
        </w:tc>
        <w:tc>
          <w:tcPr>
            <w:tcW w:type="dxa" w:w="3022"/>
            <w:shd w:val="clear" w:color="auto" w:fill="1A56DB"/>
          </w:tcPr>
          <w:p>
            <w:pPr>
              <w:spacing w:before="60" w:after="60"/>
            </w:pPr>
            <w:r>
              <w:rPr>
                <w:b/>
                <w:color w:val="FFFFFF"/>
                <w:sz w:val="20"/>
              </w:rPr>
              <w:t>~$450</w:t>
            </w:r>
          </w:p>
        </w:tc>
        <w:tc>
          <w:tcPr>
            <w:tcW w:type="dxa" w:w="3022"/>
            <w:shd w:val="clear" w:color="auto" w:fill="1A56DB"/>
          </w:tcPr>
          <w:p>
            <w:pPr>
              <w:spacing w:before="60" w:after="60"/>
            </w:pPr>
            <w:r>
              <w:rPr>
                <w:b/>
                <w:color w:val="FFFFFF"/>
                <w:sz w:val="20"/>
              </w:rPr>
              <w:t>~$960 (midpoint)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Revenue per car per month</w:t>
            </w:r>
          </w:p>
        </w:tc>
        <w:tc>
          <w:tcPr>
            <w:tcW w:type="dxa" w:w="3022"/>
            <w:shd w:val="clear" w:color="auto" w:fill="1A56DB"/>
          </w:tcPr>
          <w:p>
            <w:pPr>
              <w:spacing w:before="60" w:after="60"/>
            </w:pPr>
            <w:r>
              <w:rPr>
                <w:b/>
                <w:color w:val="FFFFFF"/>
                <w:sz w:val="20"/>
              </w:rPr>
              <w:t>~$235</w:t>
            </w:r>
          </w:p>
        </w:tc>
        <w:tc>
          <w:tcPr>
            <w:tcW w:type="dxa" w:w="3022"/>
            <w:shd w:val="clear" w:color="auto" w:fill="1A56DB"/>
          </w:tcPr>
          <w:p>
            <w:pPr>
              <w:spacing w:before="60" w:after="60"/>
            </w:pPr>
            <w:r>
              <w:rPr>
                <w:b/>
                <w:color w:val="FFFFFF"/>
                <w:sz w:val="20"/>
              </w:rPr>
              <w:t>~$235 (unchanged)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Break-even cars</w:t>
            </w:r>
          </w:p>
        </w:tc>
        <w:tc>
          <w:tcPr>
            <w:tcW w:type="dxa" w:w="3022"/>
            <w:shd w:val="clear" w:color="auto" w:fill="1A56DB"/>
          </w:tcPr>
          <w:p>
            <w:pPr>
              <w:spacing w:before="60" w:after="60"/>
            </w:pPr>
            <w:r>
              <w:rPr>
                <w:b/>
                <w:color w:val="FFFFFF"/>
                <w:sz w:val="20"/>
              </w:rPr>
              <w:t>2 cars</w:t>
            </w:r>
          </w:p>
        </w:tc>
        <w:tc>
          <w:tcPr>
            <w:tcW w:type="dxa" w:w="3022"/>
            <w:shd w:val="clear" w:color="auto" w:fill="1A56DB"/>
          </w:tcPr>
          <w:p>
            <w:pPr>
              <w:spacing w:before="60" w:after="60"/>
            </w:pPr>
            <w:r>
              <w:rPr>
                <w:b/>
                <w:color w:val="FFFFFF"/>
                <w:sz w:val="20"/>
              </w:rPr>
              <w:t>**4–5 cars**</w:t>
            </w:r>
          </w:p>
        </w:tc>
      </w:tr>
    </w:tbl>
    <w:p/>
    <w:p>
      <w:pPr>
        <w:spacing w:before="40" w:after="80"/>
      </w:pPr>
      <w:r>
        <w:rPr>
          <w:b w:val="0"/>
          <w:i w:val="0"/>
          <w:color w:val="111827"/>
          <w:sz w:val="22"/>
        </w:rPr>
        <w:t>Break-even at 4–5 cars is still very achievable within 30–60 days of launch. The business remains highly viable — the business plan just undersells the cost base slightly.</w:t>
      </w:r>
    </w:p>
    <w:p>
      <w:pPr>
        <w:pStyle w:val="Heading3"/>
        <w:spacing w:before="160" w:after="40"/>
      </w:pPr>
      <w:r>
        <w:rPr>
          <w:b/>
          <w:color w:val="1A56DB"/>
          <w:sz w:val="26"/>
        </w:rPr>
        <w:t>Revised Year 1 Monthly P&amp;L Model</w:t>
      </w:r>
    </w:p>
    <w:p>
      <w:pPr>
        <w:spacing w:before="40" w:after="80"/>
      </w:pPr>
      <w:r>
        <w:rPr>
          <w:b w:val="0"/>
          <w:i w:val="0"/>
          <w:color w:val="111827"/>
          <w:sz w:val="22"/>
        </w:rPr>
        <w:t>Assumptions:</w:t>
      </w:r>
    </w:p>
    <w:p>
      <w:pPr>
        <w:pStyle w:val="ListBullet"/>
        <w:spacing w:before="20" w:after="20"/>
        <w:ind w:left="283"/>
      </w:pPr>
      <w:r>
        <w:rPr>
          <w:b w:val="0"/>
          <w:i w:val="0"/>
          <w:color w:val="111827"/>
          <w:sz w:val="22"/>
        </w:rPr>
        <w:t>Ramp: 0 → 3 → 6 → 10 → 12 → 14 → 16 → 18 → 20 → 25 → 30 → 35 cars</w:t>
      </w:r>
    </w:p>
    <w:p>
      <w:pPr>
        <w:pStyle w:val="ListBullet"/>
        <w:spacing w:before="20" w:after="20"/>
        <w:ind w:left="283"/>
      </w:pPr>
      <w:r>
        <w:rPr>
          <w:b w:val="0"/>
          <w:i w:val="0"/>
          <w:color w:val="111827"/>
          <w:sz w:val="22"/>
        </w:rPr>
        <w:t>Average host rate: $310/week (conservative blend of economy and mid-size)</w:t>
      </w:r>
    </w:p>
    <w:p>
      <w:pPr>
        <w:pStyle w:val="ListBullet"/>
        <w:spacing w:before="20" w:after="20"/>
        <w:ind w:left="283"/>
      </w:pPr>
      <w:r>
        <w:rPr>
          <w:b w:val="0"/>
          <w:i w:val="0"/>
          <w:color w:val="111827"/>
          <w:sz w:val="22"/>
        </w:rPr>
        <w:t>Utilization: 75% months 1–3, 80% months 4–6, 85% months 7–12</w:t>
      </w:r>
    </w:p>
    <w:p>
      <w:pPr>
        <w:pStyle w:val="ListBullet"/>
        <w:spacing w:before="20" w:after="20"/>
        <w:ind w:left="283"/>
      </w:pPr>
      <w:r>
        <w:rPr>
          <w:b w:val="0"/>
          <w:i w:val="0"/>
          <w:color w:val="111827"/>
          <w:sz w:val="22"/>
        </w:rPr>
        <w:t>Platform fee: 20% of host rate (fee added on top, separate from host rate)</w:t>
      </w:r>
    </w:p>
    <w:p>
      <w:pPr>
        <w:pStyle w:val="ListBullet"/>
        <w:spacing w:before="20" w:after="20"/>
        <w:ind w:left="283"/>
      </w:pPr>
      <w:r>
        <w:rPr>
          <w:b w:val="0"/>
          <w:i w:val="0"/>
          <w:color w:val="111827"/>
          <w:sz w:val="22"/>
        </w:rPr>
        <w:t>Platform revenue = 20% × host rate × utilization (the renter pays the fee on top; host rate × 20% = platform take)</w:t>
      </w:r>
    </w:p>
    <w:p>
      <w:pPr>
        <w:pStyle w:val="ListBullet"/>
        <w:spacing w:before="20" w:after="20"/>
        <w:ind w:left="283"/>
      </w:pPr>
      <w:r>
        <w:rPr>
          <w:b w:val="0"/>
          <w:i w:val="0"/>
          <w:color w:val="111827"/>
          <w:sz w:val="22"/>
        </w:rPr>
        <w:t>Stripe fee: 2.9% + $0.30 on full gross charge (host rate + platform fee) per weekly transaction</w:t>
      </w:r>
    </w:p>
    <w:p>
      <w:pPr>
        <w:pStyle w:val="ListBullet"/>
        <w:spacing w:before="20" w:after="20"/>
        <w:ind w:left="283"/>
      </w:pPr>
      <w:r>
        <w:rPr>
          <w:b w:val="0"/>
          <w:i w:val="0"/>
          <w:color w:val="111827"/>
          <w:sz w:val="22"/>
        </w:rPr>
        <w:t>Monthly fixed costs: $960/month (corrected midpoint)</w:t>
      </w:r>
    </w:p>
    <w:p>
      <w:pPr>
        <w:pStyle w:val="ListBullet"/>
        <w:spacing w:before="20" w:after="20"/>
        <w:ind w:left="283"/>
      </w:pPr>
      <w:r>
        <w:rPr>
          <w:b w:val="0"/>
          <w:i w:val="0"/>
          <w:color w:val="111827"/>
          <w:sz w:val="22"/>
        </w:rPr>
        <w:t>HST collected: 13% on platform fee — shown as pass-through, not P&amp;L income</w:t>
      </w:r>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Month</w:t>
            </w:r>
          </w:p>
        </w:tc>
        <w:tc>
          <w:tcPr>
            <w:tcW w:type="dxa" w:w="1007"/>
            <w:shd w:val="clear" w:color="auto" w:fill="1A56DB"/>
          </w:tcPr>
          <w:p>
            <w:pPr>
              <w:spacing w:before="60" w:after="60"/>
            </w:pPr>
            <w:r>
              <w:rPr>
                <w:b/>
                <w:color w:val="FFFFFF"/>
                <w:sz w:val="20"/>
              </w:rPr>
              <w:t>Active Cars</w:t>
            </w:r>
          </w:p>
        </w:tc>
        <w:tc>
          <w:tcPr>
            <w:tcW w:type="dxa" w:w="1007"/>
            <w:shd w:val="clear" w:color="auto" w:fill="1A56DB"/>
          </w:tcPr>
          <w:p>
            <w:pPr>
              <w:spacing w:before="60" w:after="60"/>
            </w:pPr>
            <w:r>
              <w:rPr>
                <w:b/>
                <w:color w:val="FFFFFF"/>
                <w:sz w:val="20"/>
              </w:rPr>
              <w:t>Utilization</w:t>
            </w:r>
          </w:p>
        </w:tc>
        <w:tc>
          <w:tcPr>
            <w:tcW w:type="dxa" w:w="1007"/>
            <w:shd w:val="clear" w:color="auto" w:fill="1A56DB"/>
          </w:tcPr>
          <w:p>
            <w:pPr>
              <w:spacing w:before="60" w:after="60"/>
            </w:pPr>
            <w:r>
              <w:rPr>
                <w:b/>
                <w:color w:val="FFFFFF"/>
                <w:sz w:val="20"/>
              </w:rPr>
              <w:t>Gross Rental Vol.</w:t>
            </w:r>
          </w:p>
        </w:tc>
        <w:tc>
          <w:tcPr>
            <w:tcW w:type="dxa" w:w="1007"/>
            <w:shd w:val="clear" w:color="auto" w:fill="1A56DB"/>
          </w:tcPr>
          <w:p>
            <w:pPr>
              <w:spacing w:before="60" w:after="60"/>
            </w:pPr>
            <w:r>
              <w:rPr>
                <w:b/>
                <w:color w:val="FFFFFF"/>
                <w:sz w:val="20"/>
              </w:rPr>
              <w:t>Platform Revenue</w:t>
            </w:r>
          </w:p>
        </w:tc>
        <w:tc>
          <w:tcPr>
            <w:tcW w:type="dxa" w:w="1007"/>
            <w:shd w:val="clear" w:color="auto" w:fill="1A56DB"/>
          </w:tcPr>
          <w:p>
            <w:pPr>
              <w:spacing w:before="60" w:after="60"/>
            </w:pPr>
            <w:r>
              <w:rPr>
                <w:b/>
                <w:color w:val="FFFFFF"/>
                <w:sz w:val="20"/>
              </w:rPr>
              <w:t>Stripe Fees</w:t>
            </w:r>
          </w:p>
        </w:tc>
        <w:tc>
          <w:tcPr>
            <w:tcW w:type="dxa" w:w="1007"/>
            <w:shd w:val="clear" w:color="auto" w:fill="1A56DB"/>
          </w:tcPr>
          <w:p>
            <w:pPr>
              <w:spacing w:before="60" w:after="60"/>
            </w:pPr>
            <w:r>
              <w:rPr>
                <w:b/>
                <w:color w:val="FFFFFF"/>
                <w:sz w:val="20"/>
              </w:rPr>
              <w:t>Gross Profit</w:t>
            </w:r>
          </w:p>
        </w:tc>
        <w:tc>
          <w:tcPr>
            <w:tcW w:type="dxa" w:w="1007"/>
            <w:shd w:val="clear" w:color="auto" w:fill="1A56DB"/>
          </w:tcPr>
          <w:p>
            <w:pPr>
              <w:spacing w:before="60" w:after="60"/>
            </w:pPr>
            <w:r>
              <w:rPr>
                <w:b/>
                <w:color w:val="FFFFFF"/>
                <w:sz w:val="20"/>
              </w:rPr>
              <w:t>Fixed Costs</w:t>
            </w:r>
          </w:p>
        </w:tc>
        <w:tc>
          <w:tcPr>
            <w:tcW w:type="dxa" w:w="1007"/>
            <w:shd w:val="clear" w:color="auto" w:fill="1A56DB"/>
          </w:tcPr>
          <w:p>
            <w:pPr>
              <w:spacing w:before="60" w:after="60"/>
            </w:pPr>
            <w:r>
              <w:rPr>
                <w:b/>
                <w:color w:val="FFFFFF"/>
                <w:sz w:val="20"/>
              </w:rPr>
              <w:t>Net Profit/(Loss)</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1</w:t>
            </w:r>
          </w:p>
        </w:tc>
        <w:tc>
          <w:tcPr>
            <w:tcW w:type="dxa" w:w="1007"/>
            <w:shd w:val="clear" w:color="auto" w:fill="1A56DB"/>
          </w:tcPr>
          <w:p>
            <w:pPr>
              <w:spacing w:before="60" w:after="60"/>
            </w:pPr>
            <w:r>
              <w:rPr>
                <w:b/>
                <w:color w:val="FFFFFF"/>
                <w:sz w:val="20"/>
              </w:rPr>
              <w:t>3</w:t>
            </w:r>
          </w:p>
        </w:tc>
        <w:tc>
          <w:tcPr>
            <w:tcW w:type="dxa" w:w="1007"/>
            <w:shd w:val="clear" w:color="auto" w:fill="1A56DB"/>
          </w:tcPr>
          <w:p>
            <w:pPr>
              <w:spacing w:before="60" w:after="60"/>
            </w:pPr>
            <w:r>
              <w:rPr>
                <w:b/>
                <w:color w:val="FFFFFF"/>
                <w:sz w:val="20"/>
              </w:rPr>
              <w:t>75%</w:t>
            </w:r>
          </w:p>
        </w:tc>
        <w:tc>
          <w:tcPr>
            <w:tcW w:type="dxa" w:w="1007"/>
            <w:shd w:val="clear" w:color="auto" w:fill="1A56DB"/>
          </w:tcPr>
          <w:p>
            <w:pPr>
              <w:spacing w:before="60" w:after="60"/>
            </w:pPr>
            <w:r>
              <w:rPr>
                <w:b/>
                <w:color w:val="FFFFFF"/>
                <w:sz w:val="20"/>
              </w:rPr>
              <w:t>$3,031</w:t>
            </w:r>
          </w:p>
        </w:tc>
        <w:tc>
          <w:tcPr>
            <w:tcW w:type="dxa" w:w="1007"/>
            <w:shd w:val="clear" w:color="auto" w:fill="1A56DB"/>
          </w:tcPr>
          <w:p>
            <w:pPr>
              <w:spacing w:before="60" w:after="60"/>
            </w:pPr>
            <w:r>
              <w:rPr>
                <w:b/>
                <w:color w:val="FFFFFF"/>
                <w:sz w:val="20"/>
              </w:rPr>
              <w:t>$606</w:t>
            </w:r>
          </w:p>
        </w:tc>
        <w:tc>
          <w:tcPr>
            <w:tcW w:type="dxa" w:w="1007"/>
            <w:shd w:val="clear" w:color="auto" w:fill="1A56DB"/>
          </w:tcPr>
          <w:p>
            <w:pPr>
              <w:spacing w:before="60" w:after="60"/>
            </w:pPr>
            <w:r>
              <w:rPr>
                <w:b/>
                <w:color w:val="FFFFFF"/>
                <w:sz w:val="20"/>
              </w:rPr>
              <w:t>($90)</w:t>
            </w:r>
          </w:p>
        </w:tc>
        <w:tc>
          <w:tcPr>
            <w:tcW w:type="dxa" w:w="1007"/>
            <w:shd w:val="clear" w:color="auto" w:fill="1A56DB"/>
          </w:tcPr>
          <w:p>
            <w:pPr>
              <w:spacing w:before="60" w:after="60"/>
            </w:pPr>
            <w:r>
              <w:rPr>
                <w:b/>
                <w:color w:val="FFFFFF"/>
                <w:sz w:val="20"/>
              </w:rPr>
              <w:t>$516</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**($444)**</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2</w:t>
            </w:r>
          </w:p>
        </w:tc>
        <w:tc>
          <w:tcPr>
            <w:tcW w:type="dxa" w:w="1007"/>
            <w:shd w:val="clear" w:color="auto" w:fill="1A56DB"/>
          </w:tcPr>
          <w:p>
            <w:pPr>
              <w:spacing w:before="60" w:after="60"/>
            </w:pPr>
            <w:r>
              <w:rPr>
                <w:b/>
                <w:color w:val="FFFFFF"/>
                <w:sz w:val="20"/>
              </w:rPr>
              <w:t>6</w:t>
            </w:r>
          </w:p>
        </w:tc>
        <w:tc>
          <w:tcPr>
            <w:tcW w:type="dxa" w:w="1007"/>
            <w:shd w:val="clear" w:color="auto" w:fill="1A56DB"/>
          </w:tcPr>
          <w:p>
            <w:pPr>
              <w:spacing w:before="60" w:after="60"/>
            </w:pPr>
            <w:r>
              <w:rPr>
                <w:b/>
                <w:color w:val="FFFFFF"/>
                <w:sz w:val="20"/>
              </w:rPr>
              <w:t>75%</w:t>
            </w:r>
          </w:p>
        </w:tc>
        <w:tc>
          <w:tcPr>
            <w:tcW w:type="dxa" w:w="1007"/>
            <w:shd w:val="clear" w:color="auto" w:fill="1A56DB"/>
          </w:tcPr>
          <w:p>
            <w:pPr>
              <w:spacing w:before="60" w:after="60"/>
            </w:pPr>
            <w:r>
              <w:rPr>
                <w:b/>
                <w:color w:val="FFFFFF"/>
                <w:sz w:val="20"/>
              </w:rPr>
              <w:t>$6,062</w:t>
            </w:r>
          </w:p>
        </w:tc>
        <w:tc>
          <w:tcPr>
            <w:tcW w:type="dxa" w:w="1007"/>
            <w:shd w:val="clear" w:color="auto" w:fill="1A56DB"/>
          </w:tcPr>
          <w:p>
            <w:pPr>
              <w:spacing w:before="60" w:after="60"/>
            </w:pPr>
            <w:r>
              <w:rPr>
                <w:b/>
                <w:color w:val="FFFFFF"/>
                <w:sz w:val="20"/>
              </w:rPr>
              <w:t>$1,212</w:t>
            </w:r>
          </w:p>
        </w:tc>
        <w:tc>
          <w:tcPr>
            <w:tcW w:type="dxa" w:w="1007"/>
            <w:shd w:val="clear" w:color="auto" w:fill="1A56DB"/>
          </w:tcPr>
          <w:p>
            <w:pPr>
              <w:spacing w:before="60" w:after="60"/>
            </w:pPr>
            <w:r>
              <w:rPr>
                <w:b/>
                <w:color w:val="FFFFFF"/>
                <w:sz w:val="20"/>
              </w:rPr>
              <w:t>($180)</w:t>
            </w:r>
          </w:p>
        </w:tc>
        <w:tc>
          <w:tcPr>
            <w:tcW w:type="dxa" w:w="1007"/>
            <w:shd w:val="clear" w:color="auto" w:fill="1A56DB"/>
          </w:tcPr>
          <w:p>
            <w:pPr>
              <w:spacing w:before="60" w:after="60"/>
            </w:pPr>
            <w:r>
              <w:rPr>
                <w:b/>
                <w:color w:val="FFFFFF"/>
                <w:sz w:val="20"/>
              </w:rPr>
              <w:t>$1,032</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**$72**</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3</w:t>
            </w:r>
          </w:p>
        </w:tc>
        <w:tc>
          <w:tcPr>
            <w:tcW w:type="dxa" w:w="1007"/>
            <w:shd w:val="clear" w:color="auto" w:fill="1A56DB"/>
          </w:tcPr>
          <w:p>
            <w:pPr>
              <w:spacing w:before="60" w:after="60"/>
            </w:pPr>
            <w:r>
              <w:rPr>
                <w:b/>
                <w:color w:val="FFFFFF"/>
                <w:sz w:val="20"/>
              </w:rPr>
              <w:t>10</w:t>
            </w:r>
          </w:p>
        </w:tc>
        <w:tc>
          <w:tcPr>
            <w:tcW w:type="dxa" w:w="1007"/>
            <w:shd w:val="clear" w:color="auto" w:fill="1A56DB"/>
          </w:tcPr>
          <w:p>
            <w:pPr>
              <w:spacing w:before="60" w:after="60"/>
            </w:pPr>
            <w:r>
              <w:rPr>
                <w:b/>
                <w:color w:val="FFFFFF"/>
                <w:sz w:val="20"/>
              </w:rPr>
              <w:t>75%</w:t>
            </w:r>
          </w:p>
        </w:tc>
        <w:tc>
          <w:tcPr>
            <w:tcW w:type="dxa" w:w="1007"/>
            <w:shd w:val="clear" w:color="auto" w:fill="1A56DB"/>
          </w:tcPr>
          <w:p>
            <w:pPr>
              <w:spacing w:before="60" w:after="60"/>
            </w:pPr>
            <w:r>
              <w:rPr>
                <w:b/>
                <w:color w:val="FFFFFF"/>
                <w:sz w:val="20"/>
              </w:rPr>
              <w:t>$10,104</w:t>
            </w:r>
          </w:p>
        </w:tc>
        <w:tc>
          <w:tcPr>
            <w:tcW w:type="dxa" w:w="1007"/>
            <w:shd w:val="clear" w:color="auto" w:fill="1A56DB"/>
          </w:tcPr>
          <w:p>
            <w:pPr>
              <w:spacing w:before="60" w:after="60"/>
            </w:pPr>
            <w:r>
              <w:rPr>
                <w:b/>
                <w:color w:val="FFFFFF"/>
                <w:sz w:val="20"/>
              </w:rPr>
              <w:t>$2,021</w:t>
            </w:r>
          </w:p>
        </w:tc>
        <w:tc>
          <w:tcPr>
            <w:tcW w:type="dxa" w:w="1007"/>
            <w:shd w:val="clear" w:color="auto" w:fill="1A56DB"/>
          </w:tcPr>
          <w:p>
            <w:pPr>
              <w:spacing w:before="60" w:after="60"/>
            </w:pPr>
            <w:r>
              <w:rPr>
                <w:b/>
                <w:color w:val="FFFFFF"/>
                <w:sz w:val="20"/>
              </w:rPr>
              <w:t>($295)</w:t>
            </w:r>
          </w:p>
        </w:tc>
        <w:tc>
          <w:tcPr>
            <w:tcW w:type="dxa" w:w="1007"/>
            <w:shd w:val="clear" w:color="auto" w:fill="1A56DB"/>
          </w:tcPr>
          <w:p>
            <w:pPr>
              <w:spacing w:before="60" w:after="60"/>
            </w:pPr>
            <w:r>
              <w:rPr>
                <w:b/>
                <w:color w:val="FFFFFF"/>
                <w:sz w:val="20"/>
              </w:rPr>
              <w:t>$1,726</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**$766**</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4</w:t>
            </w:r>
          </w:p>
        </w:tc>
        <w:tc>
          <w:tcPr>
            <w:tcW w:type="dxa" w:w="1007"/>
            <w:shd w:val="clear" w:color="auto" w:fill="1A56DB"/>
          </w:tcPr>
          <w:p>
            <w:pPr>
              <w:spacing w:before="60" w:after="60"/>
            </w:pPr>
            <w:r>
              <w:rPr>
                <w:b/>
                <w:color w:val="FFFFFF"/>
                <w:sz w:val="20"/>
              </w:rPr>
              <w:t>12</w:t>
            </w:r>
          </w:p>
        </w:tc>
        <w:tc>
          <w:tcPr>
            <w:tcW w:type="dxa" w:w="1007"/>
            <w:shd w:val="clear" w:color="auto" w:fill="1A56DB"/>
          </w:tcPr>
          <w:p>
            <w:pPr>
              <w:spacing w:before="60" w:after="60"/>
            </w:pPr>
            <w:r>
              <w:rPr>
                <w:b/>
                <w:color w:val="FFFFFF"/>
                <w:sz w:val="20"/>
              </w:rPr>
              <w:t>80%</w:t>
            </w:r>
          </w:p>
        </w:tc>
        <w:tc>
          <w:tcPr>
            <w:tcW w:type="dxa" w:w="1007"/>
            <w:shd w:val="clear" w:color="auto" w:fill="1A56DB"/>
          </w:tcPr>
          <w:p>
            <w:pPr>
              <w:spacing w:before="60" w:after="60"/>
            </w:pPr>
            <w:r>
              <w:rPr>
                <w:b/>
                <w:color w:val="FFFFFF"/>
                <w:sz w:val="20"/>
              </w:rPr>
              <w:t>$12,925</w:t>
            </w:r>
          </w:p>
        </w:tc>
        <w:tc>
          <w:tcPr>
            <w:tcW w:type="dxa" w:w="1007"/>
            <w:shd w:val="clear" w:color="auto" w:fill="1A56DB"/>
          </w:tcPr>
          <w:p>
            <w:pPr>
              <w:spacing w:before="60" w:after="60"/>
            </w:pPr>
            <w:r>
              <w:rPr>
                <w:b/>
                <w:color w:val="FFFFFF"/>
                <w:sz w:val="20"/>
              </w:rPr>
              <w:t>$2,585</w:t>
            </w:r>
          </w:p>
        </w:tc>
        <w:tc>
          <w:tcPr>
            <w:tcW w:type="dxa" w:w="1007"/>
            <w:shd w:val="clear" w:color="auto" w:fill="1A56DB"/>
          </w:tcPr>
          <w:p>
            <w:pPr>
              <w:spacing w:before="60" w:after="60"/>
            </w:pPr>
            <w:r>
              <w:rPr>
                <w:b/>
                <w:color w:val="FFFFFF"/>
                <w:sz w:val="20"/>
              </w:rPr>
              <w:t>($375)</w:t>
            </w:r>
          </w:p>
        </w:tc>
        <w:tc>
          <w:tcPr>
            <w:tcW w:type="dxa" w:w="1007"/>
            <w:shd w:val="clear" w:color="auto" w:fill="1A56DB"/>
          </w:tcPr>
          <w:p>
            <w:pPr>
              <w:spacing w:before="60" w:after="60"/>
            </w:pPr>
            <w:r>
              <w:rPr>
                <w:b/>
                <w:color w:val="FFFFFF"/>
                <w:sz w:val="20"/>
              </w:rPr>
              <w:t>$2,210</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**$1,250**</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5</w:t>
            </w:r>
          </w:p>
        </w:tc>
        <w:tc>
          <w:tcPr>
            <w:tcW w:type="dxa" w:w="1007"/>
            <w:shd w:val="clear" w:color="auto" w:fill="1A56DB"/>
          </w:tcPr>
          <w:p>
            <w:pPr>
              <w:spacing w:before="60" w:after="60"/>
            </w:pPr>
            <w:r>
              <w:rPr>
                <w:b/>
                <w:color w:val="FFFFFF"/>
                <w:sz w:val="20"/>
              </w:rPr>
              <w:t>14</w:t>
            </w:r>
          </w:p>
        </w:tc>
        <w:tc>
          <w:tcPr>
            <w:tcW w:type="dxa" w:w="1007"/>
            <w:shd w:val="clear" w:color="auto" w:fill="1A56DB"/>
          </w:tcPr>
          <w:p>
            <w:pPr>
              <w:spacing w:before="60" w:after="60"/>
            </w:pPr>
            <w:r>
              <w:rPr>
                <w:b/>
                <w:color w:val="FFFFFF"/>
                <w:sz w:val="20"/>
              </w:rPr>
              <w:t>80%</w:t>
            </w:r>
          </w:p>
        </w:tc>
        <w:tc>
          <w:tcPr>
            <w:tcW w:type="dxa" w:w="1007"/>
            <w:shd w:val="clear" w:color="auto" w:fill="1A56DB"/>
          </w:tcPr>
          <w:p>
            <w:pPr>
              <w:spacing w:before="60" w:after="60"/>
            </w:pPr>
            <w:r>
              <w:rPr>
                <w:b/>
                <w:color w:val="FFFFFF"/>
                <w:sz w:val="20"/>
              </w:rPr>
              <w:t>$15,079</w:t>
            </w:r>
          </w:p>
        </w:tc>
        <w:tc>
          <w:tcPr>
            <w:tcW w:type="dxa" w:w="1007"/>
            <w:shd w:val="clear" w:color="auto" w:fill="1A56DB"/>
          </w:tcPr>
          <w:p>
            <w:pPr>
              <w:spacing w:before="60" w:after="60"/>
            </w:pPr>
            <w:r>
              <w:rPr>
                <w:b/>
                <w:color w:val="FFFFFF"/>
                <w:sz w:val="20"/>
              </w:rPr>
              <w:t>$3,016</w:t>
            </w:r>
          </w:p>
        </w:tc>
        <w:tc>
          <w:tcPr>
            <w:tcW w:type="dxa" w:w="1007"/>
            <w:shd w:val="clear" w:color="auto" w:fill="1A56DB"/>
          </w:tcPr>
          <w:p>
            <w:pPr>
              <w:spacing w:before="60" w:after="60"/>
            </w:pPr>
            <w:r>
              <w:rPr>
                <w:b/>
                <w:color w:val="FFFFFF"/>
                <w:sz w:val="20"/>
              </w:rPr>
              <w:t>($440)</w:t>
            </w:r>
          </w:p>
        </w:tc>
        <w:tc>
          <w:tcPr>
            <w:tcW w:type="dxa" w:w="1007"/>
            <w:shd w:val="clear" w:color="auto" w:fill="1A56DB"/>
          </w:tcPr>
          <w:p>
            <w:pPr>
              <w:spacing w:before="60" w:after="60"/>
            </w:pPr>
            <w:r>
              <w:rPr>
                <w:b/>
                <w:color w:val="FFFFFF"/>
                <w:sz w:val="20"/>
              </w:rPr>
              <w:t>$2,576</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**$1,616**</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6</w:t>
            </w:r>
          </w:p>
        </w:tc>
        <w:tc>
          <w:tcPr>
            <w:tcW w:type="dxa" w:w="1007"/>
            <w:shd w:val="clear" w:color="auto" w:fill="1A56DB"/>
          </w:tcPr>
          <w:p>
            <w:pPr>
              <w:spacing w:before="60" w:after="60"/>
            </w:pPr>
            <w:r>
              <w:rPr>
                <w:b/>
                <w:color w:val="FFFFFF"/>
                <w:sz w:val="20"/>
              </w:rPr>
              <w:t>16</w:t>
            </w:r>
          </w:p>
        </w:tc>
        <w:tc>
          <w:tcPr>
            <w:tcW w:type="dxa" w:w="1007"/>
            <w:shd w:val="clear" w:color="auto" w:fill="1A56DB"/>
          </w:tcPr>
          <w:p>
            <w:pPr>
              <w:spacing w:before="60" w:after="60"/>
            </w:pPr>
            <w:r>
              <w:rPr>
                <w:b/>
                <w:color w:val="FFFFFF"/>
                <w:sz w:val="20"/>
              </w:rPr>
              <w:t>80%</w:t>
            </w:r>
          </w:p>
        </w:tc>
        <w:tc>
          <w:tcPr>
            <w:tcW w:type="dxa" w:w="1007"/>
            <w:shd w:val="clear" w:color="auto" w:fill="1A56DB"/>
          </w:tcPr>
          <w:p>
            <w:pPr>
              <w:spacing w:before="60" w:after="60"/>
            </w:pPr>
            <w:r>
              <w:rPr>
                <w:b/>
                <w:color w:val="FFFFFF"/>
                <w:sz w:val="20"/>
              </w:rPr>
              <w:t>$17,233</w:t>
            </w:r>
          </w:p>
        </w:tc>
        <w:tc>
          <w:tcPr>
            <w:tcW w:type="dxa" w:w="1007"/>
            <w:shd w:val="clear" w:color="auto" w:fill="1A56DB"/>
          </w:tcPr>
          <w:p>
            <w:pPr>
              <w:spacing w:before="60" w:after="60"/>
            </w:pPr>
            <w:r>
              <w:rPr>
                <w:b/>
                <w:color w:val="FFFFFF"/>
                <w:sz w:val="20"/>
              </w:rPr>
              <w:t>$3,447</w:t>
            </w:r>
          </w:p>
        </w:tc>
        <w:tc>
          <w:tcPr>
            <w:tcW w:type="dxa" w:w="1007"/>
            <w:shd w:val="clear" w:color="auto" w:fill="1A56DB"/>
          </w:tcPr>
          <w:p>
            <w:pPr>
              <w:spacing w:before="60" w:after="60"/>
            </w:pPr>
            <w:r>
              <w:rPr>
                <w:b/>
                <w:color w:val="FFFFFF"/>
                <w:sz w:val="20"/>
              </w:rPr>
              <w:t>($500)</w:t>
            </w:r>
          </w:p>
        </w:tc>
        <w:tc>
          <w:tcPr>
            <w:tcW w:type="dxa" w:w="1007"/>
            <w:shd w:val="clear" w:color="auto" w:fill="1A56DB"/>
          </w:tcPr>
          <w:p>
            <w:pPr>
              <w:spacing w:before="60" w:after="60"/>
            </w:pPr>
            <w:r>
              <w:rPr>
                <w:b/>
                <w:color w:val="FFFFFF"/>
                <w:sz w:val="20"/>
              </w:rPr>
              <w:t>$2,947</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**$1,987**</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7</w:t>
            </w:r>
          </w:p>
        </w:tc>
        <w:tc>
          <w:tcPr>
            <w:tcW w:type="dxa" w:w="1007"/>
            <w:shd w:val="clear" w:color="auto" w:fill="1A56DB"/>
          </w:tcPr>
          <w:p>
            <w:pPr>
              <w:spacing w:before="60" w:after="60"/>
            </w:pPr>
            <w:r>
              <w:rPr>
                <w:b/>
                <w:color w:val="FFFFFF"/>
                <w:sz w:val="20"/>
              </w:rPr>
              <w:t>18</w:t>
            </w:r>
          </w:p>
        </w:tc>
        <w:tc>
          <w:tcPr>
            <w:tcW w:type="dxa" w:w="1007"/>
            <w:shd w:val="clear" w:color="auto" w:fill="1A56DB"/>
          </w:tcPr>
          <w:p>
            <w:pPr>
              <w:spacing w:before="60" w:after="60"/>
            </w:pPr>
            <w:r>
              <w:rPr>
                <w:b/>
                <w:color w:val="FFFFFF"/>
                <w:sz w:val="20"/>
              </w:rPr>
              <w:t>85%</w:t>
            </w:r>
          </w:p>
        </w:tc>
        <w:tc>
          <w:tcPr>
            <w:tcW w:type="dxa" w:w="1007"/>
            <w:shd w:val="clear" w:color="auto" w:fill="1A56DB"/>
          </w:tcPr>
          <w:p>
            <w:pPr>
              <w:spacing w:before="60" w:after="60"/>
            </w:pPr>
            <w:r>
              <w:rPr>
                <w:b/>
                <w:color w:val="FFFFFF"/>
                <w:sz w:val="20"/>
              </w:rPr>
              <w:t>$20,657</w:t>
            </w:r>
          </w:p>
        </w:tc>
        <w:tc>
          <w:tcPr>
            <w:tcW w:type="dxa" w:w="1007"/>
            <w:shd w:val="clear" w:color="auto" w:fill="1A56DB"/>
          </w:tcPr>
          <w:p>
            <w:pPr>
              <w:spacing w:before="60" w:after="60"/>
            </w:pPr>
            <w:r>
              <w:rPr>
                <w:b/>
                <w:color w:val="FFFFFF"/>
                <w:sz w:val="20"/>
              </w:rPr>
              <w:t>$4,131</w:t>
            </w:r>
          </w:p>
        </w:tc>
        <w:tc>
          <w:tcPr>
            <w:tcW w:type="dxa" w:w="1007"/>
            <w:shd w:val="clear" w:color="auto" w:fill="1A56DB"/>
          </w:tcPr>
          <w:p>
            <w:pPr>
              <w:spacing w:before="60" w:after="60"/>
            </w:pPr>
            <w:r>
              <w:rPr>
                <w:b/>
                <w:color w:val="FFFFFF"/>
                <w:sz w:val="20"/>
              </w:rPr>
              <w:t>($600)</w:t>
            </w:r>
          </w:p>
        </w:tc>
        <w:tc>
          <w:tcPr>
            <w:tcW w:type="dxa" w:w="1007"/>
            <w:shd w:val="clear" w:color="auto" w:fill="1A56DB"/>
          </w:tcPr>
          <w:p>
            <w:pPr>
              <w:spacing w:before="60" w:after="60"/>
            </w:pPr>
            <w:r>
              <w:rPr>
                <w:b/>
                <w:color w:val="FFFFFF"/>
                <w:sz w:val="20"/>
              </w:rPr>
              <w:t>$3,531</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**$2,571**</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8</w:t>
            </w:r>
          </w:p>
        </w:tc>
        <w:tc>
          <w:tcPr>
            <w:tcW w:type="dxa" w:w="1007"/>
            <w:shd w:val="clear" w:color="auto" w:fill="1A56DB"/>
          </w:tcPr>
          <w:p>
            <w:pPr>
              <w:spacing w:before="60" w:after="60"/>
            </w:pPr>
            <w:r>
              <w:rPr>
                <w:b/>
                <w:color w:val="FFFFFF"/>
                <w:sz w:val="20"/>
              </w:rPr>
              <w:t>20</w:t>
            </w:r>
          </w:p>
        </w:tc>
        <w:tc>
          <w:tcPr>
            <w:tcW w:type="dxa" w:w="1007"/>
            <w:shd w:val="clear" w:color="auto" w:fill="1A56DB"/>
          </w:tcPr>
          <w:p>
            <w:pPr>
              <w:spacing w:before="60" w:after="60"/>
            </w:pPr>
            <w:r>
              <w:rPr>
                <w:b/>
                <w:color w:val="FFFFFF"/>
                <w:sz w:val="20"/>
              </w:rPr>
              <w:t>85%</w:t>
            </w:r>
          </w:p>
        </w:tc>
        <w:tc>
          <w:tcPr>
            <w:tcW w:type="dxa" w:w="1007"/>
            <w:shd w:val="clear" w:color="auto" w:fill="1A56DB"/>
          </w:tcPr>
          <w:p>
            <w:pPr>
              <w:spacing w:before="60" w:after="60"/>
            </w:pPr>
            <w:r>
              <w:rPr>
                <w:b/>
                <w:color w:val="FFFFFF"/>
                <w:sz w:val="20"/>
              </w:rPr>
              <w:t>$22,952</w:t>
            </w:r>
          </w:p>
        </w:tc>
        <w:tc>
          <w:tcPr>
            <w:tcW w:type="dxa" w:w="1007"/>
            <w:shd w:val="clear" w:color="auto" w:fill="1A56DB"/>
          </w:tcPr>
          <w:p>
            <w:pPr>
              <w:spacing w:before="60" w:after="60"/>
            </w:pPr>
            <w:r>
              <w:rPr>
                <w:b/>
                <w:color w:val="FFFFFF"/>
                <w:sz w:val="20"/>
              </w:rPr>
              <w:t>$4,590</w:t>
            </w:r>
          </w:p>
        </w:tc>
        <w:tc>
          <w:tcPr>
            <w:tcW w:type="dxa" w:w="1007"/>
            <w:shd w:val="clear" w:color="auto" w:fill="1A56DB"/>
          </w:tcPr>
          <w:p>
            <w:pPr>
              <w:spacing w:before="60" w:after="60"/>
            </w:pPr>
            <w:r>
              <w:rPr>
                <w:b/>
                <w:color w:val="FFFFFF"/>
                <w:sz w:val="20"/>
              </w:rPr>
              <w:t>($670)</w:t>
            </w:r>
          </w:p>
        </w:tc>
        <w:tc>
          <w:tcPr>
            <w:tcW w:type="dxa" w:w="1007"/>
            <w:shd w:val="clear" w:color="auto" w:fill="1A56DB"/>
          </w:tcPr>
          <w:p>
            <w:pPr>
              <w:spacing w:before="60" w:after="60"/>
            </w:pPr>
            <w:r>
              <w:rPr>
                <w:b/>
                <w:color w:val="FFFFFF"/>
                <w:sz w:val="20"/>
              </w:rPr>
              <w:t>$3,920</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**$2,960**</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9</w:t>
            </w:r>
          </w:p>
        </w:tc>
        <w:tc>
          <w:tcPr>
            <w:tcW w:type="dxa" w:w="1007"/>
            <w:shd w:val="clear" w:color="auto" w:fill="1A56DB"/>
          </w:tcPr>
          <w:p>
            <w:pPr>
              <w:spacing w:before="60" w:after="60"/>
            </w:pPr>
            <w:r>
              <w:rPr>
                <w:b/>
                <w:color w:val="FFFFFF"/>
                <w:sz w:val="20"/>
              </w:rPr>
              <w:t>25</w:t>
            </w:r>
          </w:p>
        </w:tc>
        <w:tc>
          <w:tcPr>
            <w:tcW w:type="dxa" w:w="1007"/>
            <w:shd w:val="clear" w:color="auto" w:fill="1A56DB"/>
          </w:tcPr>
          <w:p>
            <w:pPr>
              <w:spacing w:before="60" w:after="60"/>
            </w:pPr>
            <w:r>
              <w:rPr>
                <w:b/>
                <w:color w:val="FFFFFF"/>
                <w:sz w:val="20"/>
              </w:rPr>
              <w:t>85%</w:t>
            </w:r>
          </w:p>
        </w:tc>
        <w:tc>
          <w:tcPr>
            <w:tcW w:type="dxa" w:w="1007"/>
            <w:shd w:val="clear" w:color="auto" w:fill="1A56DB"/>
          </w:tcPr>
          <w:p>
            <w:pPr>
              <w:spacing w:before="60" w:after="60"/>
            </w:pPr>
            <w:r>
              <w:rPr>
                <w:b/>
                <w:color w:val="FFFFFF"/>
                <w:sz w:val="20"/>
              </w:rPr>
              <w:t>$28,690</w:t>
            </w:r>
          </w:p>
        </w:tc>
        <w:tc>
          <w:tcPr>
            <w:tcW w:type="dxa" w:w="1007"/>
            <w:shd w:val="clear" w:color="auto" w:fill="1A56DB"/>
          </w:tcPr>
          <w:p>
            <w:pPr>
              <w:spacing w:before="60" w:after="60"/>
            </w:pPr>
            <w:r>
              <w:rPr>
                <w:b/>
                <w:color w:val="FFFFFF"/>
                <w:sz w:val="20"/>
              </w:rPr>
              <w:t>$5,738</w:t>
            </w:r>
          </w:p>
        </w:tc>
        <w:tc>
          <w:tcPr>
            <w:tcW w:type="dxa" w:w="1007"/>
            <w:shd w:val="clear" w:color="auto" w:fill="1A56DB"/>
          </w:tcPr>
          <w:p>
            <w:pPr>
              <w:spacing w:before="60" w:after="60"/>
            </w:pPr>
            <w:r>
              <w:rPr>
                <w:b/>
                <w:color w:val="FFFFFF"/>
                <w:sz w:val="20"/>
              </w:rPr>
              <w:t>($835)</w:t>
            </w:r>
          </w:p>
        </w:tc>
        <w:tc>
          <w:tcPr>
            <w:tcW w:type="dxa" w:w="1007"/>
            <w:shd w:val="clear" w:color="auto" w:fill="1A56DB"/>
          </w:tcPr>
          <w:p>
            <w:pPr>
              <w:spacing w:before="60" w:after="60"/>
            </w:pPr>
            <w:r>
              <w:rPr>
                <w:b/>
                <w:color w:val="FFFFFF"/>
                <w:sz w:val="20"/>
              </w:rPr>
              <w:t>$4,903</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**$3,943**</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10</w:t>
            </w:r>
          </w:p>
        </w:tc>
        <w:tc>
          <w:tcPr>
            <w:tcW w:type="dxa" w:w="1007"/>
            <w:shd w:val="clear" w:color="auto" w:fill="1A56DB"/>
          </w:tcPr>
          <w:p>
            <w:pPr>
              <w:spacing w:before="60" w:after="60"/>
            </w:pPr>
            <w:r>
              <w:rPr>
                <w:b/>
                <w:color w:val="FFFFFF"/>
                <w:sz w:val="20"/>
              </w:rPr>
              <w:t>30</w:t>
            </w:r>
          </w:p>
        </w:tc>
        <w:tc>
          <w:tcPr>
            <w:tcW w:type="dxa" w:w="1007"/>
            <w:shd w:val="clear" w:color="auto" w:fill="1A56DB"/>
          </w:tcPr>
          <w:p>
            <w:pPr>
              <w:spacing w:before="60" w:after="60"/>
            </w:pPr>
            <w:r>
              <w:rPr>
                <w:b/>
                <w:color w:val="FFFFFF"/>
                <w:sz w:val="20"/>
              </w:rPr>
              <w:t>85%</w:t>
            </w:r>
          </w:p>
        </w:tc>
        <w:tc>
          <w:tcPr>
            <w:tcW w:type="dxa" w:w="1007"/>
            <w:shd w:val="clear" w:color="auto" w:fill="1A56DB"/>
          </w:tcPr>
          <w:p>
            <w:pPr>
              <w:spacing w:before="60" w:after="60"/>
            </w:pPr>
            <w:r>
              <w:rPr>
                <w:b/>
                <w:color w:val="FFFFFF"/>
                <w:sz w:val="20"/>
              </w:rPr>
              <w:t>$34,428</w:t>
            </w:r>
          </w:p>
        </w:tc>
        <w:tc>
          <w:tcPr>
            <w:tcW w:type="dxa" w:w="1007"/>
            <w:shd w:val="clear" w:color="auto" w:fill="1A56DB"/>
          </w:tcPr>
          <w:p>
            <w:pPr>
              <w:spacing w:before="60" w:after="60"/>
            </w:pPr>
            <w:r>
              <w:rPr>
                <w:b/>
                <w:color w:val="FFFFFF"/>
                <w:sz w:val="20"/>
              </w:rPr>
              <w:t>$6,886</w:t>
            </w:r>
          </w:p>
        </w:tc>
        <w:tc>
          <w:tcPr>
            <w:tcW w:type="dxa" w:w="1007"/>
            <w:shd w:val="clear" w:color="auto" w:fill="1A56DB"/>
          </w:tcPr>
          <w:p>
            <w:pPr>
              <w:spacing w:before="60" w:after="60"/>
            </w:pPr>
            <w:r>
              <w:rPr>
                <w:b/>
                <w:color w:val="FFFFFF"/>
                <w:sz w:val="20"/>
              </w:rPr>
              <w:t>($1,000)</w:t>
            </w:r>
          </w:p>
        </w:tc>
        <w:tc>
          <w:tcPr>
            <w:tcW w:type="dxa" w:w="1007"/>
            <w:shd w:val="clear" w:color="auto" w:fill="1A56DB"/>
          </w:tcPr>
          <w:p>
            <w:pPr>
              <w:spacing w:before="60" w:after="60"/>
            </w:pPr>
            <w:r>
              <w:rPr>
                <w:b/>
                <w:color w:val="FFFFFF"/>
                <w:sz w:val="20"/>
              </w:rPr>
              <w:t>$5,886</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**$4,926**</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11</w:t>
            </w:r>
          </w:p>
        </w:tc>
        <w:tc>
          <w:tcPr>
            <w:tcW w:type="dxa" w:w="1007"/>
            <w:shd w:val="clear" w:color="auto" w:fill="1A56DB"/>
          </w:tcPr>
          <w:p>
            <w:pPr>
              <w:spacing w:before="60" w:after="60"/>
            </w:pPr>
            <w:r>
              <w:rPr>
                <w:b/>
                <w:color w:val="FFFFFF"/>
                <w:sz w:val="20"/>
              </w:rPr>
              <w:t>35</w:t>
            </w:r>
          </w:p>
        </w:tc>
        <w:tc>
          <w:tcPr>
            <w:tcW w:type="dxa" w:w="1007"/>
            <w:shd w:val="clear" w:color="auto" w:fill="1A56DB"/>
          </w:tcPr>
          <w:p>
            <w:pPr>
              <w:spacing w:before="60" w:after="60"/>
            </w:pPr>
            <w:r>
              <w:rPr>
                <w:b/>
                <w:color w:val="FFFFFF"/>
                <w:sz w:val="20"/>
              </w:rPr>
              <w:t>85%</w:t>
            </w:r>
          </w:p>
        </w:tc>
        <w:tc>
          <w:tcPr>
            <w:tcW w:type="dxa" w:w="1007"/>
            <w:shd w:val="clear" w:color="auto" w:fill="1A56DB"/>
          </w:tcPr>
          <w:p>
            <w:pPr>
              <w:spacing w:before="60" w:after="60"/>
            </w:pPr>
            <w:r>
              <w:rPr>
                <w:b/>
                <w:color w:val="FFFFFF"/>
                <w:sz w:val="20"/>
              </w:rPr>
              <w:t>$40,166</w:t>
            </w:r>
          </w:p>
        </w:tc>
        <w:tc>
          <w:tcPr>
            <w:tcW w:type="dxa" w:w="1007"/>
            <w:shd w:val="clear" w:color="auto" w:fill="1A56DB"/>
          </w:tcPr>
          <w:p>
            <w:pPr>
              <w:spacing w:before="60" w:after="60"/>
            </w:pPr>
            <w:r>
              <w:rPr>
                <w:b/>
                <w:color w:val="FFFFFF"/>
                <w:sz w:val="20"/>
              </w:rPr>
              <w:t>$8,033</w:t>
            </w:r>
          </w:p>
        </w:tc>
        <w:tc>
          <w:tcPr>
            <w:tcW w:type="dxa" w:w="1007"/>
            <w:shd w:val="clear" w:color="auto" w:fill="1A56DB"/>
          </w:tcPr>
          <w:p>
            <w:pPr>
              <w:spacing w:before="60" w:after="60"/>
            </w:pPr>
            <w:r>
              <w:rPr>
                <w:b/>
                <w:color w:val="FFFFFF"/>
                <w:sz w:val="20"/>
              </w:rPr>
              <w:t>($1,170)</w:t>
            </w:r>
          </w:p>
        </w:tc>
        <w:tc>
          <w:tcPr>
            <w:tcW w:type="dxa" w:w="1007"/>
            <w:shd w:val="clear" w:color="auto" w:fill="1A56DB"/>
          </w:tcPr>
          <w:p>
            <w:pPr>
              <w:spacing w:before="60" w:after="60"/>
            </w:pPr>
            <w:r>
              <w:rPr>
                <w:b/>
                <w:color w:val="FFFFFF"/>
                <w:sz w:val="20"/>
              </w:rPr>
              <w:t>$6,863</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**$5,903**</w:t>
            </w:r>
          </w:p>
        </w:tc>
      </w:tr>
    </w:tbl>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A56DB"/>
          </w:tcPr>
          <w:p>
            <w:pPr>
              <w:spacing w:before="60" w:after="60"/>
            </w:pPr>
            <w:r>
              <w:rPr>
                <w:b/>
                <w:color w:val="FFFFFF"/>
                <w:sz w:val="20"/>
              </w:rPr>
              <w:t>12</w:t>
            </w:r>
          </w:p>
        </w:tc>
        <w:tc>
          <w:tcPr>
            <w:tcW w:type="dxa" w:w="1007"/>
            <w:shd w:val="clear" w:color="auto" w:fill="1A56DB"/>
          </w:tcPr>
          <w:p>
            <w:pPr>
              <w:spacing w:before="60" w:after="60"/>
            </w:pPr>
            <w:r>
              <w:rPr>
                <w:b/>
                <w:color w:val="FFFFFF"/>
                <w:sz w:val="20"/>
              </w:rPr>
              <w:t>35</w:t>
            </w:r>
          </w:p>
        </w:tc>
        <w:tc>
          <w:tcPr>
            <w:tcW w:type="dxa" w:w="1007"/>
            <w:shd w:val="clear" w:color="auto" w:fill="1A56DB"/>
          </w:tcPr>
          <w:p>
            <w:pPr>
              <w:spacing w:before="60" w:after="60"/>
            </w:pPr>
            <w:r>
              <w:rPr>
                <w:b/>
                <w:color w:val="FFFFFF"/>
                <w:sz w:val="20"/>
              </w:rPr>
              <w:t>85%</w:t>
            </w:r>
          </w:p>
        </w:tc>
        <w:tc>
          <w:tcPr>
            <w:tcW w:type="dxa" w:w="1007"/>
            <w:shd w:val="clear" w:color="auto" w:fill="1A56DB"/>
          </w:tcPr>
          <w:p>
            <w:pPr>
              <w:spacing w:before="60" w:after="60"/>
            </w:pPr>
            <w:r>
              <w:rPr>
                <w:b/>
                <w:color w:val="FFFFFF"/>
                <w:sz w:val="20"/>
              </w:rPr>
              <w:t>$40,166</w:t>
            </w:r>
          </w:p>
        </w:tc>
        <w:tc>
          <w:tcPr>
            <w:tcW w:type="dxa" w:w="1007"/>
            <w:shd w:val="clear" w:color="auto" w:fill="1A56DB"/>
          </w:tcPr>
          <w:p>
            <w:pPr>
              <w:spacing w:before="60" w:after="60"/>
            </w:pPr>
            <w:r>
              <w:rPr>
                <w:b/>
                <w:color w:val="FFFFFF"/>
                <w:sz w:val="20"/>
              </w:rPr>
              <w:t>$8,033</w:t>
            </w:r>
          </w:p>
        </w:tc>
        <w:tc>
          <w:tcPr>
            <w:tcW w:type="dxa" w:w="1007"/>
            <w:shd w:val="clear" w:color="auto" w:fill="1A56DB"/>
          </w:tcPr>
          <w:p>
            <w:pPr>
              <w:spacing w:before="60" w:after="60"/>
            </w:pPr>
            <w:r>
              <w:rPr>
                <w:b/>
                <w:color w:val="FFFFFF"/>
                <w:sz w:val="20"/>
              </w:rPr>
              <w:t>($1,170)</w:t>
            </w:r>
          </w:p>
        </w:tc>
        <w:tc>
          <w:tcPr>
            <w:tcW w:type="dxa" w:w="1007"/>
            <w:shd w:val="clear" w:color="auto" w:fill="1A56DB"/>
          </w:tcPr>
          <w:p>
            <w:pPr>
              <w:spacing w:before="60" w:after="60"/>
            </w:pPr>
            <w:r>
              <w:rPr>
                <w:b/>
                <w:color w:val="FFFFFF"/>
                <w:sz w:val="20"/>
              </w:rPr>
              <w:t>$6,863</w:t>
            </w:r>
          </w:p>
        </w:tc>
        <w:tc>
          <w:tcPr>
            <w:tcW w:type="dxa" w:w="1007"/>
            <w:shd w:val="clear" w:color="auto" w:fill="1A56DB"/>
          </w:tcPr>
          <w:p>
            <w:pPr>
              <w:spacing w:before="60" w:after="60"/>
            </w:pPr>
            <w:r>
              <w:rPr>
                <w:b/>
                <w:color w:val="FFFFFF"/>
                <w:sz w:val="20"/>
              </w:rPr>
              <w:t>($960)</w:t>
            </w:r>
          </w:p>
        </w:tc>
        <w:tc>
          <w:tcPr>
            <w:tcW w:type="dxa" w:w="1007"/>
            <w:shd w:val="clear" w:color="auto" w:fill="1A56DB"/>
          </w:tcPr>
          <w:p>
            <w:pPr>
              <w:spacing w:before="60" w:after="60"/>
            </w:pPr>
            <w:r>
              <w:rPr>
                <w:b/>
                <w:color w:val="FFFFFF"/>
                <w:sz w:val="20"/>
              </w:rPr>
              <w:t>**$5,903**</w:t>
            </w:r>
          </w:p>
        </w:tc>
      </w:tr>
    </w:tbl>
    <w:p/>
    <w:p>
      <w:pPr>
        <w:spacing w:before="40" w:after="80"/>
      </w:pPr>
      <w:r>
        <w:rPr>
          <w:b/>
          <w:i w:val="0"/>
          <w:color w:val="111827"/>
          <w:sz w:val="22"/>
        </w:rPr>
        <w:t>Year 1 Totals:</w:t>
      </w:r>
    </w:p>
    <w:p>
      <w:pPr>
        <w:pStyle w:val="ListBullet"/>
        <w:spacing w:before="20" w:after="20"/>
        <w:ind w:left="283"/>
      </w:pPr>
      <w:r>
        <w:rPr>
          <w:b w:val="0"/>
          <w:i w:val="0"/>
          <w:color w:val="111827"/>
          <w:sz w:val="22"/>
        </w:rPr>
        <w:t>Total Gross Rental Volume: ~$251,000</w:t>
      </w:r>
    </w:p>
    <w:p>
      <w:pPr>
        <w:pStyle w:val="ListBullet"/>
        <w:spacing w:before="20" w:after="20"/>
        <w:ind w:left="283"/>
      </w:pPr>
      <w:r>
        <w:rPr>
          <w:b w:val="0"/>
          <w:i w:val="0"/>
          <w:color w:val="111827"/>
          <w:sz w:val="22"/>
        </w:rPr>
        <w:t>Total Platform Revenue: ~$50,300</w:t>
      </w:r>
    </w:p>
    <w:p>
      <w:pPr>
        <w:pStyle w:val="ListBullet"/>
        <w:spacing w:before="20" w:after="20"/>
        <w:ind w:left="283"/>
      </w:pPr>
      <w:r>
        <w:rPr>
          <w:b w:val="0"/>
          <w:i w:val="0"/>
          <w:color w:val="111827"/>
          <w:sz w:val="22"/>
        </w:rPr>
        <w:t>Total Stripe Fees: (~$7,325)</w:t>
      </w:r>
    </w:p>
    <w:p>
      <w:pPr>
        <w:pStyle w:val="ListBullet"/>
        <w:spacing w:before="20" w:after="20"/>
        <w:ind w:left="283"/>
      </w:pPr>
      <w:r>
        <w:rPr>
          <w:b w:val="0"/>
          <w:i w:val="0"/>
          <w:color w:val="111827"/>
          <w:sz w:val="22"/>
        </w:rPr>
        <w:t>Total Fixed Costs: (~$11,520)</w:t>
      </w:r>
    </w:p>
    <w:p>
      <w:pPr>
        <w:pStyle w:val="ListBullet"/>
        <w:spacing w:before="20" w:after="20"/>
        <w:ind w:left="283"/>
      </w:pPr>
      <w:r>
        <w:rPr>
          <w:b/>
          <w:i w:val="0"/>
          <w:color w:val="111827"/>
          <w:sz w:val="22"/>
        </w:rPr>
        <w:t>Net Profit Year 1: ~$31,455</w:t>
      </w:r>
    </w:p>
    <w:p>
      <w:pPr>
        <w:pStyle w:val="ListBullet"/>
        <w:spacing w:before="20" w:after="20"/>
        <w:ind w:left="283"/>
      </w:pPr>
      <w:r>
        <w:rPr>
          <w:b w:val="0"/>
          <w:i w:val="0"/>
          <w:color w:val="111827"/>
          <w:sz w:val="22"/>
        </w:rPr>
        <w:t>Corporate tax at ~12.2% on net: ~$3,840</w:t>
      </w:r>
    </w:p>
    <w:p>
      <w:pPr>
        <w:pStyle w:val="ListBullet"/>
        <w:spacing w:before="20" w:after="20"/>
        <w:ind w:left="283"/>
      </w:pPr>
      <w:r>
        <w:rPr>
          <w:b/>
          <w:i w:val="0"/>
          <w:color w:val="111827"/>
          <w:sz w:val="22"/>
        </w:rPr>
        <w:t>After-tax net Year 1: ~$27,615</w:t>
      </w:r>
    </w:p>
    <w:p>
      <w:pPr>
        <w:spacing w:before="40" w:after="80"/>
      </w:pPr>
      <w:r>
        <w:rPr>
          <w:b/>
          <w:i w:val="0"/>
          <w:color w:val="111827"/>
          <w:sz w:val="22"/>
        </w:rPr>
        <w:t>Month 1 is expected to be a loss ($444) — this is healthy and expected for a marketplace cold-start. Month 2 breakeven aligns with the business plan's "first 30 days" target if host acquisition proceeds on plan.</w:t>
      </w:r>
    </w:p>
    <w:p>
      <w:pPr>
        <w:spacing w:before="40" w:after="80"/>
      </w:pPr>
      <w:r>
        <w:rPr>
          <w:b/>
          <w:i w:val="0"/>
          <w:color w:val="111827"/>
          <w:sz w:val="22"/>
        </w:rPr>
        <w:t>Key sensitivities:</w:t>
      </w:r>
    </w:p>
    <w:p>
      <w:pPr>
        <w:pStyle w:val="ListBullet"/>
        <w:spacing w:before="20" w:after="20"/>
        <w:ind w:left="283"/>
      </w:pPr>
      <w:r>
        <w:rPr>
          <w:b w:val="0"/>
          <w:i w:val="0"/>
          <w:color w:val="111827"/>
          <w:sz w:val="22"/>
        </w:rPr>
        <w:t>If utilization is 70% instead of 75% in months 1–3: loss in months 1–2 deepens by ~$200/month</w:t>
      </w:r>
    </w:p>
    <w:p>
      <w:pPr>
        <w:pStyle w:val="ListBullet"/>
        <w:spacing w:before="20" w:after="20"/>
        <w:ind w:left="283"/>
      </w:pPr>
      <w:r>
        <w:rPr>
          <w:b w:val="0"/>
          <w:i w:val="0"/>
          <w:color w:val="111827"/>
          <w:sz w:val="22"/>
        </w:rPr>
        <w:t>If host rate averages $280 instead of $310: revenue drops ~10% across the board</w:t>
      </w:r>
    </w:p>
    <w:p>
      <w:pPr>
        <w:pStyle w:val="ListBullet"/>
        <w:spacing w:before="20" w:after="20"/>
        <w:ind w:left="283"/>
      </w:pPr>
      <w:r>
        <w:rPr>
          <w:b w:val="0"/>
          <w:i w:val="0"/>
          <w:color w:val="111827"/>
          <w:sz w:val="22"/>
        </w:rPr>
        <w:t>If fixed costs run at the high end ($1,200/month): breakeven pushes to Month 3</w:t>
      </w:r>
    </w:p>
    <w:p>
      <w:pPr>
        <w:spacing w:before="40" w:after="80"/>
      </w:pPr>
      <w:r>
        <w:rPr>
          <w:b/>
          <w:i w:val="0"/>
          <w:color w:val="111827"/>
          <w:sz w:val="22"/>
        </w:rPr>
        <w:t>[CPA REQUIRED] Use this model as a planning tool. Have your CPA review once you have 2–3 months of actual data and rebuild the forecast from actuals.</w:t>
      </w:r>
    </w:p>
    <w:p>
      <w:pPr>
        <w:pStyle w:val="Heading2"/>
        <w:spacing w:before="280" w:after="80"/>
      </w:pPr>
      <w:r>
        <w:rPr>
          <w:b/>
          <w:color w:val="1A56DB"/>
          <w:sz w:val="32"/>
        </w:rPr>
        <w:t>9. Bookkeeping Setup Recommendations</w:t>
      </w:r>
    </w:p>
    <w:p>
      <w:pPr>
        <w:pStyle w:val="Heading3"/>
        <w:spacing w:before="160" w:after="40"/>
      </w:pPr>
      <w:r>
        <w:rPr>
          <w:b/>
          <w:color w:val="1A56DB"/>
          <w:sz w:val="26"/>
        </w:rPr>
        <w:t>Is Wave Accounting Appropriate?</w:t>
      </w:r>
    </w:p>
    <w:p>
      <w:pPr>
        <w:spacing w:before="40" w:after="80"/>
      </w:pPr>
      <w:r>
        <w:rPr>
          <w:b/>
          <w:i w:val="0"/>
          <w:color w:val="111827"/>
          <w:sz w:val="22"/>
        </w:rPr>
        <w:t>Short answer: Wave works at launch, but has meaningful limitations for a marketplace.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Feature</w:t>
            </w:r>
          </w:p>
        </w:tc>
        <w:tc>
          <w:tcPr>
            <w:tcW w:type="dxa" w:w="3022"/>
            <w:shd w:val="clear" w:color="auto" w:fill="1A56DB"/>
          </w:tcPr>
          <w:p>
            <w:pPr>
              <w:spacing w:before="60" w:after="60"/>
            </w:pPr>
            <w:r>
              <w:rPr>
                <w:b/>
                <w:color w:val="FFFFFF"/>
                <w:sz w:val="20"/>
              </w:rPr>
              <w:t>Wave (Free)</w:t>
            </w:r>
          </w:p>
        </w:tc>
        <w:tc>
          <w:tcPr>
            <w:tcW w:type="dxa" w:w="3022"/>
            <w:shd w:val="clear" w:color="auto" w:fill="1A56DB"/>
          </w:tcPr>
          <w:p>
            <w:pPr>
              <w:spacing w:before="60" w:after="60"/>
            </w:pPr>
            <w:r>
              <w:rPr>
                <w:b/>
                <w:color w:val="FFFFFF"/>
                <w:sz w:val="20"/>
              </w:rPr>
              <w:t>Assessment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Basic income/expense tracking</w:t>
            </w:r>
          </w:p>
        </w:tc>
        <w:tc>
          <w:tcPr>
            <w:tcW w:type="dxa" w:w="3022"/>
            <w:shd w:val="clear" w:color="auto" w:fill="1A56DB"/>
          </w:tcPr>
          <w:p>
            <w:pPr>
              <w:spacing w:before="60" w:after="60"/>
            </w:pPr>
            <w:r>
              <w:rPr>
                <w:b/>
                <w:color w:val="FFFFFF"/>
                <w:sz w:val="20"/>
              </w:rPr>
              <w:t>Yes</w:t>
            </w:r>
          </w:p>
        </w:tc>
        <w:tc>
          <w:tcPr>
            <w:tcW w:type="dxa" w:w="3022"/>
            <w:shd w:val="clear" w:color="auto" w:fill="1A56DB"/>
          </w:tcPr>
          <w:p>
            <w:pPr>
              <w:spacing w:before="60" w:after="60"/>
            </w:pPr>
            <w:r>
              <w:rPr>
                <w:b/>
                <w:color w:val="FFFFFF"/>
                <w:sz w:val="20"/>
              </w:rPr>
              <w:t>Adequate at launch</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HST tracking and reporting</w:t>
            </w:r>
          </w:p>
        </w:tc>
        <w:tc>
          <w:tcPr>
            <w:tcW w:type="dxa" w:w="3022"/>
            <w:shd w:val="clear" w:color="auto" w:fill="1A56DB"/>
          </w:tcPr>
          <w:p>
            <w:pPr>
              <w:spacing w:before="60" w:after="60"/>
            </w:pPr>
            <w:r>
              <w:rPr>
                <w:b/>
                <w:color w:val="FFFFFF"/>
                <w:sz w:val="20"/>
              </w:rPr>
              <w:t>Basic</w:t>
            </w:r>
          </w:p>
        </w:tc>
        <w:tc>
          <w:tcPr>
            <w:tcW w:type="dxa" w:w="3022"/>
            <w:shd w:val="clear" w:color="auto" w:fill="1A56DB"/>
          </w:tcPr>
          <w:p>
            <w:pPr>
              <w:spacing w:before="60" w:after="60"/>
            </w:pPr>
            <w:r>
              <w:rPr>
                <w:b/>
                <w:color w:val="FFFFFF"/>
                <w:sz w:val="20"/>
              </w:rPr>
              <w:t>Requires manual discipline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Stripe Connect integration</w:t>
            </w:r>
          </w:p>
        </w:tc>
        <w:tc>
          <w:tcPr>
            <w:tcW w:type="dxa" w:w="3022"/>
            <w:shd w:val="clear" w:color="auto" w:fill="1A56DB"/>
          </w:tcPr>
          <w:p>
            <w:pPr>
              <w:spacing w:before="60" w:after="60"/>
            </w:pPr>
            <w:r>
              <w:rPr>
                <w:b/>
                <w:color w:val="FFFFFF"/>
                <w:sz w:val="20"/>
              </w:rPr>
              <w:t>Limited — manual import</w:t>
            </w:r>
          </w:p>
        </w:tc>
        <w:tc>
          <w:tcPr>
            <w:tcW w:type="dxa" w:w="3022"/>
            <w:shd w:val="clear" w:color="auto" w:fill="1A56DB"/>
          </w:tcPr>
          <w:p>
            <w:pPr>
              <w:spacing w:before="60" w:after="60"/>
            </w:pPr>
            <w:r>
              <w:rPr>
                <w:b/>
                <w:color w:val="FFFFFF"/>
                <w:sz w:val="20"/>
              </w:rPr>
              <w:t>Requires monthly CSV import from Stripe; error-prone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Multi-class/department tracking</w:t>
            </w:r>
          </w:p>
        </w:tc>
        <w:tc>
          <w:tcPr>
            <w:tcW w:type="dxa" w:w="3022"/>
            <w:shd w:val="clear" w:color="auto" w:fill="1A56DB"/>
          </w:tcPr>
          <w:p>
            <w:pPr>
              <w:spacing w:before="60" w:after="60"/>
            </w:pPr>
            <w:r>
              <w:rPr>
                <w:b/>
                <w:color w:val="FFFFFF"/>
                <w:sz w:val="20"/>
              </w:rPr>
              <w:t>No</w:t>
            </w:r>
          </w:p>
        </w:tc>
        <w:tc>
          <w:tcPr>
            <w:tcW w:type="dxa" w:w="3022"/>
            <w:shd w:val="clear" w:color="auto" w:fill="1A56DB"/>
          </w:tcPr>
          <w:p>
            <w:pPr>
              <w:spacing w:before="60" w:after="60"/>
            </w:pPr>
            <w:r>
              <w:rPr>
                <w:b/>
                <w:color w:val="FFFFFF"/>
                <w:sz w:val="20"/>
              </w:rPr>
              <w:t>Cannot separate Easy Drive from other GB Trade activity without workarounds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T4A preparation</w:t>
            </w:r>
          </w:p>
        </w:tc>
        <w:tc>
          <w:tcPr>
            <w:tcW w:type="dxa" w:w="3022"/>
            <w:shd w:val="clear" w:color="auto" w:fill="1A56DB"/>
          </w:tcPr>
          <w:p>
            <w:pPr>
              <w:spacing w:before="60" w:after="60"/>
            </w:pPr>
            <w:r>
              <w:rPr>
                <w:b/>
                <w:color w:val="FFFFFF"/>
                <w:sz w:val="20"/>
              </w:rPr>
              <w:t>No</w:t>
            </w:r>
          </w:p>
        </w:tc>
        <w:tc>
          <w:tcPr>
            <w:tcW w:type="dxa" w:w="3022"/>
            <w:shd w:val="clear" w:color="auto" w:fill="1A56DB"/>
          </w:tcPr>
          <w:p>
            <w:pPr>
              <w:spacing w:before="60" w:after="60"/>
            </w:pPr>
            <w:r>
              <w:rPr>
                <w:b/>
                <w:color w:val="FFFFFF"/>
                <w:sz w:val="20"/>
              </w:rPr>
              <w:t>Must be done manually or via separate CRA tools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Liability account tracking (deposits)</w:t>
            </w:r>
          </w:p>
        </w:tc>
        <w:tc>
          <w:tcPr>
            <w:tcW w:type="dxa" w:w="3022"/>
            <w:shd w:val="clear" w:color="auto" w:fill="1A56DB"/>
          </w:tcPr>
          <w:p>
            <w:pPr>
              <w:spacing w:before="60" w:after="60"/>
            </w:pPr>
            <w:r>
              <w:rPr>
                <w:b/>
                <w:color w:val="FFFFFF"/>
                <w:sz w:val="20"/>
              </w:rPr>
              <w:t>Yes, manually</w:t>
            </w:r>
          </w:p>
        </w:tc>
        <w:tc>
          <w:tcPr>
            <w:tcW w:type="dxa" w:w="3022"/>
            <w:shd w:val="clear" w:color="auto" w:fill="1A56DB"/>
          </w:tcPr>
          <w:p>
            <w:pPr>
              <w:spacing w:before="60" w:after="60"/>
            </w:pPr>
            <w:r>
              <w:rPr>
                <w:b/>
                <w:color w:val="FFFFFF"/>
                <w:sz w:val="20"/>
              </w:rPr>
              <w:t>Workable but requires discipline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Payroll (if you hire)</w:t>
            </w:r>
          </w:p>
        </w:tc>
        <w:tc>
          <w:tcPr>
            <w:tcW w:type="dxa" w:w="3022"/>
            <w:shd w:val="clear" w:color="auto" w:fill="1A56DB"/>
          </w:tcPr>
          <w:p>
            <w:pPr>
              <w:spacing w:before="60" w:after="60"/>
            </w:pPr>
            <w:r>
              <w:rPr>
                <w:b/>
                <w:color w:val="FFFFFF"/>
                <w:sz w:val="20"/>
              </w:rPr>
              <w:t>Wave Payroll (paid add-on)</w:t>
            </w:r>
          </w:p>
        </w:tc>
        <w:tc>
          <w:tcPr>
            <w:tcW w:type="dxa" w:w="3022"/>
            <w:shd w:val="clear" w:color="auto" w:fill="1A56DB"/>
          </w:tcPr>
          <w:p>
            <w:pPr>
              <w:spacing w:before="60" w:after="60"/>
            </w:pPr>
            <w:r>
              <w:rPr>
                <w:b/>
                <w:color w:val="FFFFFF"/>
                <w:sz w:val="20"/>
              </w:rPr>
              <w:t>$20/month + $6/employee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Bank reconciliation</w:t>
            </w:r>
          </w:p>
        </w:tc>
        <w:tc>
          <w:tcPr>
            <w:tcW w:type="dxa" w:w="3022"/>
            <w:shd w:val="clear" w:color="auto" w:fill="1A56DB"/>
          </w:tcPr>
          <w:p>
            <w:pPr>
              <w:spacing w:before="60" w:after="60"/>
            </w:pPr>
            <w:r>
              <w:rPr>
                <w:b/>
                <w:color w:val="FFFFFF"/>
                <w:sz w:val="20"/>
              </w:rPr>
              <w:t>Yes</w:t>
            </w:r>
          </w:p>
        </w:tc>
        <w:tc>
          <w:tcPr>
            <w:tcW w:type="dxa" w:w="3022"/>
            <w:shd w:val="clear" w:color="auto" w:fill="1A56DB"/>
          </w:tcPr>
          <w:p>
            <w:pPr>
              <w:spacing w:before="60" w:after="60"/>
            </w:pPr>
            <w:r>
              <w:rPr>
                <w:b/>
                <w:color w:val="FFFFFF"/>
                <w:sz w:val="20"/>
              </w:rPr>
              <w:t>Adequate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Accountant access</w:t>
            </w:r>
          </w:p>
        </w:tc>
        <w:tc>
          <w:tcPr>
            <w:tcW w:type="dxa" w:w="3022"/>
            <w:shd w:val="clear" w:color="auto" w:fill="1A56DB"/>
          </w:tcPr>
          <w:p>
            <w:pPr>
              <w:spacing w:before="60" w:after="60"/>
            </w:pPr>
            <w:r>
              <w:rPr>
                <w:b/>
                <w:color w:val="FFFFFF"/>
                <w:sz w:val="20"/>
              </w:rPr>
              <w:t>Yes</w:t>
            </w:r>
          </w:p>
        </w:tc>
        <w:tc>
          <w:tcPr>
            <w:tcW w:type="dxa" w:w="3022"/>
            <w:shd w:val="clear" w:color="auto" w:fill="1A56DB"/>
          </w:tcPr>
          <w:p>
            <w:pPr>
              <w:spacing w:before="60" w:after="60"/>
            </w:pPr>
            <w:r>
              <w:rPr>
                <w:b/>
                <w:color w:val="FFFFFF"/>
                <w:sz w:val="20"/>
              </w:rPr>
              <w:t>Good for CPA review</w:t>
            </w:r>
          </w:p>
        </w:tc>
      </w:tr>
    </w:tbl>
    <w:p/>
    <w:p>
      <w:pPr>
        <w:spacing w:before="40" w:after="80"/>
      </w:pPr>
      <w:r>
        <w:rPr>
          <w:b/>
          <w:i w:val="0"/>
          <w:color w:val="111827"/>
          <w:sz w:val="22"/>
        </w:rPr>
        <w:t>Recommendation: Start with Wave for Months 1–3 while transaction volume is low. Plan to migrate to QuickBooks Online Simple Start (~$22–$35/month) by Month 4–6 as active listings approach 15+.</w:t>
      </w:r>
    </w:p>
    <w:p>
      <w:pPr>
        <w:spacing w:before="40" w:after="80"/>
      </w:pPr>
      <w:r>
        <w:rPr>
          <w:b/>
          <w:i w:val="0"/>
          <w:color w:val="111827"/>
          <w:sz w:val="22"/>
        </w:rPr>
        <w:t>Why QuickBooks Online over Wave at scale: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Feature</w:t>
            </w:r>
          </w:p>
        </w:tc>
        <w:tc>
          <w:tcPr>
            <w:tcW w:type="dxa" w:w="3022"/>
            <w:shd w:val="clear" w:color="auto" w:fill="1A56DB"/>
          </w:tcPr>
          <w:p>
            <w:pPr>
              <w:spacing w:before="60" w:after="60"/>
            </w:pPr>
            <w:r>
              <w:rPr>
                <w:b/>
                <w:color w:val="FFFFFF"/>
                <w:sz w:val="20"/>
              </w:rPr>
              <w:t>QuickBooks Online</w:t>
            </w:r>
          </w:p>
        </w:tc>
        <w:tc>
          <w:tcPr>
            <w:tcW w:type="dxa" w:w="3022"/>
            <w:shd w:val="clear" w:color="auto" w:fill="1A56DB"/>
          </w:tcPr>
          <w:p>
            <w:pPr>
              <w:spacing w:before="60" w:after="60"/>
            </w:pPr>
            <w:r>
              <w:rPr>
                <w:b/>
                <w:color w:val="FFFFFF"/>
                <w:sz w:val="20"/>
              </w:rPr>
              <w:t>Why It Matters for Easy Drive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Stripe Connect integration</w:t>
            </w:r>
          </w:p>
        </w:tc>
        <w:tc>
          <w:tcPr>
            <w:tcW w:type="dxa" w:w="3022"/>
            <w:shd w:val="clear" w:color="auto" w:fill="1A56DB"/>
          </w:tcPr>
          <w:p>
            <w:pPr>
              <w:spacing w:before="60" w:after="60"/>
            </w:pPr>
            <w:r>
              <w:rPr>
                <w:b/>
                <w:color w:val="FFFFFF"/>
                <w:sz w:val="20"/>
              </w:rPr>
              <w:t>Native via Stripe integration</w:t>
            </w:r>
          </w:p>
        </w:tc>
        <w:tc>
          <w:tcPr>
            <w:tcW w:type="dxa" w:w="3022"/>
            <w:shd w:val="clear" w:color="auto" w:fill="1A56DB"/>
          </w:tcPr>
          <w:p>
            <w:pPr>
              <w:spacing w:before="60" w:after="60"/>
            </w:pPr>
            <w:r>
              <w:rPr>
                <w:b/>
                <w:color w:val="FFFFFF"/>
                <w:sz w:val="20"/>
              </w:rPr>
              <w:t>Eliminates manual CSV imports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Class/department tracking</w:t>
            </w:r>
          </w:p>
        </w:tc>
        <w:tc>
          <w:tcPr>
            <w:tcW w:type="dxa" w:w="3022"/>
            <w:shd w:val="clear" w:color="auto" w:fill="1A56DB"/>
          </w:tcPr>
          <w:p>
            <w:pPr>
              <w:spacing w:before="60" w:after="60"/>
            </w:pPr>
            <w:r>
              <w:rPr>
                <w:b/>
                <w:color w:val="FFFFFF"/>
                <w:sz w:val="20"/>
              </w:rPr>
              <w:t>Yes</w:t>
            </w:r>
          </w:p>
        </w:tc>
        <w:tc>
          <w:tcPr>
            <w:tcW w:type="dxa" w:w="3022"/>
            <w:shd w:val="clear" w:color="auto" w:fill="1A56DB"/>
          </w:tcPr>
          <w:p>
            <w:pPr>
              <w:spacing w:before="60" w:after="60"/>
            </w:pPr>
            <w:r>
              <w:rPr>
                <w:b/>
                <w:color w:val="FFFFFF"/>
                <w:sz w:val="20"/>
              </w:rPr>
              <w:t>Separates Easy Drive from GB Trade cleanly</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HST filing</w:t>
            </w:r>
          </w:p>
        </w:tc>
        <w:tc>
          <w:tcPr>
            <w:tcW w:type="dxa" w:w="3022"/>
            <w:shd w:val="clear" w:color="auto" w:fill="1A56DB"/>
          </w:tcPr>
          <w:p>
            <w:pPr>
              <w:spacing w:before="60" w:after="60"/>
            </w:pPr>
            <w:r>
              <w:rPr>
                <w:b/>
                <w:color w:val="FFFFFF"/>
                <w:sz w:val="20"/>
              </w:rPr>
              <w:t>Automated (pulls from transactions)</w:t>
            </w:r>
          </w:p>
        </w:tc>
        <w:tc>
          <w:tcPr>
            <w:tcW w:type="dxa" w:w="3022"/>
            <w:shd w:val="clear" w:color="auto" w:fill="1A56DB"/>
          </w:tcPr>
          <w:p>
            <w:pPr>
              <w:spacing w:before="60" w:after="60"/>
            </w:pPr>
            <w:r>
              <w:rPr>
                <w:b/>
                <w:color w:val="FFFFFF"/>
                <w:sz w:val="20"/>
              </w:rPr>
              <w:t>Reduces CRA filing error risk</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T4A preparation</w:t>
            </w:r>
          </w:p>
        </w:tc>
        <w:tc>
          <w:tcPr>
            <w:tcW w:type="dxa" w:w="3022"/>
            <w:shd w:val="clear" w:color="auto" w:fill="1A56DB"/>
          </w:tcPr>
          <w:p>
            <w:pPr>
              <w:spacing w:before="60" w:after="60"/>
            </w:pPr>
            <w:r>
              <w:rPr>
                <w:b/>
                <w:color w:val="FFFFFF"/>
                <w:sz w:val="20"/>
              </w:rPr>
              <w:t>Via third-party (PaymentEvolution, etc.)</w:t>
            </w:r>
          </w:p>
        </w:tc>
        <w:tc>
          <w:tcPr>
            <w:tcW w:type="dxa" w:w="3022"/>
            <w:shd w:val="clear" w:color="auto" w:fill="1A56DB"/>
          </w:tcPr>
          <w:p>
            <w:pPr>
              <w:spacing w:before="60" w:after="60"/>
            </w:pPr>
            <w:r>
              <w:rPr>
                <w:b/>
                <w:color w:val="FFFFFF"/>
                <w:sz w:val="20"/>
              </w:rPr>
              <w:t>Smoother T4A workflow</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Accountant collaboration</w:t>
            </w:r>
          </w:p>
        </w:tc>
        <w:tc>
          <w:tcPr>
            <w:tcW w:type="dxa" w:w="3022"/>
            <w:shd w:val="clear" w:color="auto" w:fill="1A56DB"/>
          </w:tcPr>
          <w:p>
            <w:pPr>
              <w:spacing w:before="60" w:after="60"/>
            </w:pPr>
            <w:r>
              <w:rPr>
                <w:b/>
                <w:color w:val="FFFFFF"/>
                <w:sz w:val="20"/>
              </w:rPr>
              <w:t>Industry standard</w:t>
            </w:r>
          </w:p>
        </w:tc>
        <w:tc>
          <w:tcPr>
            <w:tcW w:type="dxa" w:w="3022"/>
            <w:shd w:val="clear" w:color="auto" w:fill="1A56DB"/>
          </w:tcPr>
          <w:p>
            <w:pPr>
              <w:spacing w:before="60" w:after="60"/>
            </w:pPr>
            <w:r>
              <w:rPr>
                <w:b/>
                <w:color w:val="FFFFFF"/>
                <w:sz w:val="20"/>
              </w:rPr>
              <w:t>Your CPA will thank you</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Audit trail</w:t>
            </w:r>
          </w:p>
        </w:tc>
        <w:tc>
          <w:tcPr>
            <w:tcW w:type="dxa" w:w="3022"/>
            <w:shd w:val="clear" w:color="auto" w:fill="1A56DB"/>
          </w:tcPr>
          <w:p>
            <w:pPr>
              <w:spacing w:before="60" w:after="60"/>
            </w:pPr>
            <w:r>
              <w:rPr>
                <w:b/>
                <w:color w:val="FFFFFF"/>
                <w:sz w:val="20"/>
              </w:rPr>
              <w:t>Strong</w:t>
            </w:r>
          </w:p>
        </w:tc>
        <w:tc>
          <w:tcPr>
            <w:tcW w:type="dxa" w:w="3022"/>
            <w:shd w:val="clear" w:color="auto" w:fill="1A56DB"/>
          </w:tcPr>
          <w:p>
            <w:pPr>
              <w:spacing w:before="60" w:after="60"/>
            </w:pPr>
            <w:r>
              <w:rPr>
                <w:b/>
                <w:color w:val="FFFFFF"/>
                <w:sz w:val="20"/>
              </w:rPr>
              <w:t>CRA audit-ready out of the box</w:t>
            </w:r>
          </w:p>
        </w:tc>
      </w:tr>
    </w:tbl>
    <w:p/>
    <w:p>
      <w:pPr>
        <w:spacing w:before="40" w:after="80"/>
      </w:pPr>
      <w:r>
        <w:rPr>
          <w:b/>
          <w:i w:val="0"/>
          <w:color w:val="111827"/>
          <w:sz w:val="22"/>
        </w:rPr>
        <w:t>Alternative worth evaluating: FreshBooks — particularly if you value its client-facing invoicing. However, QuickBooks is more deeply integrated with the Canadian tax ecosystem and is the default for Ontario CPAs.</w:t>
      </w:r>
    </w:p>
    <w:p>
      <w:pPr>
        <w:pStyle w:val="Heading3"/>
        <w:spacing w:before="160" w:after="40"/>
      </w:pPr>
      <w:r>
        <w:rPr>
          <w:b/>
          <w:color w:val="1A56DB"/>
          <w:sz w:val="26"/>
        </w:rPr>
        <w:t>What Records Must Be Kept for CRA Audit Readiness</w:t>
      </w:r>
    </w:p>
    <w:p>
      <w:pPr>
        <w:spacing w:before="40" w:after="80"/>
      </w:pPr>
      <w:r>
        <w:rPr>
          <w:b/>
          <w:i w:val="0"/>
          <w:color w:val="111827"/>
          <w:sz w:val="22"/>
        </w:rPr>
        <w:t>Under the Income Tax Act and the Excise Tax Act, you must retain books and records for a minimum of 6 years from the end of the tax year to which they relate.</w:t>
      </w:r>
    </w:p>
    <w:p>
      <w:pPr>
        <w:spacing w:before="40" w:after="80"/>
      </w:pPr>
      <w:r>
        <w:rPr>
          <w:b/>
          <w:i w:val="0"/>
          <w:color w:val="111827"/>
          <w:sz w:val="22"/>
        </w:rPr>
        <w:t>Required records for Easy Drive: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Record Type</w:t>
            </w:r>
          </w:p>
        </w:tc>
        <w:tc>
          <w:tcPr>
            <w:tcW w:type="dxa" w:w="3022"/>
            <w:shd w:val="clear" w:color="auto" w:fill="1A56DB"/>
          </w:tcPr>
          <w:p>
            <w:pPr>
              <w:spacing w:before="60" w:after="60"/>
            </w:pPr>
            <w:r>
              <w:rPr>
                <w:b/>
                <w:color w:val="FFFFFF"/>
                <w:sz w:val="20"/>
              </w:rPr>
              <w:t>Retention</w:t>
            </w:r>
          </w:p>
        </w:tc>
        <w:tc>
          <w:tcPr>
            <w:tcW w:type="dxa" w:w="3022"/>
            <w:shd w:val="clear" w:color="auto" w:fill="1A56DB"/>
          </w:tcPr>
          <w:p>
            <w:pPr>
              <w:spacing w:before="60" w:after="60"/>
            </w:pPr>
            <w:r>
              <w:rPr>
                <w:b/>
                <w:color w:val="FFFFFF"/>
                <w:sz w:val="20"/>
              </w:rPr>
              <w:t>What to Keep</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Stripe payout reports</w:t>
            </w:r>
          </w:p>
        </w:tc>
        <w:tc>
          <w:tcPr>
            <w:tcW w:type="dxa" w:w="3022"/>
            <w:shd w:val="clear" w:color="auto" w:fill="1A56DB"/>
          </w:tcPr>
          <w:p>
            <w:pPr>
              <w:spacing w:before="60" w:after="60"/>
            </w:pPr>
            <w:r>
              <w:rPr>
                <w:b/>
                <w:color w:val="FFFFFF"/>
                <w:sz w:val="20"/>
              </w:rPr>
              <w:t>6 years</w:t>
            </w:r>
          </w:p>
        </w:tc>
        <w:tc>
          <w:tcPr>
            <w:tcW w:type="dxa" w:w="3022"/>
            <w:shd w:val="clear" w:color="auto" w:fill="1A56DB"/>
          </w:tcPr>
          <w:p>
            <w:pPr>
              <w:spacing w:before="60" w:after="60"/>
            </w:pPr>
            <w:r>
              <w:rPr>
                <w:b/>
                <w:color w:val="FFFFFF"/>
                <w:sz w:val="20"/>
              </w:rPr>
              <w:t>Monthly CSV exports; archive to Google Drive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Host payout statements</w:t>
            </w:r>
          </w:p>
        </w:tc>
        <w:tc>
          <w:tcPr>
            <w:tcW w:type="dxa" w:w="3022"/>
            <w:shd w:val="clear" w:color="auto" w:fill="1A56DB"/>
          </w:tcPr>
          <w:p>
            <w:pPr>
              <w:spacing w:before="60" w:after="60"/>
            </w:pPr>
            <w:r>
              <w:rPr>
                <w:b/>
                <w:color w:val="FFFFFF"/>
                <w:sz w:val="20"/>
              </w:rPr>
              <w:t>6 years</w:t>
            </w:r>
          </w:p>
        </w:tc>
        <w:tc>
          <w:tcPr>
            <w:tcW w:type="dxa" w:w="3022"/>
            <w:shd w:val="clear" w:color="auto" w:fill="1A56DB"/>
          </w:tcPr>
          <w:p>
            <w:pPr>
              <w:spacing w:before="60" w:after="60"/>
            </w:pPr>
            <w:r>
              <w:rPr>
                <w:b/>
                <w:color w:val="FFFFFF"/>
                <w:sz w:val="20"/>
              </w:rPr>
              <w:t>All statements issued; auto-generated by platform</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Renter receipts</w:t>
            </w:r>
          </w:p>
        </w:tc>
        <w:tc>
          <w:tcPr>
            <w:tcW w:type="dxa" w:w="3022"/>
            <w:shd w:val="clear" w:color="auto" w:fill="1A56DB"/>
          </w:tcPr>
          <w:p>
            <w:pPr>
              <w:spacing w:before="60" w:after="60"/>
            </w:pPr>
            <w:r>
              <w:rPr>
                <w:b/>
                <w:color w:val="FFFFFF"/>
                <w:sz w:val="20"/>
              </w:rPr>
              <w:t>6 years</w:t>
            </w:r>
          </w:p>
        </w:tc>
        <w:tc>
          <w:tcPr>
            <w:tcW w:type="dxa" w:w="3022"/>
            <w:shd w:val="clear" w:color="auto" w:fill="1A56DB"/>
          </w:tcPr>
          <w:p>
            <w:pPr>
              <w:spacing w:before="60" w:after="60"/>
            </w:pPr>
            <w:r>
              <w:rPr>
                <w:b/>
                <w:color w:val="FFFFFF"/>
                <w:sz w:val="20"/>
              </w:rPr>
              <w:t>All receipts issued; auto-generated by platform</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HST return filings</w:t>
            </w:r>
          </w:p>
        </w:tc>
        <w:tc>
          <w:tcPr>
            <w:tcW w:type="dxa" w:w="3022"/>
            <w:shd w:val="clear" w:color="auto" w:fill="1A56DB"/>
          </w:tcPr>
          <w:p>
            <w:pPr>
              <w:spacing w:before="60" w:after="60"/>
            </w:pPr>
            <w:r>
              <w:rPr>
                <w:b/>
                <w:color w:val="FFFFFF"/>
                <w:sz w:val="20"/>
              </w:rPr>
              <w:t>6 years</w:t>
            </w:r>
          </w:p>
        </w:tc>
        <w:tc>
          <w:tcPr>
            <w:tcW w:type="dxa" w:w="3022"/>
            <w:shd w:val="clear" w:color="auto" w:fill="1A56DB"/>
          </w:tcPr>
          <w:p>
            <w:pPr>
              <w:spacing w:before="60" w:after="60"/>
            </w:pPr>
            <w:r>
              <w:rPr>
                <w:b/>
                <w:color w:val="FFFFFF"/>
                <w:sz w:val="20"/>
              </w:rPr>
              <w:t>CRA online My Business Account — download each return</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T4A slips and summary</w:t>
            </w:r>
          </w:p>
        </w:tc>
        <w:tc>
          <w:tcPr>
            <w:tcW w:type="dxa" w:w="3022"/>
            <w:shd w:val="clear" w:color="auto" w:fill="1A56DB"/>
          </w:tcPr>
          <w:p>
            <w:pPr>
              <w:spacing w:before="60" w:after="60"/>
            </w:pPr>
            <w:r>
              <w:rPr>
                <w:b/>
                <w:color w:val="FFFFFF"/>
                <w:sz w:val="20"/>
              </w:rPr>
              <w:t>6 years</w:t>
            </w:r>
          </w:p>
        </w:tc>
        <w:tc>
          <w:tcPr>
            <w:tcW w:type="dxa" w:w="3022"/>
            <w:shd w:val="clear" w:color="auto" w:fill="1A56DB"/>
          </w:tcPr>
          <w:p>
            <w:pPr>
              <w:spacing w:before="60" w:after="60"/>
            </w:pPr>
            <w:r>
              <w:rPr>
                <w:b/>
                <w:color w:val="FFFFFF"/>
                <w:sz w:val="20"/>
              </w:rPr>
              <w:t>Copies of all T4As filed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Bank statements</w:t>
            </w:r>
          </w:p>
        </w:tc>
        <w:tc>
          <w:tcPr>
            <w:tcW w:type="dxa" w:w="3022"/>
            <w:shd w:val="clear" w:color="auto" w:fill="1A56DB"/>
          </w:tcPr>
          <w:p>
            <w:pPr>
              <w:spacing w:before="60" w:after="60"/>
            </w:pPr>
            <w:r>
              <w:rPr>
                <w:b/>
                <w:color w:val="FFFFFF"/>
                <w:sz w:val="20"/>
              </w:rPr>
              <w:t>6 years</w:t>
            </w:r>
          </w:p>
        </w:tc>
        <w:tc>
          <w:tcPr>
            <w:tcW w:type="dxa" w:w="3022"/>
            <w:shd w:val="clear" w:color="auto" w:fill="1A56DB"/>
          </w:tcPr>
          <w:p>
            <w:pPr>
              <w:spacing w:before="60" w:after="60"/>
            </w:pPr>
            <w:r>
              <w:rPr>
                <w:b/>
                <w:color w:val="FFFFFF"/>
                <w:sz w:val="20"/>
              </w:rPr>
              <w:t>Monthly statements — download and archive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SaaS invoices (Vercel, Supabase, etc.)</w:t>
            </w:r>
          </w:p>
        </w:tc>
        <w:tc>
          <w:tcPr>
            <w:tcW w:type="dxa" w:w="3022"/>
            <w:shd w:val="clear" w:color="auto" w:fill="1A56DB"/>
          </w:tcPr>
          <w:p>
            <w:pPr>
              <w:spacing w:before="60" w:after="60"/>
            </w:pPr>
            <w:r>
              <w:rPr>
                <w:b/>
                <w:color w:val="FFFFFF"/>
                <w:sz w:val="20"/>
              </w:rPr>
              <w:t>6 years</w:t>
            </w:r>
          </w:p>
        </w:tc>
        <w:tc>
          <w:tcPr>
            <w:tcW w:type="dxa" w:w="3022"/>
            <w:shd w:val="clear" w:color="auto" w:fill="1A56DB"/>
          </w:tcPr>
          <w:p>
            <w:pPr>
              <w:spacing w:before="60" w:after="60"/>
            </w:pPr>
            <w:r>
              <w:rPr>
                <w:b/>
                <w:color w:val="FFFFFF"/>
                <w:sz w:val="20"/>
              </w:rPr>
              <w:t>Every invoice; forward to a dedicated email folder</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Legal invoices</w:t>
            </w:r>
          </w:p>
        </w:tc>
        <w:tc>
          <w:tcPr>
            <w:tcW w:type="dxa" w:w="3022"/>
            <w:shd w:val="clear" w:color="auto" w:fill="1A56DB"/>
          </w:tcPr>
          <w:p>
            <w:pPr>
              <w:spacing w:before="60" w:after="60"/>
            </w:pPr>
            <w:r>
              <w:rPr>
                <w:b/>
                <w:color w:val="FFFFFF"/>
                <w:sz w:val="20"/>
              </w:rPr>
              <w:t>6 years</w:t>
            </w:r>
          </w:p>
        </w:tc>
        <w:tc>
          <w:tcPr>
            <w:tcW w:type="dxa" w:w="3022"/>
            <w:shd w:val="clear" w:color="auto" w:fill="1A56DB"/>
          </w:tcPr>
          <w:p>
            <w:pPr>
              <w:spacing w:before="60" w:after="60"/>
            </w:pPr>
            <w:r>
              <w:rPr>
                <w:b/>
                <w:color w:val="FFFFFF"/>
                <w:sz w:val="20"/>
              </w:rPr>
              <w:t>Lawyer invoices and agreements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Marketing receipts</w:t>
            </w:r>
          </w:p>
        </w:tc>
        <w:tc>
          <w:tcPr>
            <w:tcW w:type="dxa" w:w="3022"/>
            <w:shd w:val="clear" w:color="auto" w:fill="1A56DB"/>
          </w:tcPr>
          <w:p>
            <w:pPr>
              <w:spacing w:before="60" w:after="60"/>
            </w:pPr>
            <w:r>
              <w:rPr>
                <w:b/>
                <w:color w:val="FFFFFF"/>
                <w:sz w:val="20"/>
              </w:rPr>
              <w:t>6 years</w:t>
            </w:r>
          </w:p>
        </w:tc>
        <w:tc>
          <w:tcPr>
            <w:tcW w:type="dxa" w:w="3022"/>
            <w:shd w:val="clear" w:color="auto" w:fill="1A56DB"/>
          </w:tcPr>
          <w:p>
            <w:pPr>
              <w:spacing w:before="60" w:after="60"/>
            </w:pPr>
            <w:r>
              <w:rPr>
                <w:b/>
                <w:color w:val="FFFFFF"/>
                <w:sz w:val="20"/>
              </w:rPr>
              <w:t>Facebook Ads billing, flyer printing invoices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Host SIN information</w:t>
            </w:r>
          </w:p>
        </w:tc>
        <w:tc>
          <w:tcPr>
            <w:tcW w:type="dxa" w:w="3022"/>
            <w:shd w:val="clear" w:color="auto" w:fill="1A56DB"/>
          </w:tcPr>
          <w:p>
            <w:pPr>
              <w:spacing w:before="60" w:after="60"/>
            </w:pPr>
            <w:r>
              <w:rPr>
                <w:b/>
                <w:color w:val="FFFFFF"/>
                <w:sz w:val="20"/>
              </w:rPr>
              <w:t>Securely, for duration of business + 6 years</w:t>
            </w:r>
          </w:p>
        </w:tc>
        <w:tc>
          <w:tcPr>
            <w:tcW w:type="dxa" w:w="3022"/>
            <w:shd w:val="clear" w:color="auto" w:fill="1A56DB"/>
          </w:tcPr>
          <w:p>
            <w:pPr>
              <w:spacing w:before="60" w:after="60"/>
            </w:pPr>
            <w:r>
              <w:rPr>
                <w:b/>
                <w:color w:val="FFFFFF"/>
                <w:sz w:val="20"/>
              </w:rPr>
              <w:t>Encrypted; access-controlled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Host insurance certificates</w:t>
            </w:r>
          </w:p>
        </w:tc>
        <w:tc>
          <w:tcPr>
            <w:tcW w:type="dxa" w:w="3022"/>
            <w:shd w:val="clear" w:color="auto" w:fill="1A56DB"/>
          </w:tcPr>
          <w:p>
            <w:pPr>
              <w:spacing w:before="60" w:after="60"/>
            </w:pPr>
            <w:r>
              <w:rPr>
                <w:b/>
                <w:color w:val="FFFFFF"/>
                <w:sz w:val="20"/>
              </w:rPr>
              <w:t>Duration of active listing + 3 years</w:t>
            </w:r>
          </w:p>
        </w:tc>
        <w:tc>
          <w:tcPr>
            <w:tcW w:type="dxa" w:w="3022"/>
            <w:shd w:val="clear" w:color="auto" w:fill="1A56DB"/>
          </w:tcPr>
          <w:p>
            <w:pPr>
              <w:spacing w:before="60" w:after="60"/>
            </w:pPr>
            <w:r>
              <w:rPr>
                <w:b/>
                <w:color w:val="FFFFFF"/>
                <w:sz w:val="20"/>
              </w:rPr>
              <w:t>Platform document storage</w:t>
            </w:r>
          </w:p>
        </w:tc>
      </w:tr>
    </w:tbl>
    <w:p/>
    <w:p>
      <w:pPr>
        <w:spacing w:before="40" w:after="80"/>
      </w:pPr>
      <w:r>
        <w:rPr>
          <w:b/>
          <w:i w:val="0"/>
          <w:color w:val="111827"/>
          <w:sz w:val="22"/>
        </w:rPr>
        <w:t>Practical system: Create a Google Drive folder structure:</w:t>
      </w:r>
    </w:p>
    <w:p>
      <w:pPr>
        <w:spacing w:before="80" w:after="80"/>
        <w:ind w:left="567"/>
      </w:pPr>
      <w:r>
        <w:rPr>
          <w:rFonts w:ascii="Courier New" w:hAnsi="Courier New"/>
          <w:color w:val="1F2937"/>
          <w:sz w:val="18"/>
        </w:rPr>
        <w:t>GB Trade &amp; Logistics — Easy Drive/</w:t>
        <w:br/>
        <w:t xml:space="preserve">  ├── Stripe Reports/</w:t>
        <w:br/>
        <w:t xml:space="preserve">  │   ├── 2026/</w:t>
        <w:br/>
        <w:t xml:space="preserve">  │   │   ├── 2026-05-stripe-payout.csv</w:t>
        <w:br/>
        <w:t xml:space="preserve">  │   │   ├── 2026-06-stripe-payout.csv</w:t>
        <w:br/>
        <w:t xml:space="preserve">  ├── Bank Statements/</w:t>
        <w:br/>
        <w:t xml:space="preserve">  ├── HST Returns/</w:t>
        <w:br/>
        <w:t xml:space="preserve">  ├── T4A/</w:t>
        <w:br/>
        <w:t xml:space="preserve">  │   ├── 2026/</w:t>
        <w:br/>
        <w:t xml:space="preserve">  ├── Invoices Received/</w:t>
        <w:br/>
        <w:t xml:space="preserve">  ├── Host Documents/</w:t>
        <w:br/>
        <w:t xml:space="preserve">  │   ├── [BookingID]/</w:t>
        <w:br/>
        <w:t xml:space="preserve">  └── Legal/</w:t>
      </w:r>
    </w:p>
    <w:p>
      <w:pPr>
        <w:spacing w:before="40" w:after="80"/>
      </w:pPr>
      <w:r>
        <w:rPr>
          <w:b w:val="0"/>
          <w:i w:val="0"/>
          <w:color w:val="111827"/>
          <w:sz w:val="22"/>
        </w:rPr>
        <w:t>Download and file every Stripe report the first business day of each month. Do not leave this to year-end — reconstructing 12 months of Stripe data is painful.</w:t>
      </w:r>
    </w:p>
    <w:p>
      <w:pPr>
        <w:pStyle w:val="Heading3"/>
        <w:spacing w:before="160" w:after="40"/>
      </w:pPr>
      <w:r>
        <w:rPr>
          <w:b/>
          <w:color w:val="1A56DB"/>
          <w:sz w:val="26"/>
        </w:rPr>
        <w:t>Recommended Bookkeeping Cadence</w:t>
      </w:r>
    </w:p>
    <w:p>
      <w:pPr>
        <w:spacing w:before="40" w:after="80"/>
      </w:pPr>
      <w:r>
        <w:rPr>
          <w:b/>
          <w:i w:val="0"/>
          <w:color w:val="111827"/>
          <w:sz w:val="22"/>
        </w:rPr>
        <w:t>Weekly (30 minutes):</w:t>
      </w:r>
    </w:p>
    <w:p>
      <w:pPr>
        <w:pStyle w:val="ListBullet"/>
        <w:spacing w:before="20" w:after="20"/>
        <w:ind w:left="283"/>
      </w:pPr>
      <w:r>
        <w:rPr>
          <w:b w:val="0"/>
          <w:i w:val="0"/>
          <w:color w:val="111827"/>
          <w:sz w:val="22"/>
        </w:rPr>
        <w:t>Reconcile Stripe clearing balance to pending host payouts and deposits held</w:t>
      </w:r>
    </w:p>
    <w:p>
      <w:pPr>
        <w:pStyle w:val="ListBullet"/>
        <w:spacing w:before="20" w:after="20"/>
        <w:ind w:left="283"/>
      </w:pPr>
      <w:r>
        <w:rPr>
          <w:b w:val="0"/>
          <w:i w:val="0"/>
          <w:color w:val="111827"/>
          <w:sz w:val="22"/>
        </w:rPr>
        <w:t>Confirm host payouts have been sent and received</w:t>
      </w:r>
    </w:p>
    <w:p>
      <w:pPr>
        <w:pStyle w:val="ListBullet"/>
        <w:spacing w:before="20" w:after="20"/>
        <w:ind w:left="283"/>
      </w:pPr>
      <w:r>
        <w:rPr>
          <w:b w:val="0"/>
          <w:i w:val="0"/>
          <w:color w:val="111827"/>
          <w:sz w:val="22"/>
        </w:rPr>
        <w:t>Log any deposit releases or damage claim decisions</w:t>
      </w:r>
    </w:p>
    <w:p>
      <w:pPr>
        <w:spacing w:before="40" w:after="80"/>
      </w:pPr>
      <w:r>
        <w:rPr>
          <w:b/>
          <w:i w:val="0"/>
          <w:color w:val="111827"/>
          <w:sz w:val="22"/>
        </w:rPr>
        <w:t>Monthly (2–3 hours):</w:t>
      </w:r>
    </w:p>
    <w:p>
      <w:pPr>
        <w:pStyle w:val="ListBullet"/>
        <w:spacing w:before="20" w:after="20"/>
        <w:ind w:left="283"/>
      </w:pPr>
      <w:r>
        <w:rPr>
          <w:b w:val="0"/>
          <w:i w:val="0"/>
          <w:color w:val="111827"/>
          <w:sz w:val="22"/>
        </w:rPr>
        <w:t>Export Stripe monthly CSV and import to Wave/QuickBooks</w:t>
      </w:r>
    </w:p>
    <w:p>
      <w:pPr>
        <w:pStyle w:val="ListBullet"/>
        <w:spacing w:before="20" w:after="20"/>
        <w:ind w:left="283"/>
      </w:pPr>
      <w:r>
        <w:rPr>
          <w:b w:val="0"/>
          <w:i w:val="0"/>
          <w:color w:val="111827"/>
          <w:sz w:val="22"/>
        </w:rPr>
        <w:t>Reconcile bank statement to accounting software</w:t>
      </w:r>
    </w:p>
    <w:p>
      <w:pPr>
        <w:pStyle w:val="ListBullet"/>
        <w:spacing w:before="20" w:after="20"/>
        <w:ind w:left="283"/>
      </w:pPr>
      <w:r>
        <w:rPr>
          <w:b w:val="0"/>
          <w:i w:val="0"/>
          <w:color w:val="111827"/>
          <w:sz w:val="22"/>
        </w:rPr>
        <w:t>Review HST collected vs. HST payable balance</w:t>
      </w:r>
    </w:p>
    <w:p>
      <w:pPr>
        <w:pStyle w:val="ListBullet"/>
        <w:spacing w:before="20" w:after="20"/>
        <w:ind w:left="283"/>
      </w:pPr>
      <w:r>
        <w:rPr>
          <w:b w:val="0"/>
          <w:i w:val="0"/>
          <w:color w:val="111827"/>
          <w:sz w:val="22"/>
        </w:rPr>
        <w:t>Categorize all expenses</w:t>
      </w:r>
    </w:p>
    <w:p>
      <w:pPr>
        <w:pStyle w:val="ListBullet"/>
        <w:spacing w:before="20" w:after="20"/>
        <w:ind w:left="283"/>
      </w:pPr>
      <w:r>
        <w:rPr>
          <w:b w:val="0"/>
          <w:i w:val="0"/>
          <w:color w:val="111827"/>
          <w:sz w:val="22"/>
        </w:rPr>
        <w:t>Review P&amp;L against the Year 1 model in Section 8</w:t>
      </w:r>
    </w:p>
    <w:p>
      <w:pPr>
        <w:spacing w:before="40" w:after="80"/>
      </w:pPr>
      <w:r>
        <w:rPr>
          <w:b/>
          <w:i w:val="0"/>
          <w:color w:val="111827"/>
          <w:sz w:val="22"/>
        </w:rPr>
        <w:t>Quarterly:</w:t>
      </w:r>
    </w:p>
    <w:p>
      <w:pPr>
        <w:pStyle w:val="ListBullet"/>
        <w:spacing w:before="20" w:after="20"/>
        <w:ind w:left="283"/>
      </w:pPr>
      <w:r>
        <w:rPr>
          <w:b w:val="0"/>
          <w:i w:val="0"/>
          <w:color w:val="111827"/>
          <w:sz w:val="22"/>
        </w:rPr>
        <w:t>File HST return with CRA (via My Business Account online)</w:t>
      </w:r>
    </w:p>
    <w:p>
      <w:pPr>
        <w:pStyle w:val="ListBullet"/>
        <w:spacing w:before="20" w:after="20"/>
        <w:ind w:left="283"/>
      </w:pPr>
      <w:r>
        <w:rPr>
          <w:b w:val="0"/>
          <w:i w:val="0"/>
          <w:color w:val="111827"/>
          <w:sz w:val="22"/>
        </w:rPr>
        <w:t>Review burn rate vs. budget</w:t>
      </w:r>
    </w:p>
    <w:p>
      <w:pPr>
        <w:pStyle w:val="ListBullet"/>
        <w:spacing w:before="20" w:after="20"/>
        <w:ind w:left="283"/>
      </w:pPr>
      <w:r>
        <w:rPr>
          <w:b w:val="0"/>
          <w:i w:val="0"/>
          <w:color w:val="111827"/>
          <w:sz w:val="22"/>
        </w:rPr>
        <w:t>Update host payout ledger (confirm all T4A data is collected for every host paid)</w:t>
      </w:r>
    </w:p>
    <w:p>
      <w:pPr>
        <w:spacing w:before="40" w:after="80"/>
      </w:pPr>
      <w:r>
        <w:rPr>
          <w:b/>
          <w:i w:val="0"/>
          <w:color w:val="111827"/>
          <w:sz w:val="22"/>
        </w:rPr>
        <w:t>Annually (January–February):</w:t>
      </w:r>
    </w:p>
    <w:p>
      <w:pPr>
        <w:pStyle w:val="ListBullet"/>
        <w:spacing w:before="20" w:after="20"/>
        <w:ind w:left="283"/>
      </w:pPr>
      <w:r>
        <w:rPr>
          <w:b w:val="0"/>
          <w:i w:val="0"/>
          <w:color w:val="111827"/>
          <w:sz w:val="22"/>
        </w:rPr>
        <w:t>Close books for prior year</w:t>
      </w:r>
    </w:p>
    <w:p>
      <w:pPr>
        <w:pStyle w:val="ListBullet"/>
        <w:spacing w:before="20" w:after="20"/>
        <w:ind w:left="283"/>
      </w:pPr>
      <w:r>
        <w:rPr>
          <w:b w:val="0"/>
          <w:i w:val="0"/>
          <w:color w:val="111827"/>
          <w:sz w:val="22"/>
        </w:rPr>
        <w:t>Prepare T4A slips and T4A Summary — file by February 28</w:t>
      </w:r>
    </w:p>
    <w:p>
      <w:pPr>
        <w:pStyle w:val="ListBullet"/>
        <w:spacing w:before="20" w:after="20"/>
        <w:ind w:left="283"/>
      </w:pPr>
      <w:r>
        <w:rPr>
          <w:b w:val="0"/>
          <w:i w:val="0"/>
          <w:color w:val="111827"/>
          <w:sz w:val="22"/>
        </w:rPr>
        <w:t>Provide year-end package to CPA for corporate tax return (T2) — due 6 months after fiscal year-end</w:t>
      </w:r>
    </w:p>
    <w:p>
      <w:pPr>
        <w:pStyle w:val="ListBullet"/>
        <w:spacing w:before="20" w:after="20"/>
        <w:ind w:left="283"/>
      </w:pPr>
      <w:r>
        <w:rPr>
          <w:b/>
          <w:i w:val="0"/>
          <w:color w:val="111827"/>
          <w:sz w:val="22"/>
        </w:rPr>
        <w:t>If fiscal year = December 31: T2 due June 30; corporate tax owing due March 31 (even if return is not yet filed)</w:t>
      </w:r>
    </w:p>
    <w:p>
      <w:pPr>
        <w:spacing w:before="40" w:after="80"/>
      </w:pPr>
      <w:r>
        <w:rPr>
          <w:b/>
          <w:i w:val="0"/>
          <w:color w:val="111827"/>
          <w:sz w:val="22"/>
        </w:rPr>
        <w:t>[CPA REQUIRED] Confirm your fiscal year-end with your CPA. If GB Trade and Logistics Inc. already has a non-December fiscal year-end, the Easy Drive launch does not change it. The T2 filing deadline is 6 months post-fiscal year-end; the tax payment deadline is 2 months post-fiscal year-end (3 months if SBD eligible — confirm with CPA).</w:t>
      </w:r>
    </w:p>
    <w:p>
      <w:pPr>
        <w:pStyle w:val="Heading2"/>
        <w:spacing w:before="280" w:after="80"/>
      </w:pPr>
      <w:r>
        <w:rPr>
          <w:b/>
          <w:color w:val="1A56DB"/>
          <w:sz w:val="32"/>
        </w:rPr>
        <w:t>Summary: What You Can Handle vs. What Needs a CPA</w:t>
      </w:r>
    </w:p>
    <w:p>
      <w:pPr>
        <w:pStyle w:val="Heading3"/>
        <w:spacing w:before="160" w:after="40"/>
      </w:pPr>
      <w:r>
        <w:rPr>
          <w:b/>
          <w:color w:val="1A56DB"/>
          <w:sz w:val="26"/>
        </w:rPr>
        <w:t>Handle Yourself</w:t>
      </w:r>
    </w:p>
    <w:p>
      <w:pPr>
        <w:pStyle w:val="ListBullet"/>
        <w:spacing w:before="20" w:after="20"/>
        <w:ind w:left="283"/>
      </w:pPr>
      <w:r>
        <w:rPr>
          <w:b w:val="0"/>
          <w:i w:val="0"/>
          <w:color w:val="111827"/>
          <w:sz w:val="22"/>
        </w:rPr>
        <w:t>Day-to-day bookkeeping in Wave or QuickBooks</w:t>
      </w:r>
    </w:p>
    <w:p>
      <w:pPr>
        <w:pStyle w:val="ListBullet"/>
        <w:spacing w:before="20" w:after="20"/>
        <w:ind w:left="283"/>
      </w:pPr>
      <w:r>
        <w:rPr>
          <w:b w:val="0"/>
          <w:i w:val="0"/>
          <w:color w:val="111827"/>
          <w:sz w:val="22"/>
        </w:rPr>
        <w:t>Monthly Stripe reconciliation</w:t>
      </w:r>
    </w:p>
    <w:p>
      <w:pPr>
        <w:pStyle w:val="ListBullet"/>
        <w:spacing w:before="20" w:after="20"/>
        <w:ind w:left="283"/>
      </w:pPr>
      <w:r>
        <w:rPr>
          <w:b w:val="0"/>
          <w:i w:val="0"/>
          <w:color w:val="111827"/>
          <w:sz w:val="22"/>
        </w:rPr>
        <w:t>HST calculation on platform fees (formula is straightforward)</w:t>
      </w:r>
    </w:p>
    <w:p>
      <w:pPr>
        <w:pStyle w:val="ListBullet"/>
        <w:spacing w:before="20" w:after="20"/>
        <w:ind w:left="283"/>
      </w:pPr>
      <w:r>
        <w:rPr>
          <w:b w:val="0"/>
          <w:i w:val="0"/>
          <w:color w:val="111827"/>
          <w:sz w:val="22"/>
        </w:rPr>
        <w:t>Quarterly HST filing via CRA My Business Account</w:t>
      </w:r>
    </w:p>
    <w:p>
      <w:pPr>
        <w:pStyle w:val="ListBullet"/>
        <w:spacing w:before="20" w:after="20"/>
        <w:ind w:left="283"/>
      </w:pPr>
      <w:r>
        <w:rPr>
          <w:b w:val="0"/>
          <w:i w:val="0"/>
          <w:color w:val="111827"/>
          <w:sz w:val="22"/>
        </w:rPr>
        <w:t>Collecting SINs and T4A information from hosts at onboarding</w:t>
      </w:r>
    </w:p>
    <w:p>
      <w:pPr>
        <w:pStyle w:val="ListBullet"/>
        <w:spacing w:before="20" w:after="20"/>
        <w:ind w:left="283"/>
      </w:pPr>
      <w:r>
        <w:rPr>
          <w:b w:val="0"/>
          <w:i w:val="0"/>
          <w:color w:val="111827"/>
          <w:sz w:val="22"/>
        </w:rPr>
        <w:t>Record archiving and Google Drive organization</w:t>
      </w:r>
    </w:p>
    <w:p>
      <w:pPr>
        <w:pStyle w:val="Heading3"/>
        <w:spacing w:before="160" w:after="40"/>
      </w:pPr>
      <w:r>
        <w:rPr>
          <w:b/>
          <w:color w:val="1A56DB"/>
          <w:sz w:val="26"/>
        </w:rPr>
        <w:t>Needs a CPA (One-Time or Annual)</w:t>
      </w:r>
    </w:p>
    <w:p>
      <w:pPr>
        <w:pStyle w:val="ListBullet"/>
        <w:spacing w:before="20" w:after="20"/>
        <w:ind w:left="283"/>
      </w:pPr>
      <w:r>
        <w:rPr>
          <w:b w:val="0"/>
          <w:i w:val="0"/>
          <w:color w:val="111827"/>
          <w:sz w:val="22"/>
        </w:rPr>
        <w:t>Confirming principal vs. agent treatment for your specific structure</w:t>
      </w:r>
    </w:p>
    <w:p>
      <w:pPr>
        <w:pStyle w:val="ListBullet"/>
        <w:spacing w:before="20" w:after="20"/>
        <w:ind w:left="283"/>
      </w:pPr>
      <w:r>
        <w:rPr>
          <w:b w:val="0"/>
          <w:i w:val="0"/>
          <w:color w:val="111827"/>
          <w:sz w:val="22"/>
        </w:rPr>
        <w:t>Confirming HST obligation on host rental income (property vs. business income distinction)</w:t>
      </w:r>
    </w:p>
    <w:p>
      <w:pPr>
        <w:pStyle w:val="ListBullet"/>
        <w:spacing w:before="20" w:after="20"/>
        <w:ind w:left="283"/>
      </w:pPr>
      <w:r>
        <w:rPr>
          <w:b w:val="0"/>
          <w:i w:val="0"/>
          <w:color w:val="111827"/>
          <w:sz w:val="22"/>
        </w:rPr>
        <w:t>Salary vs. dividend optimization once net income is sustained</w:t>
      </w:r>
    </w:p>
    <w:p>
      <w:pPr>
        <w:pStyle w:val="ListBullet"/>
        <w:spacing w:before="20" w:after="20"/>
        <w:ind w:left="283"/>
      </w:pPr>
      <w:r>
        <w:rPr>
          <w:b w:val="0"/>
          <w:i w:val="0"/>
          <w:color w:val="111827"/>
          <w:sz w:val="22"/>
        </w:rPr>
        <w:t>First T4A filing (January 2027 for 2026 payouts) — get a CPA to review before filing</w:t>
      </w:r>
    </w:p>
    <w:p>
      <w:pPr>
        <w:pStyle w:val="ListBullet"/>
        <w:spacing w:before="20" w:after="20"/>
        <w:ind w:left="283"/>
      </w:pPr>
      <w:r>
        <w:rPr>
          <w:b w:val="0"/>
          <w:i w:val="0"/>
          <w:color w:val="111827"/>
          <w:sz w:val="22"/>
        </w:rPr>
        <w:t>Annual T2 corporate tax return</w:t>
      </w:r>
    </w:p>
    <w:p>
      <w:pPr>
        <w:pStyle w:val="ListBullet"/>
        <w:spacing w:before="20" w:after="20"/>
        <w:ind w:left="283"/>
      </w:pPr>
      <w:r>
        <w:rPr>
          <w:b w:val="0"/>
          <w:i w:val="0"/>
          <w:color w:val="111827"/>
          <w:sz w:val="22"/>
        </w:rPr>
        <w:t>Home office deduction calculation</w:t>
      </w:r>
    </w:p>
    <w:p>
      <w:pPr>
        <w:pStyle w:val="ListBullet"/>
        <w:spacing w:before="20" w:after="20"/>
        <w:ind w:left="283"/>
      </w:pPr>
      <w:r>
        <w:rPr>
          <w:b w:val="0"/>
          <w:i w:val="0"/>
          <w:color w:val="111827"/>
          <w:sz w:val="22"/>
        </w:rPr>
        <w:t>Reviewing this financial model against your actual Year 1 results</w:t>
      </w:r>
    </w:p>
    <w:p>
      <w:pPr>
        <w:pStyle w:val="Heading3"/>
        <w:spacing w:before="160" w:after="40"/>
      </w:pPr>
      <w:r>
        <w:rPr>
          <w:b/>
          <w:color w:val="1A56DB"/>
          <w:sz w:val="26"/>
        </w:rPr>
        <w:t>Priority CPA Engagements</w:t>
      </w:r>
    </w:p>
    <w:p>
      <w:pPr>
        <w:pStyle w:val="ListBullet"/>
        <w:spacing w:before="20" w:after="20"/>
        <w:ind w:left="283"/>
      </w:pPr>
      <w:r>
        <w:rPr>
          <w:b/>
          <w:i w:val="0"/>
          <w:color w:val="111827"/>
          <w:sz w:val="22"/>
        </w:rPr>
        <w:t>Now (pre-launch): 1-hour consult — confirm HST treatment, T4A obligations, and fiscal year-end. This is low-cost and high-value.</w:t>
      </w:r>
    </w:p>
    <w:p>
      <w:pPr>
        <w:pStyle w:val="ListBullet"/>
        <w:spacing w:before="20" w:after="20"/>
        <w:ind w:left="283"/>
      </w:pPr>
      <w:r>
        <w:rPr>
          <w:b/>
          <w:i w:val="0"/>
          <w:color w:val="111827"/>
          <w:sz w:val="22"/>
        </w:rPr>
        <w:t>Month 6: Salary vs. dividend review if net income is positive and sustained.</w:t>
      </w:r>
    </w:p>
    <w:p>
      <w:pPr>
        <w:pStyle w:val="ListBullet"/>
        <w:spacing w:before="20" w:after="20"/>
        <w:ind w:left="283"/>
      </w:pPr>
      <w:r>
        <w:rPr>
          <w:b/>
          <w:i w:val="0"/>
          <w:color w:val="111827"/>
          <w:sz w:val="22"/>
        </w:rPr>
        <w:t>January 2027: T4A preparation and filing.</w:t>
      </w:r>
    </w:p>
    <w:p>
      <w:pPr>
        <w:pStyle w:val="ListBullet"/>
        <w:spacing w:before="20" w:after="20"/>
        <w:ind w:left="283"/>
      </w:pPr>
      <w:r>
        <w:rPr>
          <w:b/>
          <w:i w:val="0"/>
          <w:color w:val="111827"/>
          <w:sz w:val="22"/>
        </w:rPr>
        <w:t>March 2027: T2 corporate tax return for fiscal year 2026.</w:t>
      </w:r>
    </w:p>
    <w:p>
      <w:pPr>
        <w:spacing w:before="40" w:after="80"/>
      </w:pPr>
      <w:r>
        <w:rPr>
          <w:b w:val="0"/>
          <w:i/>
          <w:color w:val="111827"/>
          <w:sz w:val="22"/>
        </w:rPr>
        <w:t>This document is prepared for internal planning purposes for GB Trade and Logistics Inc. (Easy Drive). It does not constitute legal or tax advice. All tax positions should be confirmed with a licensed CPA practicing in Ontario before implementation.</w:t>
      </w:r>
    </w:p>
    <w:p>
      <w:pPr>
        <w:spacing w:before="40" w:after="80"/>
      </w:pPr>
      <w:r>
        <w:rPr>
          <w:b w:val="0"/>
          <w:i/>
          <w:color w:val="111827"/>
          <w:sz w:val="22"/>
        </w:rPr>
        <w:t>Prepared: May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