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2B55"/>
          <w:sz w:val="64"/>
        </w:rPr>
        <w:t>EASY DRIVE</w:t>
      </w:r>
    </w:p>
    <w:p>
      <w:pPr>
        <w:jc w:val="center"/>
      </w:pPr>
      <w:r>
        <w:rPr>
          <w:b/>
          <w:color w:val="007A87"/>
          <w:sz w:val="40"/>
        </w:rPr>
        <w:t>Financial Audit &amp; Cost Analysis</w:t>
      </w:r>
    </w:p>
    <w:p>
      <w:pPr>
        <w:spacing w:after="160"/>
      </w:pPr>
    </w:p>
    <w:p>
      <w:pPr>
        <w:jc w:val="center"/>
      </w:pPr>
      <w:r>
        <w:rPr>
          <w:i/>
          <w:color w:val="222222"/>
          <w:sz w:val="24"/>
        </w:rPr>
        <w:t>GB Trade and Logistics Inc. o/a Easy Drive</w:t>
      </w:r>
    </w:p>
    <w:p>
      <w:pPr>
        <w:jc w:val="center"/>
      </w:pPr>
      <w:r>
        <w:rPr>
          <w:color w:val="222222"/>
          <w:sz w:val="22"/>
        </w:rPr>
        <w:t>Prepared by: SMB Accountant &amp; Financial Strategist</w:t>
      </w:r>
    </w:p>
    <w:p>
      <w:pPr>
        <w:jc w:val="center"/>
      </w:pPr>
      <w:r>
        <w:rPr>
          <w:color w:val="F2F2F2"/>
          <w:sz w:val="22"/>
        </w:rPr>
        <w:t>April 2026</w:t>
      </w:r>
    </w:p>
    <w:p>
      <w:pPr>
        <w:spacing w:after="600"/>
      </w:pPr>
    </w:p>
    <w:tbl>
      <w:tblPr>
        <w:tblW w:type="auto" w:w="0"/>
        <w:jc w:val="center"/>
        <w:tblLook w:firstColumn="1" w:firstRow="1" w:lastColumn="0" w:lastRow="0" w:noHBand="0" w:noVBand="1" w:val="04A0"/>
      </w:tblPr>
      <w:tblGrid>
        <w:gridCol w:w="9360"/>
      </w:tblGrid>
      <w:tr>
        <w:tc>
          <w:tcPr>
            <w:tcW w:type="dxa" w:w="8640"/>
            <w:shd w:val="clear" w:color="auto" w:fill="1E8449"/>
          </w:tcPr>
          <w:p>
            <w:pPr>
              <w:jc w:val="center"/>
            </w:pPr>
            <w:r>
              <w:rPr>
                <w:b/>
                <w:color w:val="FFFFFF"/>
                <w:sz w:val="28"/>
              </w:rPr>
              <w:t>ACCOUNTANT'S VERDICT: CONDITIONAL GREEN LIGHT</w:t>
            </w:r>
          </w:p>
          <w:p>
            <w:pPr>
              <w:jc w:val="center"/>
            </w:pPr>
            <w:r>
              <w:rPr>
                <w:color w:val="FFFFFF"/>
                <w:sz w:val="20"/>
              </w:rPr>
              <w:t>The business model is economically sound. Technology cost is exemplary at 2.4% of revenue.</w:t>
              <w:br/>
              <w:t>5 financial conditions must be met before the first vehicle is rented.</w:t>
            </w:r>
          </w:p>
        </w:tc>
      </w:tr>
    </w:tbl>
    <w:p>
      <w:r>
        <w:br w:type="page"/>
      </w:r>
    </w:p>
    <w:p>
      <w:pPr>
        <w:spacing w:before="280" w:after="120"/>
        <w:jc w:val="left"/>
      </w:pPr>
      <w:r>
        <w:rPr>
          <w:b/>
          <w:color w:val="0D2B55"/>
          <w:sz w:val="36"/>
        </w:rPr>
        <w:t>1.  Executive Summary</w:t>
      </w:r>
    </w:p>
    <w:p>
      <w:pPr>
        <w:pBdr>
          <w:bottom w:val="single" w:sz="6" w:space="1" w:color="007A87"/>
        </w:pBdr>
        <w:spacing w:after="120" w:before="120"/>
      </w:pPr>
    </w:p>
    <w:p>
      <w:pPr>
        <w:spacing w:after="80" w:before="40"/>
      </w:pPr>
      <w:r>
        <w:rPr>
          <w:b w:val="0"/>
          <w:color w:val="222222"/>
          <w:sz w:val="21"/>
        </w:rPr>
        <w:t>This report constitutes the accountant's formal financial audit of the Easy Drive launch plan, synthesising the work of the Solutions Architect, Lead Developer, and Product Designer into a rigorous cost model, break-even analysis, and forward projection. Our mandate: determine whether the proposed plan is financially viable, identify risks not captured by the technical team, and define the exact conditions under which we authorise deployment of capital.</w:t>
      </w:r>
    </w:p>
    <w:p>
      <w:pPr>
        <w:spacing w:before="200" w:after="120"/>
        <w:jc w:val="left"/>
      </w:pPr>
      <w:r>
        <w:rPr>
          <w:b/>
          <w:color w:val="0D2B55"/>
          <w:sz w:val="28"/>
        </w:rPr>
        <w:t>Key Financial Indicators at Launch (2 Cars, Base Case)</w:t>
      </w:r>
    </w:p>
    <w:tbl>
      <w:tblPr>
        <w:tblStyle w:val="TableGrid"/>
        <w:tblW w:type="auto" w:w="0"/>
        <w:jc w:val="center"/>
        <w:tblLook w:firstColumn="1" w:firstRow="1" w:lastColumn="0" w:lastRow="0" w:noHBand="0" w:noVBand="1" w:val="04A0"/>
      </w:tblPr>
      <w:tblGrid>
        <w:gridCol w:w="3120"/>
        <w:gridCol w:w="3120"/>
        <w:gridCol w:w="3120"/>
      </w:tblGrid>
      <w:tr>
        <w:trPr>
          <w:trHeight w:val="397"/>
        </w:trPr>
        <w:tc>
          <w:tcPr>
            <w:tcW w:type="dxa" w:w="4320"/>
            <w:shd w:val="clear" w:color="auto" w:fill="0D2B55"/>
            <w:vAlign w:val="center"/>
          </w:tcPr>
          <w:p>
            <w:pPr>
              <w:jc w:val="center"/>
            </w:pPr>
            <w:r>
              <w:rPr>
                <w:b/>
                <w:i w:val="0"/>
                <w:color w:val="FFFFFF"/>
                <w:sz w:val="19"/>
              </w:rPr>
              <w:t>Metric</w:t>
            </w:r>
          </w:p>
        </w:tc>
        <w:tc>
          <w:tcPr>
            <w:tcW w:type="dxa" w:w="2304"/>
            <w:shd w:val="clear" w:color="auto" w:fill="0D2B55"/>
            <w:vAlign w:val="center"/>
          </w:tcPr>
          <w:p>
            <w:pPr>
              <w:jc w:val="center"/>
            </w:pPr>
            <w:r>
              <w:rPr>
                <w:b/>
                <w:i w:val="0"/>
                <w:color w:val="FFFFFF"/>
                <w:sz w:val="19"/>
              </w:rPr>
              <w:t>Figure</w:t>
            </w:r>
          </w:p>
        </w:tc>
        <w:tc>
          <w:tcPr>
            <w:tcW w:type="dxa" w:w="4176"/>
            <w:shd w:val="clear" w:color="auto" w:fill="0D2B55"/>
            <w:vAlign w:val="center"/>
          </w:tcPr>
          <w:p>
            <w:pPr>
              <w:jc w:val="center"/>
            </w:pPr>
            <w:r>
              <w:rPr>
                <w:b/>
                <w:i w:val="0"/>
                <w:color w:val="FFFFFF"/>
                <w:sz w:val="19"/>
              </w:rPr>
              <w:t>Context</w:t>
            </w:r>
          </w:p>
        </w:tc>
      </w:tr>
      <w:tr>
        <w:trPr>
          <w:trHeight w:val="369"/>
        </w:trPr>
        <w:tc>
          <w:tcPr>
            <w:tcW w:type="dxa" w:w="4320"/>
            <w:shd w:val="clear" w:color="auto" w:fill="FFFFFF"/>
            <w:vAlign w:val="center"/>
          </w:tcPr>
          <w:p>
            <w:pPr>
              <w:jc w:val="left"/>
            </w:pPr>
            <w:r>
              <w:rPr>
                <w:b w:val="0"/>
                <w:i w:val="0"/>
                <w:color w:val="222222"/>
                <w:sz w:val="19"/>
              </w:rPr>
              <w:t>Audited Startup Capital Required</w:t>
            </w:r>
          </w:p>
        </w:tc>
        <w:tc>
          <w:tcPr>
            <w:tcW w:type="dxa" w:w="2304"/>
            <w:shd w:val="clear" w:color="auto" w:fill="FFFFFF"/>
            <w:vAlign w:val="center"/>
          </w:tcPr>
          <w:p>
            <w:pPr>
              <w:jc w:val="right"/>
            </w:pPr>
            <w:r>
              <w:rPr>
                <w:b w:val="0"/>
                <w:i w:val="0"/>
                <w:color w:val="222222"/>
                <w:sz w:val="19"/>
              </w:rPr>
              <w:t>$30,085 CAD</w:t>
            </w:r>
          </w:p>
        </w:tc>
        <w:tc>
          <w:tcPr>
            <w:tcW w:type="dxa" w:w="4176"/>
            <w:shd w:val="clear" w:color="auto" w:fill="FFFFFF"/>
            <w:vAlign w:val="center"/>
          </w:tcPr>
          <w:p>
            <w:pPr>
              <w:jc w:val="right"/>
            </w:pPr>
            <w:r>
              <w:rPr>
                <w:b w:val="0"/>
                <w:i w:val="0"/>
                <w:color w:val="222222"/>
                <w:sz w:val="19"/>
              </w:rPr>
              <w:t>Midpoint — 6 items missing from original plan</w:t>
            </w:r>
          </w:p>
        </w:tc>
      </w:tr>
      <w:tr>
        <w:trPr>
          <w:trHeight w:val="369"/>
        </w:trPr>
        <w:tc>
          <w:tcPr>
            <w:tcW w:type="dxa" w:w="4320"/>
            <w:shd w:val="clear" w:color="auto" w:fill="F2F2F2"/>
            <w:vAlign w:val="center"/>
          </w:tcPr>
          <w:p>
            <w:pPr>
              <w:jc w:val="left"/>
            </w:pPr>
            <w:r>
              <w:rPr>
                <w:b w:val="0"/>
                <w:i w:val="0"/>
                <w:color w:val="222222"/>
                <w:sz w:val="19"/>
              </w:rPr>
              <w:t>Monthly Break-Even Costs</w:t>
            </w:r>
          </w:p>
        </w:tc>
        <w:tc>
          <w:tcPr>
            <w:tcW w:type="dxa" w:w="2304"/>
            <w:shd w:val="clear" w:color="auto" w:fill="F2F2F2"/>
            <w:vAlign w:val="center"/>
          </w:tcPr>
          <w:p>
            <w:pPr>
              <w:jc w:val="right"/>
            </w:pPr>
            <w:r>
              <w:rPr>
                <w:b w:val="0"/>
                <w:i w:val="0"/>
                <w:color w:val="222222"/>
                <w:sz w:val="19"/>
              </w:rPr>
              <w:t>$3,585/month</w:t>
            </w:r>
          </w:p>
        </w:tc>
        <w:tc>
          <w:tcPr>
            <w:tcW w:type="dxa" w:w="4176"/>
            <w:shd w:val="clear" w:color="auto" w:fill="F2F2F2"/>
            <w:vAlign w:val="center"/>
          </w:tcPr>
          <w:p>
            <w:pPr>
              <w:jc w:val="right"/>
            </w:pPr>
            <w:r>
              <w:rPr>
                <w:b w:val="0"/>
                <w:i w:val="0"/>
                <w:color w:val="222222"/>
                <w:sz w:val="19"/>
              </w:rPr>
              <w:t>All-in: insurance, maintenance, tech, ops</w:t>
            </w:r>
          </w:p>
        </w:tc>
      </w:tr>
      <w:tr>
        <w:trPr>
          <w:trHeight w:val="369"/>
        </w:trPr>
        <w:tc>
          <w:tcPr>
            <w:tcW w:type="dxa" w:w="4320"/>
            <w:shd w:val="clear" w:color="auto" w:fill="FFFFFF"/>
            <w:vAlign w:val="center"/>
          </w:tcPr>
          <w:p>
            <w:pPr>
              <w:jc w:val="left"/>
            </w:pPr>
            <w:r>
              <w:rPr>
                <w:b w:val="0"/>
                <w:i w:val="0"/>
                <w:color w:val="222222"/>
                <w:sz w:val="19"/>
              </w:rPr>
              <w:t>Monthly Revenue (Base Case)</w:t>
            </w:r>
          </w:p>
        </w:tc>
        <w:tc>
          <w:tcPr>
            <w:tcW w:type="dxa" w:w="2304"/>
            <w:shd w:val="clear" w:color="auto" w:fill="FFFFFF"/>
            <w:vAlign w:val="center"/>
          </w:tcPr>
          <w:p>
            <w:pPr>
              <w:jc w:val="right"/>
            </w:pPr>
            <w:r>
              <w:rPr>
                <w:b w:val="0"/>
                <w:i w:val="0"/>
                <w:color w:val="222222"/>
                <w:sz w:val="19"/>
              </w:rPr>
              <w:t>$2,819/month</w:t>
            </w:r>
          </w:p>
        </w:tc>
        <w:tc>
          <w:tcPr>
            <w:tcW w:type="dxa" w:w="4176"/>
            <w:shd w:val="clear" w:color="auto" w:fill="FFFFFF"/>
            <w:vAlign w:val="center"/>
          </w:tcPr>
          <w:p>
            <w:pPr>
              <w:jc w:val="right"/>
            </w:pPr>
            <w:r>
              <w:rPr>
                <w:b w:val="0"/>
                <w:i w:val="0"/>
                <w:color w:val="222222"/>
                <w:sz w:val="19"/>
              </w:rPr>
              <w:t>2 cars, $325/wk, 85% utilisation, net of HST</w:t>
            </w:r>
          </w:p>
        </w:tc>
      </w:tr>
      <w:tr>
        <w:trPr>
          <w:trHeight w:val="369"/>
        </w:trPr>
        <w:tc>
          <w:tcPr>
            <w:tcW w:type="dxa" w:w="4320"/>
            <w:shd w:val="clear" w:color="auto" w:fill="F2F2F2"/>
            <w:vAlign w:val="center"/>
          </w:tcPr>
          <w:p>
            <w:pPr>
              <w:jc w:val="left"/>
            </w:pPr>
            <w:r>
              <w:rPr>
                <w:b w:val="0"/>
                <w:i w:val="0"/>
                <w:color w:val="222222"/>
                <w:sz w:val="19"/>
              </w:rPr>
              <w:t>Month 1 Net Income</w:t>
            </w:r>
          </w:p>
        </w:tc>
        <w:tc>
          <w:tcPr>
            <w:tcW w:type="dxa" w:w="2304"/>
            <w:shd w:val="clear" w:color="auto" w:fill="F2F2F2"/>
            <w:vAlign w:val="center"/>
          </w:tcPr>
          <w:p>
            <w:pPr>
              <w:jc w:val="right"/>
            </w:pPr>
            <w:r>
              <w:rPr>
                <w:b w:val="0"/>
                <w:i w:val="0"/>
                <w:color w:val="C0392B"/>
                <w:sz w:val="19"/>
              </w:rPr>
              <w:t>-$931/month</w:t>
            </w:r>
          </w:p>
        </w:tc>
        <w:tc>
          <w:tcPr>
            <w:tcW w:type="dxa" w:w="4176"/>
            <w:shd w:val="clear" w:color="auto" w:fill="F2F2F2"/>
            <w:vAlign w:val="center"/>
          </w:tcPr>
          <w:p>
            <w:pPr>
              <w:jc w:val="right"/>
            </w:pPr>
            <w:r>
              <w:rPr>
                <w:b w:val="0"/>
                <w:i w:val="0"/>
                <w:color w:val="222222"/>
                <w:sz w:val="19"/>
              </w:rPr>
              <w:t>Normal in investment phase — expected</w:t>
            </w:r>
          </w:p>
        </w:tc>
      </w:tr>
      <w:tr>
        <w:trPr>
          <w:trHeight w:val="369"/>
        </w:trPr>
        <w:tc>
          <w:tcPr>
            <w:tcW w:type="dxa" w:w="4320"/>
            <w:shd w:val="clear" w:color="auto" w:fill="FFFFFF"/>
            <w:vAlign w:val="center"/>
          </w:tcPr>
          <w:p>
            <w:pPr>
              <w:jc w:val="left"/>
            </w:pPr>
            <w:r>
              <w:rPr>
                <w:b w:val="0"/>
                <w:i w:val="0"/>
                <w:color w:val="222222"/>
                <w:sz w:val="19"/>
              </w:rPr>
              <w:t>Cash Break-Even</w:t>
            </w:r>
          </w:p>
        </w:tc>
        <w:tc>
          <w:tcPr>
            <w:tcW w:type="dxa" w:w="2304"/>
            <w:shd w:val="clear" w:color="auto" w:fill="FFFFFF"/>
            <w:vAlign w:val="center"/>
          </w:tcPr>
          <w:p>
            <w:pPr>
              <w:jc w:val="right"/>
            </w:pPr>
            <w:r>
              <w:rPr>
                <w:b w:val="0"/>
                <w:i w:val="0"/>
                <w:color w:val="222222"/>
                <w:sz w:val="19"/>
              </w:rPr>
              <w:t>Month 3–4</w:t>
            </w:r>
          </w:p>
        </w:tc>
        <w:tc>
          <w:tcPr>
            <w:tcW w:type="dxa" w:w="4176"/>
            <w:shd w:val="clear" w:color="auto" w:fill="FFFFFF"/>
            <w:vAlign w:val="center"/>
          </w:tcPr>
          <w:p>
            <w:pPr>
              <w:jc w:val="right"/>
            </w:pPr>
            <w:r>
              <w:rPr>
                <w:b w:val="0"/>
                <w:i w:val="0"/>
                <w:color w:val="222222"/>
                <w:sz w:val="19"/>
              </w:rPr>
              <w:t>When revenue consistently exceeds cash outflows</w:t>
            </w:r>
          </w:p>
        </w:tc>
      </w:tr>
      <w:tr>
        <w:trPr>
          <w:trHeight w:val="369"/>
        </w:trPr>
        <w:tc>
          <w:tcPr>
            <w:tcW w:type="dxa" w:w="4320"/>
            <w:shd w:val="clear" w:color="auto" w:fill="F2F2F2"/>
            <w:vAlign w:val="center"/>
          </w:tcPr>
          <w:p>
            <w:pPr>
              <w:jc w:val="left"/>
            </w:pPr>
            <w:r>
              <w:rPr>
                <w:b w:val="0"/>
                <w:i w:val="0"/>
                <w:color w:val="222222"/>
                <w:sz w:val="19"/>
              </w:rPr>
              <w:t>Accounting Break-Even</w:t>
            </w:r>
          </w:p>
        </w:tc>
        <w:tc>
          <w:tcPr>
            <w:tcW w:type="dxa" w:w="2304"/>
            <w:shd w:val="clear" w:color="auto" w:fill="F2F2F2"/>
            <w:vAlign w:val="center"/>
          </w:tcPr>
          <w:p>
            <w:pPr>
              <w:jc w:val="right"/>
            </w:pPr>
            <w:r>
              <w:rPr>
                <w:b w:val="0"/>
                <w:i w:val="0"/>
                <w:color w:val="222222"/>
                <w:sz w:val="19"/>
              </w:rPr>
              <w:t>Month 5–6</w:t>
            </w:r>
          </w:p>
        </w:tc>
        <w:tc>
          <w:tcPr>
            <w:tcW w:type="dxa" w:w="4176"/>
            <w:shd w:val="clear" w:color="auto" w:fill="F2F2F2"/>
            <w:vAlign w:val="center"/>
          </w:tcPr>
          <w:p>
            <w:pPr>
              <w:jc w:val="right"/>
            </w:pPr>
            <w:r>
              <w:rPr>
                <w:b w:val="0"/>
                <w:i w:val="0"/>
                <w:color w:val="222222"/>
                <w:sz w:val="19"/>
              </w:rPr>
              <w:t>After depreciation — accounting profit begins</w:t>
            </w:r>
          </w:p>
        </w:tc>
      </w:tr>
      <w:tr>
        <w:trPr>
          <w:trHeight w:val="369"/>
        </w:trPr>
        <w:tc>
          <w:tcPr>
            <w:tcW w:type="dxa" w:w="4320"/>
            <w:shd w:val="clear" w:color="auto" w:fill="FFFFFF"/>
            <w:vAlign w:val="center"/>
          </w:tcPr>
          <w:p>
            <w:pPr>
              <w:jc w:val="left"/>
            </w:pPr>
            <w:r>
              <w:rPr>
                <w:b w:val="0"/>
                <w:i w:val="0"/>
                <w:color w:val="222222"/>
                <w:sz w:val="19"/>
              </w:rPr>
              <w:t>Per-Vehicle Payback Period</w:t>
            </w:r>
          </w:p>
        </w:tc>
        <w:tc>
          <w:tcPr>
            <w:tcW w:type="dxa" w:w="2304"/>
            <w:shd w:val="clear" w:color="auto" w:fill="FFFFFF"/>
            <w:vAlign w:val="center"/>
          </w:tcPr>
          <w:p>
            <w:pPr>
              <w:jc w:val="right"/>
            </w:pPr>
            <w:r>
              <w:rPr>
                <w:b w:val="0"/>
                <w:i w:val="0"/>
                <w:color w:val="222222"/>
                <w:sz w:val="19"/>
              </w:rPr>
              <w:t>13 months</w:t>
            </w:r>
          </w:p>
        </w:tc>
        <w:tc>
          <w:tcPr>
            <w:tcW w:type="dxa" w:w="4176"/>
            <w:shd w:val="clear" w:color="auto" w:fill="FFFFFF"/>
            <w:vAlign w:val="center"/>
          </w:tcPr>
          <w:p>
            <w:pPr>
              <w:jc w:val="right"/>
            </w:pPr>
            <w:r>
              <w:rPr>
                <w:b w:val="0"/>
                <w:i w:val="0"/>
                <w:color w:val="222222"/>
                <w:sz w:val="19"/>
              </w:rPr>
              <w:t>$6,500 all-in cost / ~$500 net contribution/mo</w:t>
            </w:r>
          </w:p>
        </w:tc>
      </w:tr>
      <w:tr>
        <w:trPr>
          <w:trHeight w:val="369"/>
        </w:trPr>
        <w:tc>
          <w:tcPr>
            <w:tcW w:type="dxa" w:w="4320"/>
            <w:shd w:val="clear" w:color="auto" w:fill="F2F2F2"/>
            <w:vAlign w:val="center"/>
          </w:tcPr>
          <w:p>
            <w:pPr>
              <w:jc w:val="left"/>
            </w:pPr>
            <w:r>
              <w:rPr>
                <w:b w:val="0"/>
                <w:i w:val="0"/>
                <w:color w:val="222222"/>
                <w:sz w:val="19"/>
              </w:rPr>
              <w:t>Full Startup Capital Payback</w:t>
            </w:r>
          </w:p>
        </w:tc>
        <w:tc>
          <w:tcPr>
            <w:tcW w:type="dxa" w:w="2304"/>
            <w:shd w:val="clear" w:color="auto" w:fill="F2F2F2"/>
            <w:vAlign w:val="center"/>
          </w:tcPr>
          <w:p>
            <w:pPr>
              <w:jc w:val="right"/>
            </w:pPr>
            <w:r>
              <w:rPr>
                <w:b w:val="0"/>
                <w:i w:val="0"/>
                <w:color w:val="222222"/>
                <w:sz w:val="19"/>
              </w:rPr>
              <w:t>~30 months</w:t>
            </w:r>
          </w:p>
        </w:tc>
        <w:tc>
          <w:tcPr>
            <w:tcW w:type="dxa" w:w="4176"/>
            <w:shd w:val="clear" w:color="auto" w:fill="F2F2F2"/>
            <w:vAlign w:val="center"/>
          </w:tcPr>
          <w:p>
            <w:pPr>
              <w:jc w:val="right"/>
            </w:pPr>
            <w:r>
              <w:rPr>
                <w:b w:val="0"/>
                <w:i w:val="0"/>
                <w:color w:val="222222"/>
                <w:sz w:val="19"/>
              </w:rPr>
              <w:t>$30,085 total / ~$1,000 net/mo base case</w:t>
            </w:r>
          </w:p>
        </w:tc>
      </w:tr>
      <w:tr>
        <w:trPr>
          <w:trHeight w:val="369"/>
        </w:trPr>
        <w:tc>
          <w:tcPr>
            <w:tcW w:type="dxa" w:w="4320"/>
            <w:shd w:val="clear" w:color="auto" w:fill="FFFFFF"/>
            <w:vAlign w:val="center"/>
          </w:tcPr>
          <w:p>
            <w:pPr>
              <w:jc w:val="left"/>
            </w:pPr>
            <w:r>
              <w:rPr>
                <w:b w:val="0"/>
                <w:i w:val="0"/>
                <w:color w:val="222222"/>
                <w:sz w:val="19"/>
              </w:rPr>
              <w:t>Technology Cost as % of Revenue</w:t>
            </w:r>
          </w:p>
        </w:tc>
        <w:tc>
          <w:tcPr>
            <w:tcW w:type="dxa" w:w="2304"/>
            <w:shd w:val="clear" w:color="auto" w:fill="FFFFFF"/>
            <w:vAlign w:val="center"/>
          </w:tcPr>
          <w:p>
            <w:pPr>
              <w:jc w:val="right"/>
            </w:pPr>
            <w:r>
              <w:rPr>
                <w:b w:val="0"/>
                <w:i w:val="0"/>
                <w:color w:val="222222"/>
                <w:sz w:val="19"/>
              </w:rPr>
              <w:t>2.4%</w:t>
            </w:r>
          </w:p>
        </w:tc>
        <w:tc>
          <w:tcPr>
            <w:tcW w:type="dxa" w:w="4176"/>
            <w:shd w:val="clear" w:color="auto" w:fill="FFFFFF"/>
            <w:vAlign w:val="center"/>
          </w:tcPr>
          <w:p>
            <w:pPr>
              <w:jc w:val="right"/>
            </w:pPr>
            <w:r>
              <w:rPr>
                <w:b w:val="0"/>
                <w:i w:val="0"/>
                <w:color w:val="222222"/>
                <w:sz w:val="19"/>
              </w:rPr>
              <w:t>Industry average: 8–15%. Exceptional.</w:t>
            </w:r>
          </w:p>
        </w:tc>
      </w:tr>
      <w:tr>
        <w:trPr>
          <w:trHeight w:val="369"/>
        </w:trPr>
        <w:tc>
          <w:tcPr>
            <w:tcW w:type="dxa" w:w="4320"/>
            <w:shd w:val="clear" w:color="auto" w:fill="F2F2F2"/>
            <w:vAlign w:val="center"/>
          </w:tcPr>
          <w:p>
            <w:pPr>
              <w:jc w:val="left"/>
            </w:pPr>
            <w:r>
              <w:rPr>
                <w:b w:val="0"/>
                <w:i w:val="0"/>
                <w:color w:val="222222"/>
                <w:sz w:val="19"/>
              </w:rPr>
              <w:t>Year 1 Net Income (Base Case)</w:t>
            </w:r>
          </w:p>
        </w:tc>
        <w:tc>
          <w:tcPr>
            <w:tcW w:type="dxa" w:w="2304"/>
            <w:shd w:val="clear" w:color="auto" w:fill="F2F2F2"/>
            <w:vAlign w:val="center"/>
          </w:tcPr>
          <w:p>
            <w:pPr>
              <w:jc w:val="right"/>
            </w:pPr>
            <w:r>
              <w:rPr>
                <w:b w:val="0"/>
                <w:i w:val="0"/>
                <w:color w:val="222222"/>
                <w:sz w:val="19"/>
              </w:rPr>
              <w:t>~-$5,400</w:t>
            </w:r>
          </w:p>
        </w:tc>
        <w:tc>
          <w:tcPr>
            <w:tcW w:type="dxa" w:w="4176"/>
            <w:shd w:val="clear" w:color="auto" w:fill="F2F2F2"/>
            <w:vAlign w:val="center"/>
          </w:tcPr>
          <w:p>
            <w:pPr>
              <w:jc w:val="right"/>
            </w:pPr>
            <w:r>
              <w:rPr>
                <w:b w:val="0"/>
                <w:i w:val="0"/>
                <w:color w:val="222222"/>
                <w:sz w:val="19"/>
              </w:rPr>
              <w:t>Investment year — losses carry forward for tax</w:t>
            </w:r>
          </w:p>
        </w:tc>
      </w:tr>
      <w:tr>
        <w:trPr>
          <w:trHeight w:val="369"/>
        </w:trPr>
        <w:tc>
          <w:tcPr>
            <w:tcW w:type="dxa" w:w="4320"/>
            <w:shd w:val="clear" w:color="auto" w:fill="FFFFFF"/>
            <w:vAlign w:val="center"/>
          </w:tcPr>
          <w:p>
            <w:pPr>
              <w:jc w:val="left"/>
            </w:pPr>
            <w:r>
              <w:rPr>
                <w:b w:val="0"/>
                <w:i w:val="0"/>
                <w:color w:val="222222"/>
                <w:sz w:val="19"/>
              </w:rPr>
              <w:t>Year 2 Net Income (3 cars)</w:t>
            </w:r>
          </w:p>
        </w:tc>
        <w:tc>
          <w:tcPr>
            <w:tcW w:type="dxa" w:w="2304"/>
            <w:shd w:val="clear" w:color="auto" w:fill="FFFFFF"/>
            <w:vAlign w:val="center"/>
          </w:tcPr>
          <w:p>
            <w:pPr>
              <w:jc w:val="right"/>
            </w:pPr>
            <w:r>
              <w:rPr>
                <w:b w:val="0"/>
                <w:i w:val="0"/>
                <w:color w:val="222222"/>
                <w:sz w:val="19"/>
              </w:rPr>
              <w:t>~$1,980</w:t>
            </w:r>
          </w:p>
        </w:tc>
        <w:tc>
          <w:tcPr>
            <w:tcW w:type="dxa" w:w="4176"/>
            <w:shd w:val="clear" w:color="auto" w:fill="FFFFFF"/>
            <w:vAlign w:val="center"/>
          </w:tcPr>
          <w:p>
            <w:pPr>
              <w:jc w:val="right"/>
            </w:pPr>
            <w:r>
              <w:rPr>
                <w:b w:val="0"/>
                <w:i w:val="0"/>
                <w:color w:val="222222"/>
                <w:sz w:val="19"/>
              </w:rPr>
              <w:t>First profitable year — reinvest into fleet</w:t>
            </w:r>
          </w:p>
        </w:tc>
      </w:tr>
      <w:tr>
        <w:trPr>
          <w:trHeight w:val="369"/>
        </w:trPr>
        <w:tc>
          <w:tcPr>
            <w:tcW w:type="dxa" w:w="4320"/>
            <w:shd w:val="clear" w:color="auto" w:fill="F2F2F2"/>
            <w:vAlign w:val="center"/>
          </w:tcPr>
          <w:p>
            <w:pPr>
              <w:jc w:val="left"/>
            </w:pPr>
            <w:r>
              <w:rPr>
                <w:b w:val="0"/>
                <w:i w:val="0"/>
                <w:color w:val="222222"/>
                <w:sz w:val="19"/>
              </w:rPr>
              <w:t>5-Car Annual Net Income</w:t>
            </w:r>
          </w:p>
        </w:tc>
        <w:tc>
          <w:tcPr>
            <w:tcW w:type="dxa" w:w="2304"/>
            <w:shd w:val="clear" w:color="auto" w:fill="F2F2F2"/>
            <w:vAlign w:val="center"/>
          </w:tcPr>
          <w:p>
            <w:pPr>
              <w:jc w:val="right"/>
            </w:pPr>
            <w:r>
              <w:rPr>
                <w:b w:val="0"/>
                <w:i w:val="0"/>
                <w:color w:val="222222"/>
                <w:sz w:val="19"/>
              </w:rPr>
              <w:t>~$28,764</w:t>
            </w:r>
          </w:p>
        </w:tc>
        <w:tc>
          <w:tcPr>
            <w:tcW w:type="dxa" w:w="4176"/>
            <w:shd w:val="clear" w:color="auto" w:fill="F2F2F2"/>
            <w:vAlign w:val="center"/>
          </w:tcPr>
          <w:p>
            <w:pPr>
              <w:jc w:val="right"/>
            </w:pPr>
            <w:r>
              <w:rPr>
                <w:b w:val="0"/>
                <w:i w:val="0"/>
                <w:color w:val="222222"/>
                <w:sz w:val="19"/>
              </w:rPr>
              <w:t>Real supplemental income — Year 2 target</w:t>
            </w:r>
          </w:p>
        </w:tc>
      </w:tr>
    </w:tbl>
    <w:p>
      <w:pPr>
        <w:spacing w:after="80"/>
      </w:pPr>
    </w:p>
    <w:p>
      <w:r>
        <w:br w:type="page"/>
      </w:r>
    </w:p>
    <w:p>
      <w:pPr>
        <w:spacing w:before="280" w:after="120"/>
        <w:jc w:val="left"/>
      </w:pPr>
      <w:r>
        <w:rPr>
          <w:b/>
          <w:color w:val="0D2B55"/>
          <w:sz w:val="36"/>
        </w:rPr>
        <w:t>2.  Audited Startup Capital — $30,085 CAD</w:t>
      </w:r>
    </w:p>
    <w:p>
      <w:pPr>
        <w:pBdr>
          <w:bottom w:val="single" w:sz="6" w:space="1" w:color="007A87"/>
        </w:pBdr>
        <w:spacing w:after="120" w:before="120"/>
      </w:pPr>
    </w:p>
    <w:p>
      <w:pPr>
        <w:spacing w:after="80" w:before="40"/>
      </w:pPr>
      <w:r>
        <w:rPr>
          <w:b w:val="0"/>
          <w:color w:val="222222"/>
          <w:sz w:val="21"/>
        </w:rPr>
        <w:t>The original business plan projected a startup range of $22,910–$37,260 CAD — a $14,350 spread too wide for reliable cash planning. Our audit reconciles this to a realistic midpoint of $30,085, with 6 line items identified that were absent from the original plan.</w:t>
      </w:r>
    </w:p>
    <w:p>
      <w:pPr>
        <w:spacing w:before="200" w:after="120"/>
        <w:jc w:val="left"/>
      </w:pPr>
      <w:r>
        <w:rPr>
          <w:b/>
          <w:color w:val="0D2B55"/>
          <w:sz w:val="28"/>
        </w:rPr>
        <w:t>Complete Cost Breakdown by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8"/>
            <w:shd w:val="clear" w:color="auto" w:fill="0D2B55"/>
            <w:vAlign w:val="center"/>
          </w:tcPr>
          <w:p>
            <w:pPr>
              <w:jc w:val="center"/>
            </w:pPr>
            <w:r>
              <w:rPr>
                <w:b/>
                <w:i w:val="0"/>
                <w:color w:val="FFFFFF"/>
                <w:sz w:val="18"/>
              </w:rPr>
              <w:t>Category &amp; Line Item</w:t>
            </w:r>
          </w:p>
        </w:tc>
        <w:tc>
          <w:tcPr>
            <w:tcW w:type="dxa" w:w="2160"/>
            <w:shd w:val="clear" w:color="auto" w:fill="0D2B55"/>
            <w:vAlign w:val="center"/>
          </w:tcPr>
          <w:p>
            <w:pPr>
              <w:jc w:val="center"/>
            </w:pPr>
            <w:r>
              <w:rPr>
                <w:b/>
                <w:i w:val="0"/>
                <w:color w:val="FFFFFF"/>
                <w:sz w:val="18"/>
              </w:rPr>
              <w:t>Original Plan</w:t>
            </w:r>
          </w:p>
        </w:tc>
        <w:tc>
          <w:tcPr>
            <w:tcW w:type="dxa" w:w="2016"/>
            <w:shd w:val="clear" w:color="auto" w:fill="0D2B55"/>
            <w:vAlign w:val="center"/>
          </w:tcPr>
          <w:p>
            <w:pPr>
              <w:jc w:val="center"/>
            </w:pPr>
            <w:r>
              <w:rPr>
                <w:b/>
                <w:i w:val="0"/>
                <w:color w:val="FFFFFF"/>
                <w:sz w:val="18"/>
              </w:rPr>
              <w:t>Audited Realistic</w:t>
            </w:r>
          </w:p>
        </w:tc>
        <w:tc>
          <w:tcPr>
            <w:tcW w:type="dxa" w:w="3456"/>
            <w:shd w:val="clear" w:color="auto" w:fill="0D2B55"/>
            <w:vAlign w:val="center"/>
          </w:tcPr>
          <w:p>
            <w:pPr>
              <w:jc w:val="center"/>
            </w:pPr>
            <w:r>
              <w:rPr>
                <w:b/>
                <w:i w:val="0"/>
                <w:color w:val="FFFFFF"/>
                <w:sz w:val="18"/>
              </w:rPr>
              <w:t>Notes</w:t>
            </w:r>
          </w:p>
        </w:tc>
      </w:tr>
      <w:tr>
        <w:tc>
          <w:tcPr>
            <w:tcW w:type="dxa" w:w="4608"/>
            <w:shd w:val="clear" w:color="auto" w:fill="0D2B55"/>
            <w:vAlign w:val="center"/>
          </w:tcPr>
          <w:p>
            <w:pPr>
              <w:jc w:val="left"/>
            </w:pPr>
            <w:r>
              <w:rPr>
                <w:b/>
                <w:i w:val="0"/>
                <w:color w:val="FFFFFF"/>
                <w:sz w:val="18"/>
              </w:rPr>
              <w:t>VEHICLES</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2F2F2"/>
            <w:vAlign w:val="center"/>
          </w:tcPr>
          <w:p>
            <w:pPr>
              <w:jc w:val="left"/>
            </w:pPr>
            <w:r>
              <w:rPr>
                <w:b w:val="0"/>
                <w:i w:val="0"/>
                <w:color w:val="222222"/>
                <w:sz w:val="18"/>
              </w:rPr>
              <w:t xml:space="preserve">  Vehicle #1 (FB Marketplace / Auction)</w:t>
            </w:r>
          </w:p>
        </w:tc>
        <w:tc>
          <w:tcPr>
            <w:tcW w:type="dxa" w:w="2160"/>
            <w:shd w:val="clear" w:color="auto" w:fill="F2F2F2"/>
            <w:vAlign w:val="center"/>
          </w:tcPr>
          <w:p>
            <w:pPr>
              <w:jc w:val="center"/>
            </w:pPr>
            <w:r>
              <w:rPr>
                <w:b w:val="0"/>
                <w:i w:val="0"/>
                <w:color w:val="222222"/>
                <w:sz w:val="18"/>
              </w:rPr>
              <w:t>$4,000–$6,000</w:t>
            </w:r>
          </w:p>
        </w:tc>
        <w:tc>
          <w:tcPr>
            <w:tcW w:type="dxa" w:w="2016"/>
            <w:shd w:val="clear" w:color="auto" w:fill="F2F2F2"/>
            <w:vAlign w:val="center"/>
          </w:tcPr>
          <w:p>
            <w:pPr>
              <w:jc w:val="center"/>
            </w:pPr>
            <w:r>
              <w:rPr>
                <w:b w:val="0"/>
                <w:i w:val="0"/>
                <w:color w:val="222222"/>
                <w:sz w:val="18"/>
              </w:rPr>
              <w:t>$5,000</w:t>
            </w:r>
          </w:p>
        </w:tc>
        <w:tc>
          <w:tcPr>
            <w:tcW w:type="dxa" w:w="3456"/>
            <w:shd w:val="clear" w:color="auto" w:fill="F2F2F2"/>
            <w:vAlign w:val="center"/>
          </w:tcPr>
          <w:p>
            <w:pPr>
              <w:jc w:val="left"/>
            </w:pPr>
            <w:r>
              <w:rPr>
                <w:b w:val="0"/>
                <w:i w:val="0"/>
                <w:color w:val="222222"/>
                <w:sz w:val="18"/>
              </w:rPr>
              <w:t>Budget $5K; negotiate to $4,500</w:t>
            </w:r>
          </w:p>
        </w:tc>
      </w:tr>
      <w:tr>
        <w:tc>
          <w:tcPr>
            <w:tcW w:type="dxa" w:w="4608"/>
            <w:shd w:val="clear" w:color="auto" w:fill="FFFFFF"/>
            <w:vAlign w:val="center"/>
          </w:tcPr>
          <w:p>
            <w:pPr>
              <w:jc w:val="left"/>
            </w:pPr>
            <w:r>
              <w:rPr>
                <w:b w:val="0"/>
                <w:i w:val="0"/>
                <w:color w:val="222222"/>
                <w:sz w:val="18"/>
              </w:rPr>
              <w:t xml:space="preserve">  Vehicle #2 (FB Marketplace / Auction)</w:t>
            </w:r>
          </w:p>
        </w:tc>
        <w:tc>
          <w:tcPr>
            <w:tcW w:type="dxa" w:w="2160"/>
            <w:shd w:val="clear" w:color="auto" w:fill="FFFFFF"/>
            <w:vAlign w:val="center"/>
          </w:tcPr>
          <w:p>
            <w:pPr>
              <w:jc w:val="center"/>
            </w:pPr>
            <w:r>
              <w:rPr>
                <w:b w:val="0"/>
                <w:i w:val="0"/>
                <w:color w:val="222222"/>
                <w:sz w:val="18"/>
              </w:rPr>
              <w:t>$4,000–$6,000</w:t>
            </w:r>
          </w:p>
        </w:tc>
        <w:tc>
          <w:tcPr>
            <w:tcW w:type="dxa" w:w="2016"/>
            <w:shd w:val="clear" w:color="auto" w:fill="FFFFFF"/>
            <w:vAlign w:val="center"/>
          </w:tcPr>
          <w:p>
            <w:pPr>
              <w:jc w:val="center"/>
            </w:pPr>
            <w:r>
              <w:rPr>
                <w:b w:val="0"/>
                <w:i w:val="0"/>
                <w:color w:val="222222"/>
                <w:sz w:val="18"/>
              </w:rPr>
              <w:t>$5,000</w:t>
            </w:r>
          </w:p>
        </w:tc>
        <w:tc>
          <w:tcPr>
            <w:tcW w:type="dxa" w:w="3456"/>
            <w:shd w:val="clear" w:color="auto" w:fill="FFFFFF"/>
            <w:vAlign w:val="center"/>
          </w:tcPr>
          <w:p>
            <w:pPr>
              <w:jc w:val="left"/>
            </w:pPr>
            <w:r>
              <w:rPr>
                <w:b w:val="0"/>
                <w:i w:val="0"/>
                <w:color w:val="222222"/>
                <w:sz w:val="18"/>
              </w:rPr>
              <w:t>Match makes/models for savings</w:t>
            </w:r>
          </w:p>
        </w:tc>
      </w:tr>
      <w:tr>
        <w:tc>
          <w:tcPr>
            <w:tcW w:type="dxa" w:w="4608"/>
            <w:shd w:val="clear" w:color="auto" w:fill="F2F2F2"/>
            <w:vAlign w:val="center"/>
          </w:tcPr>
          <w:p>
            <w:pPr>
              <w:jc w:val="left"/>
            </w:pPr>
            <w:r>
              <w:rPr>
                <w:b w:val="0"/>
                <w:i w:val="0"/>
                <w:color w:val="222222"/>
                <w:sz w:val="18"/>
              </w:rPr>
              <w:t xml:space="preserve">  Pre-rental work — Car #1 (safety, tires, oil)</w:t>
            </w:r>
          </w:p>
        </w:tc>
        <w:tc>
          <w:tcPr>
            <w:tcW w:type="dxa" w:w="2160"/>
            <w:shd w:val="clear" w:color="auto" w:fill="F2F2F2"/>
            <w:vAlign w:val="center"/>
          </w:tcPr>
          <w:p>
            <w:pPr>
              <w:jc w:val="center"/>
            </w:pPr>
            <w:r>
              <w:rPr>
                <w:b w:val="0"/>
                <w:i w:val="0"/>
                <w:color w:val="222222"/>
                <w:sz w:val="18"/>
              </w:rPr>
              <w:t>$500–$1,000</w:t>
            </w:r>
          </w:p>
        </w:tc>
        <w:tc>
          <w:tcPr>
            <w:tcW w:type="dxa" w:w="2016"/>
            <w:shd w:val="clear" w:color="auto" w:fill="F2F2F2"/>
            <w:vAlign w:val="center"/>
          </w:tcPr>
          <w:p>
            <w:pPr>
              <w:jc w:val="center"/>
            </w:pPr>
            <w:r>
              <w:rPr>
                <w:b w:val="0"/>
                <w:i w:val="0"/>
                <w:color w:val="222222"/>
                <w:sz w:val="18"/>
              </w:rPr>
              <w:t>$850</w:t>
            </w:r>
          </w:p>
        </w:tc>
        <w:tc>
          <w:tcPr>
            <w:tcW w:type="dxa" w:w="3456"/>
            <w:shd w:val="clear" w:color="auto" w:fill="F2F2F2"/>
            <w:vAlign w:val="center"/>
          </w:tcPr>
          <w:p>
            <w:pPr>
              <w:jc w:val="left"/>
            </w:pPr>
            <w:r>
              <w:rPr>
                <w:b w:val="0"/>
                <w:i w:val="0"/>
                <w:color w:val="222222"/>
                <w:sz w:val="18"/>
              </w:rPr>
              <w:t>Auditor raised low estimate</w:t>
            </w:r>
          </w:p>
        </w:tc>
      </w:tr>
      <w:tr>
        <w:tc>
          <w:tcPr>
            <w:tcW w:type="dxa" w:w="4608"/>
            <w:shd w:val="clear" w:color="auto" w:fill="FFFFFF"/>
            <w:vAlign w:val="center"/>
          </w:tcPr>
          <w:p>
            <w:pPr>
              <w:jc w:val="left"/>
            </w:pPr>
            <w:r>
              <w:rPr>
                <w:b w:val="0"/>
                <w:i w:val="0"/>
                <w:color w:val="222222"/>
                <w:sz w:val="18"/>
              </w:rPr>
              <w:t xml:space="preserve">  Pre-rental work — Car #2</w:t>
            </w:r>
          </w:p>
        </w:tc>
        <w:tc>
          <w:tcPr>
            <w:tcW w:type="dxa" w:w="2160"/>
            <w:shd w:val="clear" w:color="auto" w:fill="FFFFFF"/>
            <w:vAlign w:val="center"/>
          </w:tcPr>
          <w:p>
            <w:pPr>
              <w:jc w:val="center"/>
            </w:pPr>
            <w:r>
              <w:rPr>
                <w:b w:val="0"/>
                <w:i w:val="0"/>
                <w:color w:val="222222"/>
                <w:sz w:val="18"/>
              </w:rPr>
              <w:t>$500–$1,000</w:t>
            </w:r>
          </w:p>
        </w:tc>
        <w:tc>
          <w:tcPr>
            <w:tcW w:type="dxa" w:w="2016"/>
            <w:shd w:val="clear" w:color="auto" w:fill="FFFFFF"/>
            <w:vAlign w:val="center"/>
          </w:tcPr>
          <w:p>
            <w:pPr>
              <w:jc w:val="center"/>
            </w:pPr>
            <w:r>
              <w:rPr>
                <w:b w:val="0"/>
                <w:i w:val="0"/>
                <w:color w:val="222222"/>
                <w:sz w:val="18"/>
              </w:rPr>
              <w:t>$850</w:t>
            </w:r>
          </w:p>
        </w:tc>
        <w:tc>
          <w:tcPr>
            <w:tcW w:type="dxa" w:w="3456"/>
            <w:shd w:val="clear" w:color="auto" w:fill="FFFFFF"/>
            <w:vAlign w:val="center"/>
          </w:tcPr>
          <w:p>
            <w:pPr>
              <w:jc w:val="left"/>
            </w:pPr>
            <w:r>
              <w:rPr>
                <w:b w:val="0"/>
                <w:i w:val="0"/>
                <w:color w:val="222222"/>
                <w:sz w:val="18"/>
              </w:rPr>
              <w:t>Same as Car #1</w:t>
            </w:r>
          </w:p>
        </w:tc>
      </w:tr>
      <w:tr>
        <w:tc>
          <w:tcPr>
            <w:tcW w:type="dxa" w:w="4608"/>
            <w:shd w:val="clear" w:color="auto" w:fill="FFF8E1"/>
            <w:vAlign w:val="center"/>
          </w:tcPr>
          <w:p>
            <w:pPr>
              <w:jc w:val="left"/>
            </w:pPr>
            <w:r>
              <w:rPr>
                <w:b w:val="0"/>
                <w:i w:val="0"/>
                <w:color w:val="222222"/>
                <w:sz w:val="18"/>
              </w:rPr>
              <w:t xml:space="preserve">  CarFax reports (2 × $50)</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$100</w:t>
            </w:r>
          </w:p>
        </w:tc>
        <w:tc>
          <w:tcPr>
            <w:tcW w:type="dxa" w:w="3456"/>
            <w:shd w:val="clear" w:color="auto" w:fill="FFF8E1"/>
            <w:vAlign w:val="center"/>
          </w:tcPr>
          <w:p>
            <w:pPr>
              <w:jc w:val="left"/>
            </w:pPr>
            <w:r>
              <w:rPr>
                <w:b w:val="0"/>
                <w:i w:val="0"/>
                <w:color w:val="E67E22"/>
                <w:sz w:val="18"/>
              </w:rPr>
              <w:t>Mandatory — never buy without</w:t>
            </w:r>
          </w:p>
        </w:tc>
      </w:tr>
      <w:tr>
        <w:tc>
          <w:tcPr>
            <w:tcW w:type="dxa" w:w="4608"/>
            <w:shd w:val="clear" w:color="auto" w:fill="FFF8E1"/>
            <w:vAlign w:val="center"/>
          </w:tcPr>
          <w:p>
            <w:pPr>
              <w:jc w:val="left"/>
            </w:pPr>
            <w:r>
              <w:rPr>
                <w:b w:val="0"/>
                <w:i w:val="0"/>
                <w:color w:val="222222"/>
                <w:sz w:val="18"/>
              </w:rPr>
              <w:t xml:space="preserve">  Pre-purchase mechanic inspection (2 × $125)</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$250</w:t>
            </w:r>
          </w:p>
        </w:tc>
        <w:tc>
          <w:tcPr>
            <w:tcW w:type="dxa" w:w="3456"/>
            <w:shd w:val="clear" w:color="auto" w:fill="FFF8E1"/>
            <w:vAlign w:val="center"/>
          </w:tcPr>
          <w:p>
            <w:pPr>
              <w:jc w:val="left"/>
            </w:pPr>
            <w:r>
              <w:rPr>
                <w:b w:val="0"/>
                <w:i w:val="0"/>
                <w:color w:val="E67E22"/>
                <w:sz w:val="18"/>
              </w:rPr>
              <w:t>$125 prevents $4,000 mistakes</w:t>
            </w:r>
          </w:p>
        </w:tc>
      </w:tr>
      <w:tr>
        <w:tc>
          <w:tcPr>
            <w:tcW w:type="dxa" w:w="4608"/>
            <w:shd w:val="clear" w:color="auto" w:fill="0D2B55"/>
            <w:vAlign w:val="center"/>
          </w:tcPr>
          <w:p>
            <w:pPr>
              <w:jc w:val="left"/>
            </w:pPr>
            <w:r>
              <w:rPr>
                <w:b/>
                <w:i w:val="0"/>
                <w:color w:val="FFFFFF"/>
                <w:sz w:val="18"/>
              </w:rPr>
              <w:t>SECURITY &amp; GPS</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FFF"/>
            <w:vAlign w:val="center"/>
          </w:tcPr>
          <w:p>
            <w:pPr>
              <w:jc w:val="left"/>
            </w:pPr>
            <w:r>
              <w:rPr>
                <w:b w:val="0"/>
                <w:i w:val="0"/>
                <w:color w:val="222222"/>
                <w:sz w:val="18"/>
              </w:rPr>
              <w:t xml:space="preserve">  Bouncie GPS devices (2 × $67)</w:t>
            </w:r>
          </w:p>
        </w:tc>
        <w:tc>
          <w:tcPr>
            <w:tcW w:type="dxa" w:w="2160"/>
            <w:shd w:val="clear" w:color="auto" w:fill="FFFFFF"/>
            <w:vAlign w:val="center"/>
          </w:tcPr>
          <w:p>
            <w:pPr>
              <w:jc w:val="center"/>
            </w:pPr>
            <w:r>
              <w:rPr>
                <w:b w:val="0"/>
                <w:i w:val="0"/>
                <w:color w:val="222222"/>
                <w:sz w:val="18"/>
              </w:rPr>
              <w:t>$134</w:t>
            </w:r>
          </w:p>
        </w:tc>
        <w:tc>
          <w:tcPr>
            <w:tcW w:type="dxa" w:w="2016"/>
            <w:shd w:val="clear" w:color="auto" w:fill="FFFFFF"/>
            <w:vAlign w:val="center"/>
          </w:tcPr>
          <w:p>
            <w:pPr>
              <w:jc w:val="center"/>
            </w:pPr>
            <w:r>
              <w:rPr>
                <w:b w:val="0"/>
                <w:i w:val="0"/>
                <w:color w:val="222222"/>
                <w:sz w:val="18"/>
              </w:rPr>
              <w:t>$134</w:t>
            </w:r>
          </w:p>
        </w:tc>
        <w:tc>
          <w:tcPr>
            <w:tcW w:type="dxa" w:w="3456"/>
            <w:shd w:val="clear" w:color="auto" w:fill="FFFFFF"/>
            <w:vAlign w:val="center"/>
          </w:tcPr>
          <w:p>
            <w:pPr>
              <w:jc w:val="left"/>
            </w:pPr>
            <w:r>
              <w:rPr>
                <w:b w:val="0"/>
                <w:i w:val="0"/>
                <w:color w:val="222222"/>
                <w:sz w:val="18"/>
              </w:rPr>
              <w:t>Exact — from architecture budget</w:t>
            </w:r>
          </w:p>
        </w:tc>
      </w:tr>
      <w:tr>
        <w:tc>
          <w:tcPr>
            <w:tcW w:type="dxa" w:w="4608"/>
            <w:shd w:val="clear" w:color="auto" w:fill="F2F2F2"/>
            <w:vAlign w:val="center"/>
          </w:tcPr>
          <w:p>
            <w:pPr>
              <w:jc w:val="left"/>
            </w:pPr>
            <w:r>
              <w:rPr>
                <w:b w:val="0"/>
                <w:i w:val="0"/>
                <w:color w:val="222222"/>
                <w:sz w:val="18"/>
              </w:rPr>
              <w:t xml:space="preserve">  Kill switch / PassTime install (2 cars)</w:t>
            </w:r>
          </w:p>
        </w:tc>
        <w:tc>
          <w:tcPr>
            <w:tcW w:type="dxa" w:w="2160"/>
            <w:shd w:val="clear" w:color="auto" w:fill="F2F2F2"/>
            <w:vAlign w:val="center"/>
          </w:tcPr>
          <w:p>
            <w:pPr>
              <w:jc w:val="center"/>
            </w:pPr>
            <w:r>
              <w:rPr>
                <w:b w:val="0"/>
                <w:i w:val="0"/>
                <w:color w:val="222222"/>
                <w:sz w:val="18"/>
              </w:rPr>
              <w:t>$700–$900</w:t>
            </w:r>
          </w:p>
        </w:tc>
        <w:tc>
          <w:tcPr>
            <w:tcW w:type="dxa" w:w="2016"/>
            <w:shd w:val="clear" w:color="auto" w:fill="F2F2F2"/>
            <w:vAlign w:val="center"/>
          </w:tcPr>
          <w:p>
            <w:pPr>
              <w:jc w:val="center"/>
            </w:pPr>
            <w:r>
              <w:rPr>
                <w:b w:val="0"/>
                <w:i w:val="0"/>
                <w:color w:val="222222"/>
                <w:sz w:val="18"/>
              </w:rPr>
              <w:t>$800</w:t>
            </w:r>
          </w:p>
        </w:tc>
        <w:tc>
          <w:tcPr>
            <w:tcW w:type="dxa" w:w="3456"/>
            <w:shd w:val="clear" w:color="auto" w:fill="F2F2F2"/>
            <w:vAlign w:val="center"/>
          </w:tcPr>
          <w:p>
            <w:pPr>
              <w:jc w:val="left"/>
            </w:pPr>
            <w:r>
              <w:rPr>
                <w:b w:val="0"/>
                <w:i w:val="0"/>
                <w:color w:val="222222"/>
                <w:sz w:val="18"/>
              </w:rPr>
              <w:t>Midpoint; get quotes</w:t>
            </w:r>
          </w:p>
        </w:tc>
      </w:tr>
      <w:tr>
        <w:tc>
          <w:tcPr>
            <w:tcW w:type="dxa" w:w="4608"/>
            <w:shd w:val="clear" w:color="auto" w:fill="FFF8E1"/>
            <w:vAlign w:val="center"/>
          </w:tcPr>
          <w:p>
            <w:pPr>
              <w:jc w:val="left"/>
            </w:pPr>
            <w:r>
              <w:rPr>
                <w:b w:val="0"/>
                <w:i w:val="0"/>
                <w:color w:val="222222"/>
                <w:sz w:val="18"/>
              </w:rPr>
              <w:t xml:space="preserve">  GPS legal disclosure stickers</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$15</w:t>
            </w:r>
          </w:p>
        </w:tc>
        <w:tc>
          <w:tcPr>
            <w:tcW w:type="dxa" w:w="3456"/>
            <w:shd w:val="clear" w:color="auto" w:fill="FFF8E1"/>
            <w:vAlign w:val="center"/>
          </w:tcPr>
          <w:p>
            <w:pPr>
              <w:jc w:val="left"/>
            </w:pPr>
            <w:r>
              <w:rPr>
                <w:b w:val="0"/>
                <w:i w:val="0"/>
                <w:color w:val="E67E22"/>
                <w:sz w:val="18"/>
              </w:rPr>
              <w:t>Ontario PIPEDA requirement</w:t>
            </w:r>
          </w:p>
        </w:tc>
      </w:tr>
      <w:tr>
        <w:tc>
          <w:tcPr>
            <w:tcW w:type="dxa" w:w="4608"/>
            <w:shd w:val="clear" w:color="auto" w:fill="0D2B55"/>
            <w:vAlign w:val="center"/>
          </w:tcPr>
          <w:p>
            <w:pPr>
              <w:jc w:val="left"/>
            </w:pPr>
            <w:r>
              <w:rPr>
                <w:b/>
                <w:i w:val="0"/>
                <w:color w:val="FFFFFF"/>
                <w:sz w:val="18"/>
              </w:rPr>
              <w:t>INSURANCE</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FFF"/>
            <w:vAlign w:val="center"/>
          </w:tcPr>
          <w:p>
            <w:pPr>
              <w:jc w:val="left"/>
            </w:pPr>
            <w:r>
              <w:rPr>
                <w:b w:val="0"/>
                <w:i w:val="0"/>
                <w:color w:val="222222"/>
                <w:sz w:val="18"/>
              </w:rPr>
              <w:t xml:space="preserve">  Commercial fleet insurance — Year 1</w:t>
            </w:r>
          </w:p>
        </w:tc>
        <w:tc>
          <w:tcPr>
            <w:tcW w:type="dxa" w:w="2160"/>
            <w:shd w:val="clear" w:color="auto" w:fill="FFFFFF"/>
            <w:vAlign w:val="center"/>
          </w:tcPr>
          <w:p>
            <w:pPr>
              <w:jc w:val="center"/>
            </w:pPr>
            <w:r>
              <w:rPr>
                <w:b w:val="0"/>
                <w:i w:val="0"/>
                <w:color w:val="222222"/>
                <w:sz w:val="18"/>
              </w:rPr>
              <w:t>$6,000–$10,000</w:t>
            </w:r>
          </w:p>
        </w:tc>
        <w:tc>
          <w:tcPr>
            <w:tcW w:type="dxa" w:w="2016"/>
            <w:shd w:val="clear" w:color="auto" w:fill="FFFFFF"/>
            <w:vAlign w:val="center"/>
          </w:tcPr>
          <w:p>
            <w:pPr>
              <w:jc w:val="center"/>
            </w:pPr>
            <w:r>
              <w:rPr>
                <w:b w:val="0"/>
                <w:i w:val="0"/>
                <w:color w:val="222222"/>
                <w:sz w:val="18"/>
              </w:rPr>
              <w:t>$8,000</w:t>
            </w:r>
          </w:p>
        </w:tc>
        <w:tc>
          <w:tcPr>
            <w:tcW w:type="dxa" w:w="3456"/>
            <w:shd w:val="clear" w:color="auto" w:fill="FFFFFF"/>
            <w:vAlign w:val="center"/>
          </w:tcPr>
          <w:p>
            <w:pPr>
              <w:jc w:val="left"/>
            </w:pPr>
            <w:r>
              <w:rPr>
                <w:b w:val="0"/>
                <w:i w:val="0"/>
                <w:color w:val="222222"/>
                <w:sz w:val="18"/>
              </w:rPr>
              <w:t>GET 3 QUOTES. Largest fixed cost.</w:t>
            </w:r>
          </w:p>
        </w:tc>
      </w:tr>
      <w:tr>
        <w:tc>
          <w:tcPr>
            <w:tcW w:type="dxa" w:w="4608"/>
            <w:shd w:val="clear" w:color="auto" w:fill="0D2B55"/>
            <w:vAlign w:val="center"/>
          </w:tcPr>
          <w:p>
            <w:pPr>
              <w:jc w:val="left"/>
            </w:pPr>
            <w:r>
              <w:rPr>
                <w:b/>
                <w:i w:val="0"/>
                <w:color w:val="FFFFFF"/>
                <w:sz w:val="18"/>
              </w:rPr>
              <w:t>LEGAL &amp; COMPLIANCE</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FFF"/>
            <w:vAlign w:val="center"/>
          </w:tcPr>
          <w:p>
            <w:pPr>
              <w:jc w:val="left"/>
            </w:pPr>
            <w:r>
              <w:rPr>
                <w:b w:val="0"/>
                <w:i w:val="0"/>
                <w:color w:val="222222"/>
                <w:sz w:val="18"/>
              </w:rPr>
              <w:t xml:space="preserve">  Paralegal — rental agreement review</w:t>
            </w:r>
          </w:p>
        </w:tc>
        <w:tc>
          <w:tcPr>
            <w:tcW w:type="dxa" w:w="2160"/>
            <w:shd w:val="clear" w:color="auto" w:fill="FFFFFF"/>
            <w:vAlign w:val="center"/>
          </w:tcPr>
          <w:p>
            <w:pPr>
              <w:jc w:val="center"/>
            </w:pPr>
            <w:r>
              <w:rPr>
                <w:b w:val="0"/>
                <w:i w:val="0"/>
                <w:color w:val="222222"/>
                <w:sz w:val="18"/>
              </w:rPr>
              <w:t>$200–$400</w:t>
            </w:r>
          </w:p>
        </w:tc>
        <w:tc>
          <w:tcPr>
            <w:tcW w:type="dxa" w:w="2016"/>
            <w:shd w:val="clear" w:color="auto" w:fill="FFFFFF"/>
            <w:vAlign w:val="center"/>
          </w:tcPr>
          <w:p>
            <w:pPr>
              <w:jc w:val="center"/>
            </w:pPr>
            <w:r>
              <w:rPr>
                <w:b w:val="0"/>
                <w:i w:val="0"/>
                <w:color w:val="222222"/>
                <w:sz w:val="18"/>
              </w:rPr>
              <w:t>$300</w:t>
            </w:r>
          </w:p>
        </w:tc>
        <w:tc>
          <w:tcPr>
            <w:tcW w:type="dxa" w:w="3456"/>
            <w:shd w:val="clear" w:color="auto" w:fill="FFFFFF"/>
            <w:vAlign w:val="center"/>
          </w:tcPr>
          <w:p>
            <w:pPr>
              <w:jc w:val="left"/>
            </w:pPr>
            <w:r>
              <w:rPr>
                <w:b w:val="0"/>
                <w:i w:val="0"/>
                <w:color w:val="222222"/>
                <w:sz w:val="18"/>
              </w:rPr>
              <w:t>1 hour review; not full lawyer</w:t>
            </w:r>
          </w:p>
        </w:tc>
      </w:tr>
      <w:tr>
        <w:tc>
          <w:tcPr>
            <w:tcW w:type="dxa" w:w="4608"/>
            <w:shd w:val="clear" w:color="auto" w:fill="F2F2F2"/>
            <w:vAlign w:val="center"/>
          </w:tcPr>
          <w:p>
            <w:pPr>
              <w:jc w:val="left"/>
            </w:pPr>
            <w:r>
              <w:rPr>
                <w:b w:val="0"/>
                <w:i w:val="0"/>
                <w:color w:val="222222"/>
                <w:sz w:val="18"/>
              </w:rPr>
              <w:t xml:space="preserve">  Trade name registration</w:t>
            </w:r>
          </w:p>
        </w:tc>
        <w:tc>
          <w:tcPr>
            <w:tcW w:type="dxa" w:w="2160"/>
            <w:shd w:val="clear" w:color="auto" w:fill="F2F2F2"/>
            <w:vAlign w:val="center"/>
          </w:tcPr>
          <w:p>
            <w:pPr>
              <w:jc w:val="center"/>
            </w:pPr>
            <w:r>
              <w:rPr>
                <w:b w:val="0"/>
                <w:i w:val="0"/>
                <w:color w:val="222222"/>
                <w:sz w:val="18"/>
              </w:rPr>
              <w:t>$60</w:t>
            </w:r>
          </w:p>
        </w:tc>
        <w:tc>
          <w:tcPr>
            <w:tcW w:type="dxa" w:w="2016"/>
            <w:shd w:val="clear" w:color="auto" w:fill="F2F2F2"/>
            <w:vAlign w:val="center"/>
          </w:tcPr>
          <w:p>
            <w:pPr>
              <w:jc w:val="center"/>
            </w:pPr>
            <w:r>
              <w:rPr>
                <w:b w:val="0"/>
                <w:i w:val="0"/>
                <w:color w:val="222222"/>
                <w:sz w:val="18"/>
              </w:rPr>
              <w:t>$60</w:t>
            </w:r>
          </w:p>
        </w:tc>
        <w:tc>
          <w:tcPr>
            <w:tcW w:type="dxa" w:w="3456"/>
            <w:shd w:val="clear" w:color="auto" w:fill="F2F2F2"/>
            <w:vAlign w:val="center"/>
          </w:tcPr>
          <w:p>
            <w:pPr>
              <w:jc w:val="left"/>
            </w:pPr>
            <w:r>
              <w:rPr>
                <w:b w:val="0"/>
                <w:i w:val="0"/>
                <w:color w:val="222222"/>
                <w:sz w:val="18"/>
              </w:rPr>
              <w:t>Fixed Ontario Business Registry</w:t>
            </w:r>
          </w:p>
        </w:tc>
      </w:tr>
      <w:tr>
        <w:tc>
          <w:tcPr>
            <w:tcW w:type="dxa" w:w="4608"/>
            <w:shd w:val="clear" w:color="auto" w:fill="FFFFFF"/>
            <w:vAlign w:val="center"/>
          </w:tcPr>
          <w:p>
            <w:pPr>
              <w:jc w:val="left"/>
            </w:pPr>
            <w:r>
              <w:rPr>
                <w:b w:val="0"/>
                <w:i w:val="0"/>
                <w:color w:val="222222"/>
                <w:sz w:val="18"/>
              </w:rPr>
              <w:t xml:space="preserve">  Municipal business license</w:t>
            </w:r>
          </w:p>
        </w:tc>
        <w:tc>
          <w:tcPr>
            <w:tcW w:type="dxa" w:w="2160"/>
            <w:shd w:val="clear" w:color="auto" w:fill="FFFFFF"/>
            <w:vAlign w:val="center"/>
          </w:tcPr>
          <w:p>
            <w:pPr>
              <w:jc w:val="center"/>
            </w:pPr>
            <w:r>
              <w:rPr>
                <w:b w:val="0"/>
                <w:i w:val="0"/>
                <w:color w:val="222222"/>
                <w:sz w:val="18"/>
              </w:rPr>
              <w:t>$150–$300</w:t>
            </w:r>
          </w:p>
        </w:tc>
        <w:tc>
          <w:tcPr>
            <w:tcW w:type="dxa" w:w="2016"/>
            <w:shd w:val="clear" w:color="auto" w:fill="FFFFFF"/>
            <w:vAlign w:val="center"/>
          </w:tcPr>
          <w:p>
            <w:pPr>
              <w:jc w:val="center"/>
            </w:pPr>
            <w:r>
              <w:rPr>
                <w:b w:val="0"/>
                <w:i w:val="0"/>
                <w:color w:val="222222"/>
                <w:sz w:val="18"/>
              </w:rPr>
              <w:t>$225</w:t>
            </w:r>
          </w:p>
        </w:tc>
        <w:tc>
          <w:tcPr>
            <w:tcW w:type="dxa" w:w="3456"/>
            <w:shd w:val="clear" w:color="auto" w:fill="FFFFFF"/>
            <w:vAlign w:val="center"/>
          </w:tcPr>
          <w:p>
            <w:pPr>
              <w:jc w:val="left"/>
            </w:pPr>
            <w:r>
              <w:rPr>
                <w:b w:val="0"/>
                <w:i w:val="0"/>
                <w:color w:val="222222"/>
                <w:sz w:val="18"/>
              </w:rPr>
              <w:t>Varies by GTA municipality</w:t>
            </w:r>
          </w:p>
        </w:tc>
      </w:tr>
      <w:tr>
        <w:tc>
          <w:tcPr>
            <w:tcW w:type="dxa" w:w="4608"/>
            <w:shd w:val="clear" w:color="auto" w:fill="FFF8E1"/>
            <w:vAlign w:val="center"/>
          </w:tcPr>
          <w:p>
            <w:pPr>
              <w:jc w:val="left"/>
            </w:pPr>
            <w:r>
              <w:rPr>
                <w:b w:val="0"/>
                <w:i w:val="0"/>
                <w:color w:val="222222"/>
                <w:sz w:val="18"/>
              </w:rPr>
              <w:t xml:space="preserve">  Traffic fine admin setup</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$100</w:t>
            </w:r>
          </w:p>
        </w:tc>
        <w:tc>
          <w:tcPr>
            <w:tcW w:type="dxa" w:w="3456"/>
            <w:shd w:val="clear" w:color="auto" w:fill="FFF8E1"/>
            <w:vAlign w:val="center"/>
          </w:tcPr>
          <w:p>
            <w:pPr>
              <w:jc w:val="left"/>
            </w:pPr>
            <w:r>
              <w:rPr>
                <w:b w:val="0"/>
                <w:i w:val="0"/>
                <w:color w:val="E67E22"/>
                <w:sz w:val="18"/>
              </w:rPr>
              <w:t>System for renter fine transfers</w:t>
            </w:r>
          </w:p>
        </w:tc>
      </w:tr>
      <w:tr>
        <w:tc>
          <w:tcPr>
            <w:tcW w:type="dxa" w:w="4608"/>
            <w:shd w:val="clear" w:color="auto" w:fill="0D2B55"/>
            <w:vAlign w:val="center"/>
          </w:tcPr>
          <w:p>
            <w:pPr>
              <w:jc w:val="left"/>
            </w:pPr>
            <w:r>
              <w:rPr>
                <w:b/>
                <w:i w:val="0"/>
                <w:color w:val="FFFFFF"/>
                <w:sz w:val="18"/>
              </w:rPr>
              <w:t>TECHNOLOGY</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2F2F2"/>
            <w:vAlign w:val="center"/>
          </w:tcPr>
          <w:p>
            <w:pPr>
              <w:jc w:val="left"/>
            </w:pPr>
            <w:r>
              <w:rPr>
                <w:b w:val="0"/>
                <w:i w:val="0"/>
                <w:color w:val="222222"/>
                <w:sz w:val="18"/>
              </w:rPr>
              <w:t xml:space="preserve">  Tech stack — Year 1 ($87.50/mo avg)</w:t>
            </w:r>
          </w:p>
        </w:tc>
        <w:tc>
          <w:tcPr>
            <w:tcW w:type="dxa" w:w="2160"/>
            <w:shd w:val="clear" w:color="auto" w:fill="F2F2F2"/>
            <w:vAlign w:val="center"/>
          </w:tcPr>
          <w:p>
            <w:pPr>
              <w:jc w:val="center"/>
            </w:pPr>
            <w:r>
              <w:rPr>
                <w:b w:val="0"/>
                <w:i w:val="0"/>
                <w:color w:val="222222"/>
                <w:sz w:val="18"/>
              </w:rPr>
              <w:t>$864–$1,284</w:t>
            </w:r>
          </w:p>
        </w:tc>
        <w:tc>
          <w:tcPr>
            <w:tcW w:type="dxa" w:w="2016"/>
            <w:shd w:val="clear" w:color="auto" w:fill="F2F2F2"/>
            <w:vAlign w:val="center"/>
          </w:tcPr>
          <w:p>
            <w:pPr>
              <w:jc w:val="center"/>
            </w:pPr>
            <w:r>
              <w:rPr>
                <w:b w:val="0"/>
                <w:i w:val="0"/>
                <w:color w:val="222222"/>
                <w:sz w:val="18"/>
              </w:rPr>
              <w:t>$1,050</w:t>
            </w:r>
          </w:p>
        </w:tc>
        <w:tc>
          <w:tcPr>
            <w:tcW w:type="dxa" w:w="3456"/>
            <w:shd w:val="clear" w:color="auto" w:fill="F2F2F2"/>
            <w:vAlign w:val="center"/>
          </w:tcPr>
          <w:p>
            <w:pPr>
              <w:jc w:val="left"/>
            </w:pPr>
            <w:r>
              <w:rPr>
                <w:b w:val="0"/>
                <w:i w:val="0"/>
                <w:color w:val="222222"/>
                <w:sz w:val="18"/>
              </w:rPr>
              <w:t>Architect's stack; excellent value</w:t>
            </w:r>
          </w:p>
        </w:tc>
      </w:tr>
      <w:tr>
        <w:tc>
          <w:tcPr>
            <w:tcW w:type="dxa" w:w="4608"/>
            <w:shd w:val="clear" w:color="auto" w:fill="FFF8E1"/>
            <w:vAlign w:val="center"/>
          </w:tcPr>
          <w:p>
            <w:pPr>
              <w:jc w:val="left"/>
            </w:pPr>
            <w:r>
              <w:rPr>
                <w:b w:val="0"/>
                <w:i w:val="0"/>
                <w:color w:val="222222"/>
                <w:sz w:val="18"/>
              </w:rPr>
              <w:t xml:space="preserve">  Domain registration (easydrive.ca)</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$20</w:t>
            </w:r>
          </w:p>
        </w:tc>
        <w:tc>
          <w:tcPr>
            <w:tcW w:type="dxa" w:w="3456"/>
            <w:shd w:val="clear" w:color="auto" w:fill="FFF8E1"/>
            <w:vAlign w:val="center"/>
          </w:tcPr>
          <w:p>
            <w:pPr>
              <w:jc w:val="left"/>
            </w:pPr>
            <w:r>
              <w:rPr>
                <w:b w:val="0"/>
                <w:i w:val="0"/>
                <w:color w:val="E67E22"/>
                <w:sz w:val="18"/>
              </w:rPr>
              <w:t>.ca domain ~$20/yr</w:t>
            </w:r>
          </w:p>
        </w:tc>
      </w:tr>
      <w:tr>
        <w:tc>
          <w:tcPr>
            <w:tcW w:type="dxa" w:w="4608"/>
            <w:shd w:val="clear" w:color="auto" w:fill="FFF8E1"/>
            <w:vAlign w:val="center"/>
          </w:tcPr>
          <w:p>
            <w:pPr>
              <w:jc w:val="left"/>
            </w:pPr>
            <w:r>
              <w:rPr>
                <w:b w:val="0"/>
                <w:i w:val="0"/>
                <w:color w:val="222222"/>
                <w:sz w:val="18"/>
              </w:rPr>
              <w:t xml:space="preserve">  Google Workspace (branded email)</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$84</w:t>
            </w:r>
          </w:p>
        </w:tc>
        <w:tc>
          <w:tcPr>
            <w:tcW w:type="dxa" w:w="3456"/>
            <w:shd w:val="clear" w:color="auto" w:fill="FFF8E1"/>
            <w:vAlign w:val="center"/>
          </w:tcPr>
          <w:p>
            <w:pPr>
              <w:jc w:val="left"/>
            </w:pPr>
            <w:r>
              <w:rPr>
                <w:b w:val="0"/>
                <w:i w:val="0"/>
                <w:color w:val="E67E22"/>
                <w:sz w:val="18"/>
              </w:rPr>
              <w:t>$7/mo; professional image</w:t>
            </w:r>
          </w:p>
        </w:tc>
      </w:tr>
      <w:tr>
        <w:tc>
          <w:tcPr>
            <w:tcW w:type="dxa" w:w="4608"/>
            <w:shd w:val="clear" w:color="auto" w:fill="0D2B55"/>
            <w:vAlign w:val="center"/>
          </w:tcPr>
          <w:p>
            <w:pPr>
              <w:jc w:val="left"/>
            </w:pPr>
            <w:r>
              <w:rPr>
                <w:b/>
                <w:i w:val="0"/>
                <w:color w:val="FFFFFF"/>
                <w:sz w:val="18"/>
              </w:rPr>
              <w:t>MARKETING</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8E1"/>
            <w:vAlign w:val="center"/>
          </w:tcPr>
          <w:p>
            <w:pPr>
              <w:jc w:val="left"/>
            </w:pPr>
            <w:r>
              <w:rPr>
                <w:b w:val="0"/>
                <w:i w:val="0"/>
                <w:color w:val="222222"/>
                <w:sz w:val="18"/>
              </w:rPr>
              <w:t xml:space="preserve">  Facebook ads — first 30 days</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$200</w:t>
            </w:r>
          </w:p>
        </w:tc>
        <w:tc>
          <w:tcPr>
            <w:tcW w:type="dxa" w:w="3456"/>
            <w:shd w:val="clear" w:color="auto" w:fill="FFF8E1"/>
            <w:vAlign w:val="center"/>
          </w:tcPr>
          <w:p>
            <w:pPr>
              <w:jc w:val="left"/>
            </w:pPr>
            <w:r>
              <w:rPr>
                <w:b w:val="0"/>
                <w:i w:val="0"/>
                <w:color w:val="E67E22"/>
                <w:sz w:val="18"/>
              </w:rPr>
              <w:t>Optional; seeds first renters</w:t>
            </w:r>
          </w:p>
        </w:tc>
      </w:tr>
      <w:tr>
        <w:tc>
          <w:tcPr>
            <w:tcW w:type="dxa" w:w="4608"/>
            <w:shd w:val="clear" w:color="auto" w:fill="FFF8E1"/>
            <w:vAlign w:val="center"/>
          </w:tcPr>
          <w:p>
            <w:pPr>
              <w:jc w:val="left"/>
            </w:pPr>
            <w:r>
              <w:rPr>
                <w:b w:val="0"/>
                <w:i w:val="0"/>
                <w:color w:val="222222"/>
                <w:sz w:val="18"/>
              </w:rPr>
              <w:t xml:space="preserve">  Physical flyers (500 units)</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$75</w:t>
            </w:r>
          </w:p>
        </w:tc>
        <w:tc>
          <w:tcPr>
            <w:tcW w:type="dxa" w:w="3456"/>
            <w:shd w:val="clear" w:color="auto" w:fill="FFF8E1"/>
            <w:vAlign w:val="center"/>
          </w:tcPr>
          <w:p>
            <w:pPr>
              <w:jc w:val="left"/>
            </w:pPr>
            <w:r>
              <w:rPr>
                <w:b w:val="0"/>
                <w:i w:val="0"/>
                <w:color w:val="E67E22"/>
                <w:sz w:val="18"/>
              </w:rPr>
              <w:t>Business plan mentions flyers</w:t>
            </w:r>
          </w:p>
        </w:tc>
      </w:tr>
      <w:tr>
        <w:tc>
          <w:tcPr>
            <w:tcW w:type="dxa" w:w="4608"/>
            <w:shd w:val="clear" w:color="auto" w:fill="0D2B55"/>
            <w:vAlign w:val="center"/>
          </w:tcPr>
          <w:p>
            <w:pPr>
              <w:jc w:val="left"/>
            </w:pPr>
            <w:r>
              <w:rPr>
                <w:b/>
                <w:i w:val="0"/>
                <w:color w:val="FFFFFF"/>
                <w:sz w:val="18"/>
              </w:rPr>
              <w:t>WORKING CAPITAL &amp; RESERVES</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FFF"/>
            <w:vAlign w:val="center"/>
          </w:tcPr>
          <w:p>
            <w:pPr>
              <w:jc w:val="left"/>
            </w:pPr>
            <w:r>
              <w:rPr>
                <w:b w:val="0"/>
                <w:i w:val="0"/>
                <w:color w:val="222222"/>
                <w:sz w:val="18"/>
              </w:rPr>
              <w:t xml:space="preserve">  3-month operating cost reserve</w:t>
            </w:r>
          </w:p>
        </w:tc>
        <w:tc>
          <w:tcPr>
            <w:tcW w:type="dxa" w:w="2160"/>
            <w:shd w:val="clear" w:color="auto" w:fill="FFFFFF"/>
            <w:vAlign w:val="center"/>
          </w:tcPr>
          <w:p>
            <w:pPr>
              <w:jc w:val="center"/>
            </w:pPr>
            <w:r>
              <w:rPr>
                <w:b w:val="0"/>
                <w:i w:val="0"/>
                <w:color w:val="222222"/>
                <w:sz w:val="18"/>
              </w:rPr>
              <w:t>$5,000–$8,000</w:t>
            </w:r>
          </w:p>
        </w:tc>
        <w:tc>
          <w:tcPr>
            <w:tcW w:type="dxa" w:w="2016"/>
            <w:shd w:val="clear" w:color="auto" w:fill="FFFFFF"/>
            <w:vAlign w:val="center"/>
          </w:tcPr>
          <w:p>
            <w:pPr>
              <w:jc w:val="center"/>
            </w:pPr>
            <w:r>
              <w:rPr>
                <w:b w:val="0"/>
                <w:i w:val="0"/>
                <w:color w:val="222222"/>
                <w:sz w:val="18"/>
              </w:rPr>
              <w:t>$6,000</w:t>
            </w:r>
          </w:p>
        </w:tc>
        <w:tc>
          <w:tcPr>
            <w:tcW w:type="dxa" w:w="3456"/>
            <w:shd w:val="clear" w:color="auto" w:fill="FFFFFF"/>
            <w:vAlign w:val="center"/>
          </w:tcPr>
          <w:p>
            <w:pPr>
              <w:jc w:val="left"/>
            </w:pPr>
            <w:r>
              <w:rPr>
                <w:b w:val="0"/>
                <w:i w:val="0"/>
                <w:color w:val="222222"/>
                <w:sz w:val="18"/>
              </w:rPr>
              <w:t>Minimum floor — do not touch</w:t>
            </w:r>
          </w:p>
        </w:tc>
      </w:tr>
      <w:tr>
        <w:tc>
          <w:tcPr>
            <w:tcW w:type="dxa" w:w="4608"/>
            <w:shd w:val="clear" w:color="auto" w:fill="FFF8E1"/>
            <w:vAlign w:val="center"/>
          </w:tcPr>
          <w:p>
            <w:pPr>
              <w:jc w:val="left"/>
            </w:pPr>
            <w:r>
              <w:rPr>
                <w:b w:val="0"/>
                <w:i w:val="0"/>
                <w:color w:val="222222"/>
                <w:sz w:val="18"/>
              </w:rPr>
              <w:t xml:space="preserve">  HST float reserve (quarterly remittance)</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$800</w:t>
            </w:r>
          </w:p>
        </w:tc>
        <w:tc>
          <w:tcPr>
            <w:tcW w:type="dxa" w:w="3456"/>
            <w:shd w:val="clear" w:color="auto" w:fill="FFF8E1"/>
            <w:vAlign w:val="center"/>
          </w:tcPr>
          <w:p>
            <w:pPr>
              <w:jc w:val="left"/>
            </w:pPr>
            <w:r>
              <w:rPr>
                <w:b w:val="0"/>
                <w:i w:val="0"/>
                <w:color w:val="E67E22"/>
                <w:sz w:val="18"/>
              </w:rPr>
              <w:t>CRA's money — not yours</w:t>
            </w:r>
          </w:p>
        </w:tc>
      </w:tr>
      <w:tr>
        <w:tc>
          <w:tcPr>
            <w:tcW w:type="dxa" w:w="4608"/>
            <w:shd w:val="clear" w:color="auto" w:fill="FFFFFF"/>
            <w:vAlign w:val="center"/>
          </w:tcPr>
          <w:p>
            <w:pPr>
              <w:jc w:val="left"/>
            </w:pPr>
            <w:r>
              <w:rPr>
                <w:b w:val="0"/>
                <w:i w:val="0"/>
                <w:color w:val="222222"/>
                <w:sz w:val="18"/>
              </w:rPr>
              <w:t xml:space="preserve">  Petty cash (fuel, admin, bank runs)</w:t>
            </w:r>
          </w:p>
        </w:tc>
        <w:tc>
          <w:tcPr>
            <w:tcW w:type="dxa" w:w="2160"/>
            <w:shd w:val="clear" w:color="auto" w:fill="FFFFFF"/>
            <w:vAlign w:val="center"/>
          </w:tcPr>
          <w:p>
            <w:pPr>
              <w:jc w:val="center"/>
            </w:pPr>
            <w:r>
              <w:rPr>
                <w:b w:val="0"/>
                <w:i w:val="0"/>
                <w:color w:val="222222"/>
                <w:sz w:val="18"/>
              </w:rPr>
              <w:t>$50</w:t>
            </w:r>
          </w:p>
        </w:tc>
        <w:tc>
          <w:tcPr>
            <w:tcW w:type="dxa" w:w="2016"/>
            <w:shd w:val="clear" w:color="auto" w:fill="FFFFFF"/>
            <w:vAlign w:val="center"/>
          </w:tcPr>
          <w:p>
            <w:pPr>
              <w:jc w:val="center"/>
            </w:pPr>
            <w:r>
              <w:rPr>
                <w:b w:val="0"/>
                <w:i w:val="0"/>
                <w:color w:val="222222"/>
                <w:sz w:val="18"/>
              </w:rPr>
              <w:t>$100</w:t>
            </w:r>
          </w:p>
        </w:tc>
        <w:tc>
          <w:tcPr>
            <w:tcW w:type="dxa" w:w="3456"/>
            <w:shd w:val="clear" w:color="auto" w:fill="FFFFFF"/>
            <w:vAlign w:val="center"/>
          </w:tcPr>
          <w:p>
            <w:pPr>
              <w:jc w:val="left"/>
            </w:pPr>
            <w:r>
              <w:rPr>
                <w:b w:val="0"/>
                <w:i w:val="0"/>
                <w:color w:val="222222"/>
                <w:sz w:val="18"/>
              </w:rPr>
              <w:t>You will use more than expected</w:t>
            </w:r>
          </w:p>
        </w:tc>
      </w:tr>
      <w:tr>
        <w:tc>
          <w:tcPr>
            <w:tcW w:type="dxa" w:w="4608"/>
            <w:shd w:val="clear" w:color="auto" w:fill="0D2B55"/>
            <w:vAlign w:val="center"/>
          </w:tcPr>
          <w:p>
            <w:pPr>
              <w:jc w:val="left"/>
            </w:pPr>
            <w:r>
              <w:rPr>
                <w:b/>
                <w:i w:val="0"/>
                <w:color w:val="FFFFFF"/>
                <w:sz w:val="18"/>
              </w:rPr>
              <w:t>CONTINGENCY</w:t>
            </w:r>
          </w:p>
        </w:tc>
        <w:tc>
          <w:tcPr>
            <w:tcW w:type="dxa" w:w="2160"/>
            <w:shd w:val="clear" w:color="auto" w:fill="0D2B55"/>
            <w:vAlign w:val="center"/>
          </w:tcPr>
          <w:p>
            <w:pPr>
              <w:jc w:val="center"/>
            </w:pPr>
            <w:r>
              <w:rPr>
                <w:b/>
                <w:i w:val="0"/>
                <w:color w:val="FFFFFF"/>
                <w:sz w:val="18"/>
              </w:rPr>
            </w:r>
          </w:p>
        </w:tc>
        <w:tc>
          <w:tcPr>
            <w:tcW w:type="dxa" w:w="2016"/>
            <w:shd w:val="clear" w:color="auto" w:fill="0D2B55"/>
            <w:vAlign w:val="center"/>
          </w:tcPr>
          <w:p>
            <w:pPr>
              <w:jc w:val="center"/>
            </w:pPr>
            <w:r>
              <w:rPr>
                <w:b/>
                <w:i w:val="0"/>
                <w:color w:val="FFFFFF"/>
                <w:sz w:val="18"/>
              </w:rPr>
            </w:r>
          </w:p>
        </w:tc>
        <w:tc>
          <w:tcPr>
            <w:tcW w:type="dxa" w:w="3456"/>
            <w:shd w:val="clear" w:color="auto" w:fill="0D2B55"/>
            <w:vAlign w:val="center"/>
          </w:tcPr>
          <w:p>
            <w:pPr>
              <w:jc w:val="left"/>
            </w:pPr>
            <w:r>
              <w:rPr>
                <w:b/>
                <w:i w:val="0"/>
                <w:color w:val="FFFFFF"/>
                <w:sz w:val="18"/>
              </w:rPr>
            </w:r>
          </w:p>
        </w:tc>
      </w:tr>
      <w:tr>
        <w:tc>
          <w:tcPr>
            <w:tcW w:type="dxa" w:w="4608"/>
            <w:shd w:val="clear" w:color="auto" w:fill="FFF8E1"/>
            <w:vAlign w:val="center"/>
          </w:tcPr>
          <w:p>
            <w:pPr>
              <w:jc w:val="left"/>
            </w:pPr>
            <w:r>
              <w:rPr>
                <w:b w:val="0"/>
                <w:i w:val="0"/>
                <w:color w:val="222222"/>
                <w:sz w:val="18"/>
              </w:rPr>
              <w:t xml:space="preserve">  5% project contingency on hard costs</w:t>
            </w:r>
          </w:p>
        </w:tc>
        <w:tc>
          <w:tcPr>
            <w:tcW w:type="dxa" w:w="2160"/>
            <w:shd w:val="clear" w:color="auto" w:fill="FFF8E1"/>
            <w:vAlign w:val="center"/>
          </w:tcPr>
          <w:p>
            <w:pPr>
              <w:jc w:val="center"/>
            </w:pPr>
            <w:r>
              <w:rPr>
                <w:b w:val="0"/>
                <w:i w:val="0"/>
                <w:color w:val="C0392B"/>
                <w:sz w:val="18"/>
              </w:rPr>
              <w:t>NOT IN PLAN</w:t>
            </w:r>
          </w:p>
        </w:tc>
        <w:tc>
          <w:tcPr>
            <w:tcW w:type="dxa" w:w="2016"/>
            <w:shd w:val="clear" w:color="auto" w:fill="FFF8E1"/>
            <w:vAlign w:val="center"/>
          </w:tcPr>
          <w:p>
            <w:pPr>
              <w:jc w:val="center"/>
            </w:pPr>
            <w:r>
              <w:rPr>
                <w:b w:val="0"/>
                <w:i w:val="0"/>
                <w:color w:val="E67E22"/>
                <w:sz w:val="18"/>
              </w:rPr>
              <w:t>$1,272</w:t>
            </w:r>
          </w:p>
        </w:tc>
        <w:tc>
          <w:tcPr>
            <w:tcW w:type="dxa" w:w="3456"/>
            <w:shd w:val="clear" w:color="auto" w:fill="FFF8E1"/>
            <w:vAlign w:val="center"/>
          </w:tcPr>
          <w:p>
            <w:pPr>
              <w:jc w:val="left"/>
            </w:pPr>
            <w:r>
              <w:rPr>
                <w:b w:val="0"/>
                <w:i w:val="0"/>
                <w:color w:val="E67E22"/>
                <w:sz w:val="18"/>
              </w:rPr>
              <w:t>Standard accounting practice</w:t>
            </w:r>
          </w:p>
        </w:tc>
      </w:tr>
      <w:tr>
        <w:tc>
          <w:tcPr>
            <w:tcW w:type="dxa" w:w="4608"/>
            <w:shd w:val="clear" w:color="auto" w:fill="D5F5E3"/>
            <w:vAlign w:val="center"/>
          </w:tcPr>
          <w:p>
            <w:pPr>
              <w:jc w:val="left"/>
            </w:pPr>
            <w:r>
              <w:rPr>
                <w:b/>
                <w:i w:val="0"/>
                <w:color w:val="1E8449"/>
                <w:sz w:val="18"/>
              </w:rPr>
              <w:t>TOTAL STARTUP CAPITAL REQUIRED</w:t>
            </w:r>
          </w:p>
        </w:tc>
        <w:tc>
          <w:tcPr>
            <w:tcW w:type="dxa" w:w="2160"/>
            <w:shd w:val="clear" w:color="auto" w:fill="D5F5E3"/>
            <w:vAlign w:val="center"/>
          </w:tcPr>
          <w:p>
            <w:pPr>
              <w:jc w:val="center"/>
            </w:pPr>
            <w:r>
              <w:rPr>
                <w:b/>
                <w:i w:val="0"/>
                <w:color w:val="1E8449"/>
                <w:sz w:val="18"/>
              </w:rPr>
              <w:t>$22,910–$37,260</w:t>
            </w:r>
          </w:p>
        </w:tc>
        <w:tc>
          <w:tcPr>
            <w:tcW w:type="dxa" w:w="2016"/>
            <w:shd w:val="clear" w:color="auto" w:fill="D5F5E3"/>
            <w:vAlign w:val="center"/>
          </w:tcPr>
          <w:p>
            <w:pPr>
              <w:jc w:val="center"/>
            </w:pPr>
            <w:r>
              <w:rPr>
                <w:b/>
                <w:i w:val="0"/>
                <w:color w:val="1E8449"/>
                <w:sz w:val="18"/>
              </w:rPr>
              <w:t>$30,085</w:t>
            </w:r>
          </w:p>
        </w:tc>
        <w:tc>
          <w:tcPr>
            <w:tcW w:type="dxa" w:w="3456"/>
            <w:shd w:val="clear" w:color="auto" w:fill="D5F5E3"/>
            <w:vAlign w:val="center"/>
          </w:tcPr>
          <w:p>
            <w:pPr>
              <w:jc w:val="left"/>
            </w:pPr>
            <w:r>
              <w:rPr>
                <w:b/>
                <w:i w:val="0"/>
                <w:color w:val="1E8449"/>
                <w:sz w:val="18"/>
              </w:rPr>
              <w:t>Confirm liquid BEFORE buying cars</w:t>
            </w:r>
          </w:p>
        </w:tc>
      </w:tr>
    </w:tbl>
    <w:p>
      <w:pPr>
        <w:spacing w:after="80"/>
      </w:pPr>
    </w:p>
    <w:p>
      <w:pPr>
        <w:spacing w:after="80" w:before="40"/>
      </w:pPr>
      <w:r>
        <w:rPr>
          <w:b/>
          <w:color w:val="C0392B"/>
          <w:sz w:val="20"/>
        </w:rPr>
        <w:t>Items marked 'NOT IN PLAN' represent $2,716 of costs the original business plan did not capture. The most critical omission is the HST float reserve — CRA's $800 must be segregated from Day 1.</w:t>
      </w:r>
    </w:p>
    <w:p>
      <w:r>
        <w:br w:type="page"/>
      </w:r>
    </w:p>
    <w:p>
      <w:pPr>
        <w:spacing w:before="280" w:after="120"/>
        <w:jc w:val="left"/>
      </w:pPr>
      <w:r>
        <w:rPr>
          <w:b/>
          <w:color w:val="0D2B55"/>
          <w:sz w:val="36"/>
        </w:rPr>
        <w:t>3.  Monthly Profit &amp; Loss — 3 Scenarios</w:t>
      </w:r>
    </w:p>
    <w:p>
      <w:pPr>
        <w:pBdr>
          <w:bottom w:val="single" w:sz="6" w:space="1" w:color="007A87"/>
        </w:pBdr>
        <w:spacing w:after="120" w:before="120"/>
      </w:pPr>
    </w:p>
    <w:p>
      <w:pPr>
        <w:spacing w:after="80" w:before="40"/>
      </w:pPr>
      <w:r>
        <w:rPr>
          <w:b w:val="0"/>
          <w:color w:val="222222"/>
          <w:sz w:val="21"/>
        </w:rPr>
        <w:t>All figures shown net of HST. HST collected (13% of gross) is a liability remitted to CRA — it is not income and is excluded from all revenue figures below. Depreciation uses straight-line method over 18 months (expected useful rental life of economy vehicles under gig use).</w:t>
      </w:r>
    </w:p>
    <w:p>
      <w:pPr>
        <w:spacing w:before="200" w:after="120"/>
        <w:jc w:val="left"/>
      </w:pPr>
      <w:r>
        <w:rPr>
          <w:b/>
          <w:color w:val="0D2B55"/>
          <w:sz w:val="28"/>
        </w:rPr>
        <w:t>Month 1 P&amp;L (2 Cars at Launch)</w:t>
      </w:r>
    </w:p>
    <w:tbl>
      <w:tblPr>
        <w:tblStyle w:val="TableGrid"/>
        <w:tblW w:type="auto" w:w="0"/>
        <w:jc w:val="center"/>
        <w:tblLook w:firstColumn="1" w:firstRow="1" w:lastColumn="0" w:lastRow="0" w:noHBand="0" w:noVBand="1" w:val="04A0"/>
      </w:tblPr>
      <w:tblGrid>
        <w:gridCol w:w="2340"/>
        <w:gridCol w:w="2340"/>
        <w:gridCol w:w="2340"/>
        <w:gridCol w:w="2340"/>
      </w:tblGrid>
      <w:tr>
        <w:trPr>
          <w:trHeight w:val="397"/>
        </w:trPr>
        <w:tc>
          <w:tcPr>
            <w:tcW w:type="dxa" w:w="4032"/>
            <w:shd w:val="clear" w:color="auto" w:fill="0D2B55"/>
            <w:vAlign w:val="center"/>
          </w:tcPr>
          <w:p>
            <w:pPr>
              <w:jc w:val="center"/>
            </w:pPr>
            <w:r>
              <w:rPr>
                <w:b/>
                <w:i w:val="0"/>
                <w:color w:val="FFFFFF"/>
                <w:sz w:val="19"/>
              </w:rPr>
              <w:t>Line Item</w:t>
            </w:r>
          </w:p>
        </w:tc>
        <w:tc>
          <w:tcPr>
            <w:tcW w:type="dxa" w:w="2304"/>
            <w:shd w:val="clear" w:color="auto" w:fill="0D2B55"/>
            <w:vAlign w:val="center"/>
          </w:tcPr>
          <w:p>
            <w:pPr>
              <w:jc w:val="center"/>
            </w:pPr>
            <w:r>
              <w:rPr>
                <w:b/>
                <w:i w:val="0"/>
                <w:color w:val="FFFFFF"/>
                <w:sz w:val="19"/>
              </w:rPr>
              <w:t>Conservative</w:t>
              <w:br/>
              <w:t>65% util / $300/wk</w:t>
            </w:r>
          </w:p>
        </w:tc>
        <w:tc>
          <w:tcPr>
            <w:tcW w:type="dxa" w:w="2304"/>
            <w:shd w:val="clear" w:color="auto" w:fill="0D2B55"/>
            <w:vAlign w:val="center"/>
          </w:tcPr>
          <w:p>
            <w:pPr>
              <w:jc w:val="center"/>
            </w:pPr>
            <w:r>
              <w:rPr>
                <w:b/>
                <w:i w:val="0"/>
                <w:color w:val="FFFFFF"/>
                <w:sz w:val="19"/>
              </w:rPr>
              <w:t>Base Case</w:t>
              <w:br/>
              <w:t>85% util / $325/wk</w:t>
            </w:r>
          </w:p>
        </w:tc>
        <w:tc>
          <w:tcPr>
            <w:tcW w:type="dxa" w:w="2304"/>
            <w:shd w:val="clear" w:color="auto" w:fill="0D2B55"/>
            <w:vAlign w:val="center"/>
          </w:tcPr>
          <w:p>
            <w:pPr>
              <w:jc w:val="center"/>
            </w:pPr>
            <w:r>
              <w:rPr>
                <w:b/>
                <w:i w:val="0"/>
                <w:color w:val="FFFFFF"/>
                <w:sz w:val="19"/>
              </w:rPr>
              <w:t>Optimistic</w:t>
              <w:br/>
              <w:t>100% util / $350/wk</w:t>
            </w:r>
          </w:p>
        </w:tc>
      </w:tr>
      <w:tr>
        <w:trPr>
          <w:trHeight w:val="369"/>
        </w:trPr>
        <w:tc>
          <w:tcPr>
            <w:tcW w:type="dxa" w:w="4032"/>
            <w:shd w:val="clear" w:color="auto" w:fill="FFFFFF"/>
            <w:vAlign w:val="center"/>
          </w:tcPr>
          <w:p>
            <w:pPr>
              <w:jc w:val="left"/>
            </w:pPr>
            <w:r>
              <w:rPr>
                <w:b/>
                <w:i w:val="0"/>
                <w:color w:val="E67E22"/>
                <w:sz w:val="19"/>
              </w:rPr>
              <w:t>MONTH 1 — 2 CARS AT LAUNCH</w:t>
            </w:r>
          </w:p>
        </w:tc>
        <w:tc>
          <w:tcPr>
            <w:tcW w:type="dxa" w:w="2304"/>
            <w:shd w:val="clear" w:color="auto" w:fill="FFFFFF"/>
            <w:vAlign w:val="center"/>
          </w:tcPr>
          <w:p>
            <w:pPr>
              <w:jc w:val="right"/>
            </w:pPr>
            <w:r>
              <w:rPr>
                <w:b w:val="0"/>
                <w:i w:val="0"/>
                <w:color w:val="222222"/>
                <w:sz w:val="19"/>
              </w:rPr>
            </w:r>
          </w:p>
        </w:tc>
        <w:tc>
          <w:tcPr>
            <w:tcW w:type="dxa" w:w="2304"/>
            <w:shd w:val="clear" w:color="auto" w:fill="FFFFFF"/>
            <w:vAlign w:val="center"/>
          </w:tcPr>
          <w:p>
            <w:pPr>
              <w:jc w:val="right"/>
            </w:pPr>
            <w:r>
              <w:rPr>
                <w:b w:val="0"/>
                <w:i w:val="0"/>
                <w:color w:val="222222"/>
                <w:sz w:val="19"/>
              </w:rPr>
            </w:r>
          </w:p>
        </w:tc>
        <w:tc>
          <w:tcPr>
            <w:tcW w:type="dxa" w:w="2304"/>
            <w:shd w:val="clear" w:color="auto" w:fill="FFFFFF"/>
            <w:vAlign w:val="center"/>
          </w:tcPr>
          <w:p>
            <w:pPr>
              <w:jc w:val="right"/>
            </w:pPr>
            <w:r>
              <w:rPr>
                <w:b w:val="0"/>
                <w:i w:val="0"/>
                <w:color w:val="222222"/>
                <w:sz w:val="19"/>
              </w:rPr>
            </w:r>
          </w:p>
        </w:tc>
      </w:tr>
      <w:tr>
        <w:trPr>
          <w:trHeight w:val="369"/>
        </w:trPr>
        <w:tc>
          <w:tcPr>
            <w:tcW w:type="dxa" w:w="4032"/>
            <w:shd w:val="clear" w:color="auto" w:fill="F2F2F2"/>
            <w:vAlign w:val="center"/>
          </w:tcPr>
          <w:p>
            <w:pPr>
              <w:jc w:val="left"/>
            </w:pPr>
            <w:r>
              <w:rPr>
                <w:b w:val="0"/>
                <w:i w:val="0"/>
                <w:color w:val="222222"/>
                <w:sz w:val="19"/>
              </w:rPr>
              <w:t>Gross Rental Revenue</w:t>
            </w:r>
          </w:p>
        </w:tc>
        <w:tc>
          <w:tcPr>
            <w:tcW w:type="dxa" w:w="2304"/>
            <w:shd w:val="clear" w:color="auto" w:fill="F2F2F2"/>
            <w:vAlign w:val="center"/>
          </w:tcPr>
          <w:p>
            <w:pPr>
              <w:jc w:val="right"/>
            </w:pPr>
            <w:r>
              <w:rPr>
                <w:b w:val="0"/>
                <w:i w:val="0"/>
                <w:color w:val="222222"/>
                <w:sz w:val="19"/>
              </w:rPr>
              <w:t>$1,690</w:t>
            </w:r>
          </w:p>
        </w:tc>
        <w:tc>
          <w:tcPr>
            <w:tcW w:type="dxa" w:w="2304"/>
            <w:shd w:val="clear" w:color="auto" w:fill="F2F2F2"/>
            <w:vAlign w:val="center"/>
          </w:tcPr>
          <w:p>
            <w:pPr>
              <w:jc w:val="right"/>
            </w:pPr>
            <w:r>
              <w:rPr>
                <w:b w:val="0"/>
                <w:i w:val="0"/>
                <w:color w:val="222222"/>
                <w:sz w:val="19"/>
              </w:rPr>
              <w:t>$2,819</w:t>
            </w:r>
          </w:p>
        </w:tc>
        <w:tc>
          <w:tcPr>
            <w:tcW w:type="dxa" w:w="2304"/>
            <w:shd w:val="clear" w:color="auto" w:fill="F2F2F2"/>
            <w:vAlign w:val="center"/>
          </w:tcPr>
          <w:p>
            <w:pPr>
              <w:jc w:val="right"/>
            </w:pPr>
            <w:r>
              <w:rPr>
                <w:b w:val="0"/>
                <w:i w:val="0"/>
                <w:color w:val="222222"/>
                <w:sz w:val="19"/>
              </w:rPr>
              <w:t>$3,032</w:t>
            </w:r>
          </w:p>
        </w:tc>
      </w:tr>
      <w:tr>
        <w:trPr>
          <w:trHeight w:val="369"/>
        </w:trPr>
        <w:tc>
          <w:tcPr>
            <w:tcW w:type="dxa" w:w="4032"/>
            <w:shd w:val="clear" w:color="auto" w:fill="FFFFFF"/>
            <w:vAlign w:val="center"/>
          </w:tcPr>
          <w:p>
            <w:pPr>
              <w:jc w:val="left"/>
            </w:pPr>
            <w:r>
              <w:rPr>
                <w:b w:val="0"/>
                <w:i w:val="0"/>
                <w:color w:val="222222"/>
                <w:sz w:val="19"/>
              </w:rPr>
              <w:t>Late Fees / Other</w:t>
            </w:r>
          </w:p>
        </w:tc>
        <w:tc>
          <w:tcPr>
            <w:tcW w:type="dxa" w:w="2304"/>
            <w:shd w:val="clear" w:color="auto" w:fill="FFFFFF"/>
            <w:vAlign w:val="center"/>
          </w:tcPr>
          <w:p>
            <w:pPr>
              <w:jc w:val="right"/>
            </w:pPr>
            <w:r>
              <w:rPr>
                <w:b w:val="0"/>
                <w:i w:val="0"/>
                <w:color w:val="222222"/>
                <w:sz w:val="19"/>
              </w:rPr>
              <w:t>$50</w:t>
            </w:r>
          </w:p>
        </w:tc>
        <w:tc>
          <w:tcPr>
            <w:tcW w:type="dxa" w:w="2304"/>
            <w:shd w:val="clear" w:color="auto" w:fill="FFFFFF"/>
            <w:vAlign w:val="center"/>
          </w:tcPr>
          <w:p>
            <w:pPr>
              <w:jc w:val="right"/>
            </w:pPr>
            <w:r>
              <w:rPr>
                <w:b w:val="0"/>
                <w:i w:val="0"/>
                <w:color w:val="222222"/>
                <w:sz w:val="19"/>
              </w:rPr>
              <w:t>$50</w:t>
            </w:r>
          </w:p>
        </w:tc>
        <w:tc>
          <w:tcPr>
            <w:tcW w:type="dxa" w:w="2304"/>
            <w:shd w:val="clear" w:color="auto" w:fill="FFFFFF"/>
            <w:vAlign w:val="center"/>
          </w:tcPr>
          <w:p>
            <w:pPr>
              <w:jc w:val="right"/>
            </w:pPr>
            <w:r>
              <w:rPr>
                <w:b w:val="0"/>
                <w:i w:val="0"/>
                <w:color w:val="222222"/>
                <w:sz w:val="19"/>
              </w:rPr>
              <w:t>$50</w:t>
            </w:r>
          </w:p>
        </w:tc>
      </w:tr>
      <w:tr>
        <w:trPr>
          <w:trHeight w:val="369"/>
        </w:trPr>
        <w:tc>
          <w:tcPr>
            <w:tcW w:type="dxa" w:w="4032"/>
            <w:shd w:val="clear" w:color="auto" w:fill="F2F2F2"/>
            <w:vAlign w:val="center"/>
          </w:tcPr>
          <w:p>
            <w:pPr>
              <w:jc w:val="left"/>
            </w:pPr>
            <w:r>
              <w:rPr>
                <w:b/>
                <w:i w:val="0"/>
                <w:color w:val="E67E22"/>
                <w:sz w:val="19"/>
              </w:rPr>
              <w:t>TOTAL NET REVENUE</w:t>
            </w:r>
          </w:p>
        </w:tc>
        <w:tc>
          <w:tcPr>
            <w:tcW w:type="dxa" w:w="2304"/>
            <w:shd w:val="clear" w:color="auto" w:fill="F2F2F2"/>
            <w:vAlign w:val="center"/>
          </w:tcPr>
          <w:p>
            <w:pPr>
              <w:jc w:val="right"/>
            </w:pPr>
            <w:r>
              <w:rPr>
                <w:b w:val="0"/>
                <w:i w:val="0"/>
                <w:color w:val="222222"/>
                <w:sz w:val="19"/>
              </w:rPr>
              <w:t>$1,740</w:t>
            </w:r>
          </w:p>
        </w:tc>
        <w:tc>
          <w:tcPr>
            <w:tcW w:type="dxa" w:w="2304"/>
            <w:shd w:val="clear" w:color="auto" w:fill="F2F2F2"/>
            <w:vAlign w:val="center"/>
          </w:tcPr>
          <w:p>
            <w:pPr>
              <w:jc w:val="right"/>
            </w:pPr>
            <w:r>
              <w:rPr>
                <w:b w:val="0"/>
                <w:i w:val="0"/>
                <w:color w:val="222222"/>
                <w:sz w:val="19"/>
              </w:rPr>
              <w:t>$2,869</w:t>
            </w:r>
          </w:p>
        </w:tc>
        <w:tc>
          <w:tcPr>
            <w:tcW w:type="dxa" w:w="2304"/>
            <w:shd w:val="clear" w:color="auto" w:fill="F2F2F2"/>
            <w:vAlign w:val="center"/>
          </w:tcPr>
          <w:p>
            <w:pPr>
              <w:jc w:val="right"/>
            </w:pPr>
            <w:r>
              <w:rPr>
                <w:b w:val="0"/>
                <w:i w:val="0"/>
                <w:color w:val="222222"/>
                <w:sz w:val="19"/>
              </w:rPr>
              <w:t>$3,082</w:t>
            </w:r>
          </w:p>
        </w:tc>
      </w:tr>
      <w:tr>
        <w:trPr>
          <w:trHeight w:val="369"/>
        </w:trPr>
        <w:tc>
          <w:tcPr>
            <w:tcW w:type="dxa" w:w="4032"/>
            <w:shd w:val="clear" w:color="auto" w:fill="FFFFFF"/>
            <w:vAlign w:val="center"/>
          </w:tcPr>
          <w:p>
            <w:pPr>
              <w:jc w:val="left"/>
            </w:pPr>
            <w:r>
              <w:rPr>
                <w:b w:val="0"/>
                <w:i w:val="0"/>
                <w:color w:val="222222"/>
                <w:sz w:val="19"/>
              </w:rPr>
              <w:t>Insurance</w:t>
            </w:r>
          </w:p>
        </w:tc>
        <w:tc>
          <w:tcPr>
            <w:tcW w:type="dxa" w:w="2304"/>
            <w:shd w:val="clear" w:color="auto" w:fill="FFFFFF"/>
            <w:vAlign w:val="center"/>
          </w:tcPr>
          <w:p>
            <w:pPr>
              <w:jc w:val="right"/>
            </w:pPr>
            <w:r>
              <w:rPr>
                <w:b w:val="0"/>
                <w:i w:val="0"/>
                <w:color w:val="C0392B"/>
                <w:sz w:val="19"/>
              </w:rPr>
              <w:t>-$1,500</w:t>
            </w:r>
          </w:p>
        </w:tc>
        <w:tc>
          <w:tcPr>
            <w:tcW w:type="dxa" w:w="2304"/>
            <w:shd w:val="clear" w:color="auto" w:fill="FFFFFF"/>
            <w:vAlign w:val="center"/>
          </w:tcPr>
          <w:p>
            <w:pPr>
              <w:jc w:val="right"/>
            </w:pPr>
            <w:r>
              <w:rPr>
                <w:b w:val="0"/>
                <w:i w:val="0"/>
                <w:color w:val="C0392B"/>
                <w:sz w:val="19"/>
              </w:rPr>
              <w:t>-$1,500</w:t>
            </w:r>
          </w:p>
        </w:tc>
        <w:tc>
          <w:tcPr>
            <w:tcW w:type="dxa" w:w="2304"/>
            <w:shd w:val="clear" w:color="auto" w:fill="FFFFFF"/>
            <w:vAlign w:val="center"/>
          </w:tcPr>
          <w:p>
            <w:pPr>
              <w:jc w:val="right"/>
            </w:pPr>
            <w:r>
              <w:rPr>
                <w:b w:val="0"/>
                <w:i w:val="0"/>
                <w:color w:val="C0392B"/>
                <w:sz w:val="19"/>
              </w:rPr>
              <w:t>-$1,500</w:t>
            </w:r>
          </w:p>
        </w:tc>
      </w:tr>
      <w:tr>
        <w:trPr>
          <w:trHeight w:val="369"/>
        </w:trPr>
        <w:tc>
          <w:tcPr>
            <w:tcW w:type="dxa" w:w="4032"/>
            <w:shd w:val="clear" w:color="auto" w:fill="F2F2F2"/>
            <w:vAlign w:val="center"/>
          </w:tcPr>
          <w:p>
            <w:pPr>
              <w:jc w:val="left"/>
            </w:pPr>
            <w:r>
              <w:rPr>
                <w:b w:val="0"/>
                <w:i w:val="0"/>
                <w:color w:val="222222"/>
                <w:sz w:val="19"/>
              </w:rPr>
              <w:t>Maintenance Reserve</w:t>
            </w:r>
          </w:p>
        </w:tc>
        <w:tc>
          <w:tcPr>
            <w:tcW w:type="dxa" w:w="2304"/>
            <w:shd w:val="clear" w:color="auto" w:fill="F2F2F2"/>
            <w:vAlign w:val="center"/>
          </w:tcPr>
          <w:p>
            <w:pPr>
              <w:jc w:val="right"/>
            </w:pPr>
            <w:r>
              <w:rPr>
                <w:b w:val="0"/>
                <w:i w:val="0"/>
                <w:color w:val="C0392B"/>
                <w:sz w:val="19"/>
              </w:rPr>
              <w:t>-$1,800</w:t>
            </w:r>
          </w:p>
        </w:tc>
        <w:tc>
          <w:tcPr>
            <w:tcW w:type="dxa" w:w="2304"/>
            <w:shd w:val="clear" w:color="auto" w:fill="F2F2F2"/>
            <w:vAlign w:val="center"/>
          </w:tcPr>
          <w:p>
            <w:pPr>
              <w:jc w:val="right"/>
            </w:pPr>
            <w:r>
              <w:rPr>
                <w:b w:val="0"/>
                <w:i w:val="0"/>
                <w:color w:val="C0392B"/>
                <w:sz w:val="19"/>
              </w:rPr>
              <w:t>-$1,800</w:t>
            </w:r>
          </w:p>
        </w:tc>
        <w:tc>
          <w:tcPr>
            <w:tcW w:type="dxa" w:w="2304"/>
            <w:shd w:val="clear" w:color="auto" w:fill="F2F2F2"/>
            <w:vAlign w:val="center"/>
          </w:tcPr>
          <w:p>
            <w:pPr>
              <w:jc w:val="right"/>
            </w:pPr>
            <w:r>
              <w:rPr>
                <w:b w:val="0"/>
                <w:i w:val="0"/>
                <w:color w:val="C0392B"/>
                <w:sz w:val="19"/>
              </w:rPr>
              <w:t>-$1,800</w:t>
            </w:r>
          </w:p>
        </w:tc>
      </w:tr>
      <w:tr>
        <w:trPr>
          <w:trHeight w:val="369"/>
        </w:trPr>
        <w:tc>
          <w:tcPr>
            <w:tcW w:type="dxa" w:w="4032"/>
            <w:shd w:val="clear" w:color="auto" w:fill="FFFFFF"/>
            <w:vAlign w:val="center"/>
          </w:tcPr>
          <w:p>
            <w:pPr>
              <w:jc w:val="left"/>
            </w:pPr>
            <w:r>
              <w:rPr>
                <w:b w:val="0"/>
                <w:i w:val="0"/>
                <w:color w:val="222222"/>
                <w:sz w:val="19"/>
              </w:rPr>
              <w:t>Technology Stack</w:t>
            </w:r>
          </w:p>
        </w:tc>
        <w:tc>
          <w:tcPr>
            <w:tcW w:type="dxa" w:w="2304"/>
            <w:shd w:val="clear" w:color="auto" w:fill="FFFFFF"/>
            <w:vAlign w:val="center"/>
          </w:tcPr>
          <w:p>
            <w:pPr>
              <w:jc w:val="right"/>
            </w:pPr>
            <w:r>
              <w:rPr>
                <w:b w:val="0"/>
                <w:i w:val="0"/>
                <w:color w:val="C0392B"/>
                <w:sz w:val="19"/>
              </w:rPr>
              <w:t>-$107</w:t>
            </w:r>
          </w:p>
        </w:tc>
        <w:tc>
          <w:tcPr>
            <w:tcW w:type="dxa" w:w="2304"/>
            <w:shd w:val="clear" w:color="auto" w:fill="FFFFFF"/>
            <w:vAlign w:val="center"/>
          </w:tcPr>
          <w:p>
            <w:pPr>
              <w:jc w:val="right"/>
            </w:pPr>
            <w:r>
              <w:rPr>
                <w:b w:val="0"/>
                <w:i w:val="0"/>
                <w:color w:val="C0392B"/>
                <w:sz w:val="19"/>
              </w:rPr>
              <w:t>-$107</w:t>
            </w:r>
          </w:p>
        </w:tc>
        <w:tc>
          <w:tcPr>
            <w:tcW w:type="dxa" w:w="2304"/>
            <w:shd w:val="clear" w:color="auto" w:fill="FFFFFF"/>
            <w:vAlign w:val="center"/>
          </w:tcPr>
          <w:p>
            <w:pPr>
              <w:jc w:val="right"/>
            </w:pPr>
            <w:r>
              <w:rPr>
                <w:b w:val="0"/>
                <w:i w:val="0"/>
                <w:color w:val="C0392B"/>
                <w:sz w:val="19"/>
              </w:rPr>
              <w:t>-$107</w:t>
            </w:r>
          </w:p>
        </w:tc>
      </w:tr>
      <w:tr>
        <w:trPr>
          <w:trHeight w:val="369"/>
        </w:trPr>
        <w:tc>
          <w:tcPr>
            <w:tcW w:type="dxa" w:w="4032"/>
            <w:shd w:val="clear" w:color="auto" w:fill="F2F2F2"/>
            <w:vAlign w:val="center"/>
          </w:tcPr>
          <w:p>
            <w:pPr>
              <w:jc w:val="left"/>
            </w:pPr>
            <w:r>
              <w:rPr>
                <w:b w:val="0"/>
                <w:i w:val="0"/>
                <w:color w:val="222222"/>
                <w:sz w:val="19"/>
              </w:rPr>
              <w:t>GPS Subscriptions</w:t>
            </w:r>
          </w:p>
        </w:tc>
        <w:tc>
          <w:tcPr>
            <w:tcW w:type="dxa" w:w="2304"/>
            <w:shd w:val="clear" w:color="auto" w:fill="F2F2F2"/>
            <w:vAlign w:val="center"/>
          </w:tcPr>
          <w:p>
            <w:pPr>
              <w:jc w:val="right"/>
            </w:pPr>
            <w:r>
              <w:rPr>
                <w:b w:val="0"/>
                <w:i w:val="0"/>
                <w:color w:val="C0392B"/>
                <w:sz w:val="19"/>
              </w:rPr>
              <w:t>-$32</w:t>
            </w:r>
          </w:p>
        </w:tc>
        <w:tc>
          <w:tcPr>
            <w:tcW w:type="dxa" w:w="2304"/>
            <w:shd w:val="clear" w:color="auto" w:fill="F2F2F2"/>
            <w:vAlign w:val="center"/>
          </w:tcPr>
          <w:p>
            <w:pPr>
              <w:jc w:val="right"/>
            </w:pPr>
            <w:r>
              <w:rPr>
                <w:b w:val="0"/>
                <w:i w:val="0"/>
                <w:color w:val="C0392B"/>
                <w:sz w:val="19"/>
              </w:rPr>
              <w:t>-$32</w:t>
            </w:r>
          </w:p>
        </w:tc>
        <w:tc>
          <w:tcPr>
            <w:tcW w:type="dxa" w:w="2304"/>
            <w:shd w:val="clear" w:color="auto" w:fill="F2F2F2"/>
            <w:vAlign w:val="center"/>
          </w:tcPr>
          <w:p>
            <w:pPr>
              <w:jc w:val="right"/>
            </w:pPr>
            <w:r>
              <w:rPr>
                <w:b w:val="0"/>
                <w:i w:val="0"/>
                <w:color w:val="C0392B"/>
                <w:sz w:val="19"/>
              </w:rPr>
              <w:t>-$32</w:t>
            </w:r>
          </w:p>
        </w:tc>
      </w:tr>
      <w:tr>
        <w:trPr>
          <w:trHeight w:val="369"/>
        </w:trPr>
        <w:tc>
          <w:tcPr>
            <w:tcW w:type="dxa" w:w="4032"/>
            <w:shd w:val="clear" w:color="auto" w:fill="FFFFFF"/>
            <w:vAlign w:val="center"/>
          </w:tcPr>
          <w:p>
            <w:pPr>
              <w:jc w:val="left"/>
            </w:pPr>
            <w:r>
              <w:rPr>
                <w:b w:val="0"/>
                <w:i w:val="0"/>
                <w:color w:val="222222"/>
                <w:sz w:val="19"/>
              </w:rPr>
              <w:t>Stripe Fees (2.9%)</w:t>
            </w:r>
          </w:p>
        </w:tc>
        <w:tc>
          <w:tcPr>
            <w:tcW w:type="dxa" w:w="2304"/>
            <w:shd w:val="clear" w:color="auto" w:fill="FFFFFF"/>
            <w:vAlign w:val="center"/>
          </w:tcPr>
          <w:p>
            <w:pPr>
              <w:jc w:val="right"/>
            </w:pPr>
            <w:r>
              <w:rPr>
                <w:b w:val="0"/>
                <w:i w:val="0"/>
                <w:color w:val="C0392B"/>
                <w:sz w:val="19"/>
              </w:rPr>
              <w:t>-$51</w:t>
            </w:r>
          </w:p>
        </w:tc>
        <w:tc>
          <w:tcPr>
            <w:tcW w:type="dxa" w:w="2304"/>
            <w:shd w:val="clear" w:color="auto" w:fill="FFFFFF"/>
            <w:vAlign w:val="center"/>
          </w:tcPr>
          <w:p>
            <w:pPr>
              <w:jc w:val="right"/>
            </w:pPr>
            <w:r>
              <w:rPr>
                <w:b w:val="0"/>
                <w:i w:val="0"/>
                <w:color w:val="C0392B"/>
                <w:sz w:val="19"/>
              </w:rPr>
              <w:t>-$82</w:t>
            </w:r>
          </w:p>
        </w:tc>
        <w:tc>
          <w:tcPr>
            <w:tcW w:type="dxa" w:w="2304"/>
            <w:shd w:val="clear" w:color="auto" w:fill="FFFFFF"/>
            <w:vAlign w:val="center"/>
          </w:tcPr>
          <w:p>
            <w:pPr>
              <w:jc w:val="right"/>
            </w:pPr>
            <w:r>
              <w:rPr>
                <w:b w:val="0"/>
                <w:i w:val="0"/>
                <w:color w:val="C0392B"/>
                <w:sz w:val="19"/>
              </w:rPr>
              <w:t>-$90</w:t>
            </w:r>
          </w:p>
        </w:tc>
      </w:tr>
      <w:tr>
        <w:trPr>
          <w:trHeight w:val="369"/>
        </w:trPr>
        <w:tc>
          <w:tcPr>
            <w:tcW w:type="dxa" w:w="4032"/>
            <w:shd w:val="clear" w:color="auto" w:fill="F2F2F2"/>
            <w:vAlign w:val="center"/>
          </w:tcPr>
          <w:p>
            <w:pPr>
              <w:jc w:val="left"/>
            </w:pPr>
            <w:r>
              <w:rPr>
                <w:b w:val="0"/>
                <w:i w:val="0"/>
                <w:color w:val="222222"/>
                <w:sz w:val="19"/>
              </w:rPr>
              <w:t>Misc Operating</w:t>
            </w:r>
          </w:p>
        </w:tc>
        <w:tc>
          <w:tcPr>
            <w:tcW w:type="dxa" w:w="2304"/>
            <w:shd w:val="clear" w:color="auto" w:fill="F2F2F2"/>
            <w:vAlign w:val="center"/>
          </w:tcPr>
          <w:p>
            <w:pPr>
              <w:jc w:val="right"/>
            </w:pPr>
            <w:r>
              <w:rPr>
                <w:b w:val="0"/>
                <w:i w:val="0"/>
                <w:color w:val="C0392B"/>
                <w:sz w:val="19"/>
              </w:rPr>
              <w:t>-$200</w:t>
            </w:r>
          </w:p>
        </w:tc>
        <w:tc>
          <w:tcPr>
            <w:tcW w:type="dxa" w:w="2304"/>
            <w:shd w:val="clear" w:color="auto" w:fill="F2F2F2"/>
            <w:vAlign w:val="center"/>
          </w:tcPr>
          <w:p>
            <w:pPr>
              <w:jc w:val="right"/>
            </w:pPr>
            <w:r>
              <w:rPr>
                <w:b w:val="0"/>
                <w:i w:val="0"/>
                <w:color w:val="C0392B"/>
                <w:sz w:val="19"/>
              </w:rPr>
              <w:t>-$200</w:t>
            </w:r>
          </w:p>
        </w:tc>
        <w:tc>
          <w:tcPr>
            <w:tcW w:type="dxa" w:w="2304"/>
            <w:shd w:val="clear" w:color="auto" w:fill="F2F2F2"/>
            <w:vAlign w:val="center"/>
          </w:tcPr>
          <w:p>
            <w:pPr>
              <w:jc w:val="right"/>
            </w:pPr>
            <w:r>
              <w:rPr>
                <w:b w:val="0"/>
                <w:i w:val="0"/>
                <w:color w:val="C0392B"/>
                <w:sz w:val="19"/>
              </w:rPr>
              <w:t>-$200</w:t>
            </w:r>
          </w:p>
        </w:tc>
      </w:tr>
      <w:tr>
        <w:trPr>
          <w:trHeight w:val="369"/>
        </w:trPr>
        <w:tc>
          <w:tcPr>
            <w:tcW w:type="dxa" w:w="4032"/>
            <w:shd w:val="clear" w:color="auto" w:fill="FFFFFF"/>
            <w:vAlign w:val="center"/>
          </w:tcPr>
          <w:p>
            <w:pPr>
              <w:jc w:val="left"/>
            </w:pPr>
            <w:r>
              <w:rPr>
                <w:b/>
                <w:i w:val="0"/>
                <w:color w:val="E67E22"/>
                <w:sz w:val="19"/>
              </w:rPr>
              <w:t>TOTAL EXPENSES</w:t>
            </w:r>
          </w:p>
        </w:tc>
        <w:tc>
          <w:tcPr>
            <w:tcW w:type="dxa" w:w="2304"/>
            <w:shd w:val="clear" w:color="auto" w:fill="FFFFFF"/>
            <w:vAlign w:val="center"/>
          </w:tcPr>
          <w:p>
            <w:pPr>
              <w:jc w:val="right"/>
            </w:pPr>
            <w:r>
              <w:rPr>
                <w:b w:val="0"/>
                <w:i w:val="0"/>
                <w:color w:val="C0392B"/>
                <w:sz w:val="19"/>
              </w:rPr>
              <w:t>-$3,690</w:t>
            </w:r>
          </w:p>
        </w:tc>
        <w:tc>
          <w:tcPr>
            <w:tcW w:type="dxa" w:w="2304"/>
            <w:shd w:val="clear" w:color="auto" w:fill="FFFFFF"/>
            <w:vAlign w:val="center"/>
          </w:tcPr>
          <w:p>
            <w:pPr>
              <w:jc w:val="right"/>
            </w:pPr>
            <w:r>
              <w:rPr>
                <w:b w:val="0"/>
                <w:i w:val="0"/>
                <w:color w:val="C0392B"/>
                <w:sz w:val="19"/>
              </w:rPr>
              <w:t>-$3,721</w:t>
            </w:r>
          </w:p>
        </w:tc>
        <w:tc>
          <w:tcPr>
            <w:tcW w:type="dxa" w:w="2304"/>
            <w:shd w:val="clear" w:color="auto" w:fill="FFFFFF"/>
            <w:vAlign w:val="center"/>
          </w:tcPr>
          <w:p>
            <w:pPr>
              <w:jc w:val="right"/>
            </w:pPr>
            <w:r>
              <w:rPr>
                <w:b w:val="0"/>
                <w:i w:val="0"/>
                <w:color w:val="C0392B"/>
                <w:sz w:val="19"/>
              </w:rPr>
              <w:t>-$3,729</w:t>
            </w:r>
          </w:p>
        </w:tc>
      </w:tr>
      <w:tr>
        <w:trPr>
          <w:trHeight w:val="369"/>
        </w:trPr>
        <w:tc>
          <w:tcPr>
            <w:tcW w:type="dxa" w:w="4032"/>
            <w:shd w:val="clear" w:color="auto" w:fill="F2F2F2"/>
            <w:vAlign w:val="center"/>
          </w:tcPr>
          <w:p>
            <w:pPr>
              <w:jc w:val="left"/>
            </w:pPr>
            <w:r>
              <w:rPr>
                <w:b/>
                <w:i w:val="0"/>
                <w:color w:val="E67E22"/>
                <w:sz w:val="19"/>
              </w:rPr>
              <w:t>NET OPERATING INCOME</w:t>
            </w:r>
          </w:p>
        </w:tc>
        <w:tc>
          <w:tcPr>
            <w:tcW w:type="dxa" w:w="2304"/>
            <w:shd w:val="clear" w:color="auto" w:fill="F2F2F2"/>
            <w:vAlign w:val="center"/>
          </w:tcPr>
          <w:p>
            <w:pPr>
              <w:jc w:val="right"/>
            </w:pPr>
            <w:r>
              <w:rPr>
                <w:b w:val="0"/>
                <w:i w:val="0"/>
                <w:color w:val="C0392B"/>
                <w:sz w:val="19"/>
              </w:rPr>
              <w:t>-$1,950</w:t>
            </w:r>
          </w:p>
        </w:tc>
        <w:tc>
          <w:tcPr>
            <w:tcW w:type="dxa" w:w="2304"/>
            <w:shd w:val="clear" w:color="auto" w:fill="F2F2F2"/>
            <w:vAlign w:val="center"/>
          </w:tcPr>
          <w:p>
            <w:pPr>
              <w:jc w:val="right"/>
            </w:pPr>
            <w:r>
              <w:rPr>
                <w:b w:val="0"/>
                <w:i w:val="0"/>
                <w:color w:val="C0392B"/>
                <w:sz w:val="19"/>
              </w:rPr>
              <w:t>-$852</w:t>
            </w:r>
          </w:p>
        </w:tc>
        <w:tc>
          <w:tcPr>
            <w:tcW w:type="dxa" w:w="2304"/>
            <w:shd w:val="clear" w:color="auto" w:fill="F2F2F2"/>
            <w:vAlign w:val="center"/>
          </w:tcPr>
          <w:p>
            <w:pPr>
              <w:jc w:val="right"/>
            </w:pPr>
            <w:r>
              <w:rPr>
                <w:b w:val="0"/>
                <w:i w:val="0"/>
                <w:color w:val="C0392B"/>
                <w:sz w:val="19"/>
              </w:rPr>
              <w:t>-$647</w:t>
            </w:r>
          </w:p>
        </w:tc>
      </w:tr>
      <w:tr>
        <w:trPr>
          <w:trHeight w:val="369"/>
        </w:trPr>
        <w:tc>
          <w:tcPr>
            <w:tcW w:type="dxa" w:w="4032"/>
            <w:shd w:val="clear" w:color="auto" w:fill="FFFFFF"/>
            <w:vAlign w:val="center"/>
          </w:tcPr>
          <w:p>
            <w:pPr>
              <w:jc w:val="left"/>
            </w:pPr>
            <w:r>
              <w:rPr>
                <w:b w:val="0"/>
                <w:i w:val="0"/>
                <w:color w:val="222222"/>
                <w:sz w:val="19"/>
              </w:rPr>
              <w:t>Depreciation (non-cash)</w:t>
            </w:r>
          </w:p>
        </w:tc>
        <w:tc>
          <w:tcPr>
            <w:tcW w:type="dxa" w:w="2304"/>
            <w:shd w:val="clear" w:color="auto" w:fill="FFFFFF"/>
            <w:vAlign w:val="center"/>
          </w:tcPr>
          <w:p>
            <w:pPr>
              <w:jc w:val="right"/>
            </w:pPr>
            <w:r>
              <w:rPr>
                <w:b w:val="0"/>
                <w:i w:val="0"/>
                <w:color w:val="C0392B"/>
                <w:sz w:val="19"/>
              </w:rPr>
              <w:t>-$556</w:t>
            </w:r>
          </w:p>
        </w:tc>
        <w:tc>
          <w:tcPr>
            <w:tcW w:type="dxa" w:w="2304"/>
            <w:shd w:val="clear" w:color="auto" w:fill="FFFFFF"/>
            <w:vAlign w:val="center"/>
          </w:tcPr>
          <w:p>
            <w:pPr>
              <w:jc w:val="right"/>
            </w:pPr>
            <w:r>
              <w:rPr>
                <w:b w:val="0"/>
                <w:i w:val="0"/>
                <w:color w:val="C0392B"/>
                <w:sz w:val="19"/>
              </w:rPr>
              <w:t>-$556</w:t>
            </w:r>
          </w:p>
        </w:tc>
        <w:tc>
          <w:tcPr>
            <w:tcW w:type="dxa" w:w="2304"/>
            <w:shd w:val="clear" w:color="auto" w:fill="FFFFFF"/>
            <w:vAlign w:val="center"/>
          </w:tcPr>
          <w:p>
            <w:pPr>
              <w:jc w:val="right"/>
            </w:pPr>
            <w:r>
              <w:rPr>
                <w:b w:val="0"/>
                <w:i w:val="0"/>
                <w:color w:val="C0392B"/>
                <w:sz w:val="19"/>
              </w:rPr>
              <w:t>-$556</w:t>
            </w:r>
          </w:p>
        </w:tc>
      </w:tr>
      <w:tr>
        <w:trPr>
          <w:trHeight w:val="369"/>
        </w:trPr>
        <w:tc>
          <w:tcPr>
            <w:tcW w:type="dxa" w:w="4032"/>
            <w:shd w:val="clear" w:color="auto" w:fill="F2F2F2"/>
            <w:vAlign w:val="center"/>
          </w:tcPr>
          <w:p>
            <w:pPr>
              <w:jc w:val="left"/>
            </w:pPr>
            <w:r>
              <w:rPr>
                <w:b/>
                <w:i w:val="0"/>
                <w:color w:val="E67E22"/>
                <w:sz w:val="19"/>
              </w:rPr>
              <w:t>NET INCOME BEFORE TAX</w:t>
            </w:r>
          </w:p>
        </w:tc>
        <w:tc>
          <w:tcPr>
            <w:tcW w:type="dxa" w:w="2304"/>
            <w:shd w:val="clear" w:color="auto" w:fill="F2F2F2"/>
            <w:vAlign w:val="center"/>
          </w:tcPr>
          <w:p>
            <w:pPr>
              <w:jc w:val="right"/>
            </w:pPr>
            <w:r>
              <w:rPr>
                <w:b w:val="0"/>
                <w:i w:val="0"/>
                <w:color w:val="C0392B"/>
                <w:sz w:val="19"/>
              </w:rPr>
              <w:t>-$2,506</w:t>
            </w:r>
          </w:p>
        </w:tc>
        <w:tc>
          <w:tcPr>
            <w:tcW w:type="dxa" w:w="2304"/>
            <w:shd w:val="clear" w:color="auto" w:fill="F2F2F2"/>
            <w:vAlign w:val="center"/>
          </w:tcPr>
          <w:p>
            <w:pPr>
              <w:jc w:val="right"/>
            </w:pPr>
            <w:r>
              <w:rPr>
                <w:b w:val="0"/>
                <w:i w:val="0"/>
                <w:color w:val="C0392B"/>
                <w:sz w:val="19"/>
              </w:rPr>
              <w:t>-$1,408</w:t>
            </w:r>
          </w:p>
        </w:tc>
        <w:tc>
          <w:tcPr>
            <w:tcW w:type="dxa" w:w="2304"/>
            <w:shd w:val="clear" w:color="auto" w:fill="F2F2F2"/>
            <w:vAlign w:val="center"/>
          </w:tcPr>
          <w:p>
            <w:pPr>
              <w:jc w:val="right"/>
            </w:pPr>
            <w:r>
              <w:rPr>
                <w:b w:val="0"/>
                <w:i w:val="0"/>
                <w:color w:val="C0392B"/>
                <w:sz w:val="19"/>
              </w:rPr>
              <w:t>-$1,203</w:t>
            </w:r>
          </w:p>
        </w:tc>
      </w:tr>
    </w:tbl>
    <w:p>
      <w:pPr>
        <w:spacing w:after="80"/>
      </w:pPr>
    </w:p>
    <w:p>
      <w:pPr>
        <w:spacing w:before="200" w:after="120"/>
        <w:jc w:val="left"/>
      </w:pPr>
      <w:r>
        <w:rPr>
          <w:b/>
          <w:color w:val="0D2B55"/>
          <w:sz w:val="28"/>
        </w:rPr>
        <w:t>Month 12 P&amp;L (Fleet Growth Scenario)</w:t>
      </w:r>
    </w:p>
    <w:p>
      <w:pPr>
        <w:spacing w:after="80" w:before="40"/>
      </w:pPr>
      <w:r>
        <w:rPr>
          <w:b w:val="0"/>
          <w:color w:val="007A87"/>
          <w:sz w:val="20"/>
        </w:rPr>
        <w:t>By Month 12: Conservative stays at 2 cars. Base case adds Car #3. Optimistic adds Cars #3 and #4.</w:t>
      </w:r>
    </w:p>
    <w:tbl>
      <w:tblPr>
        <w:tblStyle w:val="TableGrid"/>
        <w:tblW w:type="auto" w:w="0"/>
        <w:jc w:val="center"/>
        <w:tblLook w:firstColumn="1" w:firstRow="1" w:lastColumn="0" w:lastRow="0" w:noHBand="0" w:noVBand="1" w:val="04A0"/>
      </w:tblPr>
      <w:tblGrid>
        <w:gridCol w:w="2340"/>
        <w:gridCol w:w="2340"/>
        <w:gridCol w:w="2340"/>
        <w:gridCol w:w="2340"/>
      </w:tblGrid>
      <w:tr>
        <w:trPr>
          <w:trHeight w:val="397"/>
        </w:trPr>
        <w:tc>
          <w:tcPr>
            <w:tcW w:type="dxa" w:w="4032"/>
            <w:shd w:val="clear" w:color="auto" w:fill="0D2B55"/>
            <w:vAlign w:val="center"/>
          </w:tcPr>
          <w:p>
            <w:pPr>
              <w:jc w:val="center"/>
            </w:pPr>
            <w:r>
              <w:rPr>
                <w:b/>
                <w:i w:val="0"/>
                <w:color w:val="FFFFFF"/>
                <w:sz w:val="19"/>
              </w:rPr>
              <w:t>Line Item</w:t>
            </w:r>
          </w:p>
        </w:tc>
        <w:tc>
          <w:tcPr>
            <w:tcW w:type="dxa" w:w="2304"/>
            <w:shd w:val="clear" w:color="auto" w:fill="0D2B55"/>
            <w:vAlign w:val="center"/>
          </w:tcPr>
          <w:p>
            <w:pPr>
              <w:jc w:val="center"/>
            </w:pPr>
            <w:r>
              <w:rPr>
                <w:b/>
                <w:i w:val="0"/>
                <w:color w:val="FFFFFF"/>
                <w:sz w:val="19"/>
              </w:rPr>
              <w:t>Conservative</w:t>
              <w:br/>
              <w:t>65% util / $300/wk</w:t>
            </w:r>
          </w:p>
        </w:tc>
        <w:tc>
          <w:tcPr>
            <w:tcW w:type="dxa" w:w="2304"/>
            <w:shd w:val="clear" w:color="auto" w:fill="0D2B55"/>
            <w:vAlign w:val="center"/>
          </w:tcPr>
          <w:p>
            <w:pPr>
              <w:jc w:val="center"/>
            </w:pPr>
            <w:r>
              <w:rPr>
                <w:b/>
                <w:i w:val="0"/>
                <w:color w:val="FFFFFF"/>
                <w:sz w:val="19"/>
              </w:rPr>
              <w:t>Base Case</w:t>
              <w:br/>
              <w:t>85% util / $325/wk</w:t>
            </w:r>
          </w:p>
        </w:tc>
        <w:tc>
          <w:tcPr>
            <w:tcW w:type="dxa" w:w="2304"/>
            <w:shd w:val="clear" w:color="auto" w:fill="0D2B55"/>
            <w:vAlign w:val="center"/>
          </w:tcPr>
          <w:p>
            <w:pPr>
              <w:jc w:val="center"/>
            </w:pPr>
            <w:r>
              <w:rPr>
                <w:b/>
                <w:i w:val="0"/>
                <w:color w:val="FFFFFF"/>
                <w:sz w:val="19"/>
              </w:rPr>
              <w:t>Optimistic</w:t>
              <w:br/>
              <w:t>100% util / $350/wk</w:t>
            </w:r>
          </w:p>
        </w:tc>
      </w:tr>
      <w:tr>
        <w:trPr>
          <w:trHeight w:val="369"/>
        </w:trPr>
        <w:tc>
          <w:tcPr>
            <w:tcW w:type="dxa" w:w="4032"/>
            <w:shd w:val="clear" w:color="auto" w:fill="FFFFFF"/>
            <w:vAlign w:val="center"/>
          </w:tcPr>
          <w:p>
            <w:pPr>
              <w:jc w:val="left"/>
            </w:pPr>
            <w:r>
              <w:rPr>
                <w:b/>
                <w:i w:val="0"/>
                <w:color w:val="E67E22"/>
                <w:sz w:val="19"/>
              </w:rPr>
              <w:t>MONTH 12 — 2 CARS (CONS.) / 3 CARS (BASE) / 4 CARS (OPT.)</w:t>
            </w:r>
          </w:p>
        </w:tc>
        <w:tc>
          <w:tcPr>
            <w:tcW w:type="dxa" w:w="2304"/>
            <w:shd w:val="clear" w:color="auto" w:fill="FFFFFF"/>
            <w:vAlign w:val="center"/>
          </w:tcPr>
          <w:p>
            <w:pPr>
              <w:jc w:val="right"/>
            </w:pPr>
            <w:r>
              <w:rPr>
                <w:b w:val="0"/>
                <w:i w:val="0"/>
                <w:color w:val="222222"/>
                <w:sz w:val="19"/>
              </w:rPr>
            </w:r>
          </w:p>
        </w:tc>
        <w:tc>
          <w:tcPr>
            <w:tcW w:type="dxa" w:w="2304"/>
            <w:shd w:val="clear" w:color="auto" w:fill="FFFFFF"/>
            <w:vAlign w:val="center"/>
          </w:tcPr>
          <w:p>
            <w:pPr>
              <w:jc w:val="right"/>
            </w:pPr>
            <w:r>
              <w:rPr>
                <w:b w:val="0"/>
                <w:i w:val="0"/>
                <w:color w:val="222222"/>
                <w:sz w:val="19"/>
              </w:rPr>
            </w:r>
          </w:p>
        </w:tc>
        <w:tc>
          <w:tcPr>
            <w:tcW w:type="dxa" w:w="2304"/>
            <w:shd w:val="clear" w:color="auto" w:fill="FFFFFF"/>
            <w:vAlign w:val="center"/>
          </w:tcPr>
          <w:p>
            <w:pPr>
              <w:jc w:val="right"/>
            </w:pPr>
            <w:r>
              <w:rPr>
                <w:b w:val="0"/>
                <w:i w:val="0"/>
                <w:color w:val="222222"/>
                <w:sz w:val="19"/>
              </w:rPr>
            </w:r>
          </w:p>
        </w:tc>
      </w:tr>
      <w:tr>
        <w:trPr>
          <w:trHeight w:val="369"/>
        </w:trPr>
        <w:tc>
          <w:tcPr>
            <w:tcW w:type="dxa" w:w="4032"/>
            <w:shd w:val="clear" w:color="auto" w:fill="F2F2F2"/>
            <w:vAlign w:val="center"/>
          </w:tcPr>
          <w:p>
            <w:pPr>
              <w:jc w:val="left"/>
            </w:pPr>
            <w:r>
              <w:rPr>
                <w:b w:val="0"/>
                <w:i w:val="0"/>
                <w:color w:val="222222"/>
                <w:sz w:val="19"/>
              </w:rPr>
              <w:t>Gross Rental Revenue</w:t>
            </w:r>
          </w:p>
        </w:tc>
        <w:tc>
          <w:tcPr>
            <w:tcW w:type="dxa" w:w="2304"/>
            <w:shd w:val="clear" w:color="auto" w:fill="F2F2F2"/>
            <w:vAlign w:val="center"/>
          </w:tcPr>
          <w:p>
            <w:pPr>
              <w:jc w:val="right"/>
            </w:pPr>
            <w:r>
              <w:rPr>
                <w:b w:val="0"/>
                <w:i w:val="0"/>
                <w:color w:val="222222"/>
                <w:sz w:val="19"/>
              </w:rPr>
              <w:t>$1,690</w:t>
            </w:r>
          </w:p>
        </w:tc>
        <w:tc>
          <w:tcPr>
            <w:tcW w:type="dxa" w:w="2304"/>
            <w:shd w:val="clear" w:color="auto" w:fill="F2F2F2"/>
            <w:vAlign w:val="center"/>
          </w:tcPr>
          <w:p>
            <w:pPr>
              <w:jc w:val="right"/>
            </w:pPr>
            <w:r>
              <w:rPr>
                <w:b w:val="0"/>
                <w:i w:val="0"/>
                <w:color w:val="222222"/>
                <w:sz w:val="19"/>
              </w:rPr>
              <w:t>$4,148</w:t>
            </w:r>
          </w:p>
        </w:tc>
        <w:tc>
          <w:tcPr>
            <w:tcW w:type="dxa" w:w="2304"/>
            <w:shd w:val="clear" w:color="auto" w:fill="F2F2F2"/>
            <w:vAlign w:val="center"/>
          </w:tcPr>
          <w:p>
            <w:pPr>
              <w:jc w:val="right"/>
            </w:pPr>
            <w:r>
              <w:rPr>
                <w:b w:val="0"/>
                <w:i w:val="0"/>
                <w:color w:val="222222"/>
                <w:sz w:val="19"/>
              </w:rPr>
              <w:t>$6,064</w:t>
            </w:r>
          </w:p>
        </w:tc>
      </w:tr>
      <w:tr>
        <w:trPr>
          <w:trHeight w:val="369"/>
        </w:trPr>
        <w:tc>
          <w:tcPr>
            <w:tcW w:type="dxa" w:w="4032"/>
            <w:shd w:val="clear" w:color="auto" w:fill="FFFFFF"/>
            <w:vAlign w:val="center"/>
          </w:tcPr>
          <w:p>
            <w:pPr>
              <w:jc w:val="left"/>
            </w:pPr>
            <w:r>
              <w:rPr>
                <w:b/>
                <w:i w:val="0"/>
                <w:color w:val="E67E22"/>
                <w:sz w:val="19"/>
              </w:rPr>
              <w:t>TOTAL NET REVENUE</w:t>
            </w:r>
          </w:p>
        </w:tc>
        <w:tc>
          <w:tcPr>
            <w:tcW w:type="dxa" w:w="2304"/>
            <w:shd w:val="clear" w:color="auto" w:fill="FFFFFF"/>
            <w:vAlign w:val="center"/>
          </w:tcPr>
          <w:p>
            <w:pPr>
              <w:jc w:val="right"/>
            </w:pPr>
            <w:r>
              <w:rPr>
                <w:b w:val="0"/>
                <w:i w:val="0"/>
                <w:color w:val="222222"/>
                <w:sz w:val="19"/>
              </w:rPr>
              <w:t>$1,740</w:t>
            </w:r>
          </w:p>
        </w:tc>
        <w:tc>
          <w:tcPr>
            <w:tcW w:type="dxa" w:w="2304"/>
            <w:shd w:val="clear" w:color="auto" w:fill="FFFFFF"/>
            <w:vAlign w:val="center"/>
          </w:tcPr>
          <w:p>
            <w:pPr>
              <w:jc w:val="right"/>
            </w:pPr>
            <w:r>
              <w:rPr>
                <w:b w:val="0"/>
                <w:i w:val="0"/>
                <w:color w:val="222222"/>
                <w:sz w:val="19"/>
              </w:rPr>
              <w:t>$4,198</w:t>
            </w:r>
          </w:p>
        </w:tc>
        <w:tc>
          <w:tcPr>
            <w:tcW w:type="dxa" w:w="2304"/>
            <w:shd w:val="clear" w:color="auto" w:fill="FFFFFF"/>
            <w:vAlign w:val="center"/>
          </w:tcPr>
          <w:p>
            <w:pPr>
              <w:jc w:val="right"/>
            </w:pPr>
            <w:r>
              <w:rPr>
                <w:b w:val="0"/>
                <w:i w:val="0"/>
                <w:color w:val="222222"/>
                <w:sz w:val="19"/>
              </w:rPr>
              <w:t>$6,114</w:t>
            </w:r>
          </w:p>
        </w:tc>
      </w:tr>
      <w:tr>
        <w:trPr>
          <w:trHeight w:val="369"/>
        </w:trPr>
        <w:tc>
          <w:tcPr>
            <w:tcW w:type="dxa" w:w="4032"/>
            <w:shd w:val="clear" w:color="auto" w:fill="F2F2F2"/>
            <w:vAlign w:val="center"/>
          </w:tcPr>
          <w:p>
            <w:pPr>
              <w:jc w:val="left"/>
            </w:pPr>
            <w:r>
              <w:rPr>
                <w:b/>
                <w:i w:val="0"/>
                <w:color w:val="E67E22"/>
                <w:sz w:val="19"/>
              </w:rPr>
              <w:t>TOTAL EXPENSES</w:t>
            </w:r>
          </w:p>
        </w:tc>
        <w:tc>
          <w:tcPr>
            <w:tcW w:type="dxa" w:w="2304"/>
            <w:shd w:val="clear" w:color="auto" w:fill="F2F2F2"/>
            <w:vAlign w:val="center"/>
          </w:tcPr>
          <w:p>
            <w:pPr>
              <w:jc w:val="right"/>
            </w:pPr>
            <w:r>
              <w:rPr>
                <w:b w:val="0"/>
                <w:i w:val="0"/>
                <w:color w:val="C0392B"/>
                <w:sz w:val="19"/>
              </w:rPr>
              <w:t>-$3,690</w:t>
            </w:r>
          </w:p>
        </w:tc>
        <w:tc>
          <w:tcPr>
            <w:tcW w:type="dxa" w:w="2304"/>
            <w:shd w:val="clear" w:color="auto" w:fill="F2F2F2"/>
            <w:vAlign w:val="center"/>
          </w:tcPr>
          <w:p>
            <w:pPr>
              <w:jc w:val="right"/>
            </w:pPr>
            <w:r>
              <w:rPr>
                <w:b w:val="0"/>
                <w:i w:val="0"/>
                <w:color w:val="C0392B"/>
                <w:sz w:val="19"/>
              </w:rPr>
              <w:t>-$5,250</w:t>
            </w:r>
          </w:p>
        </w:tc>
        <w:tc>
          <w:tcPr>
            <w:tcW w:type="dxa" w:w="2304"/>
            <w:shd w:val="clear" w:color="auto" w:fill="F2F2F2"/>
            <w:vAlign w:val="center"/>
          </w:tcPr>
          <w:p>
            <w:pPr>
              <w:jc w:val="right"/>
            </w:pPr>
            <w:r>
              <w:rPr>
                <w:b w:val="0"/>
                <w:i w:val="0"/>
                <w:color w:val="C0392B"/>
                <w:sz w:val="19"/>
              </w:rPr>
              <w:t>-$7,466</w:t>
            </w:r>
          </w:p>
        </w:tc>
      </w:tr>
      <w:tr>
        <w:trPr>
          <w:trHeight w:val="369"/>
        </w:trPr>
        <w:tc>
          <w:tcPr>
            <w:tcW w:type="dxa" w:w="4032"/>
            <w:shd w:val="clear" w:color="auto" w:fill="FFFFFF"/>
            <w:vAlign w:val="center"/>
          </w:tcPr>
          <w:p>
            <w:pPr>
              <w:jc w:val="left"/>
            </w:pPr>
            <w:r>
              <w:rPr>
                <w:b/>
                <w:i w:val="0"/>
                <w:color w:val="E67E22"/>
                <w:sz w:val="19"/>
              </w:rPr>
              <w:t>NET OPERATING INCOME</w:t>
            </w:r>
          </w:p>
        </w:tc>
        <w:tc>
          <w:tcPr>
            <w:tcW w:type="dxa" w:w="2304"/>
            <w:shd w:val="clear" w:color="auto" w:fill="FFFFFF"/>
            <w:vAlign w:val="center"/>
          </w:tcPr>
          <w:p>
            <w:pPr>
              <w:jc w:val="right"/>
            </w:pPr>
            <w:r>
              <w:rPr>
                <w:b w:val="0"/>
                <w:i w:val="0"/>
                <w:color w:val="C0392B"/>
                <w:sz w:val="19"/>
              </w:rPr>
              <w:t>-$1,950</w:t>
            </w:r>
          </w:p>
        </w:tc>
        <w:tc>
          <w:tcPr>
            <w:tcW w:type="dxa" w:w="2304"/>
            <w:shd w:val="clear" w:color="auto" w:fill="FFFFFF"/>
            <w:vAlign w:val="center"/>
          </w:tcPr>
          <w:p>
            <w:pPr>
              <w:jc w:val="right"/>
            </w:pPr>
            <w:r>
              <w:rPr>
                <w:b w:val="0"/>
                <w:i w:val="0"/>
                <w:color w:val="C0392B"/>
                <w:sz w:val="19"/>
              </w:rPr>
              <w:t>-$1,052</w:t>
            </w:r>
          </w:p>
        </w:tc>
        <w:tc>
          <w:tcPr>
            <w:tcW w:type="dxa" w:w="2304"/>
            <w:shd w:val="clear" w:color="auto" w:fill="FFFFFF"/>
            <w:vAlign w:val="center"/>
          </w:tcPr>
          <w:p>
            <w:pPr>
              <w:jc w:val="right"/>
            </w:pPr>
            <w:r>
              <w:rPr>
                <w:b w:val="0"/>
                <w:i w:val="0"/>
                <w:color w:val="C0392B"/>
                <w:sz w:val="19"/>
              </w:rPr>
              <w:t>-$1,352</w:t>
            </w:r>
          </w:p>
        </w:tc>
      </w:tr>
      <w:tr>
        <w:trPr>
          <w:trHeight w:val="369"/>
        </w:trPr>
        <w:tc>
          <w:tcPr>
            <w:tcW w:type="dxa" w:w="4032"/>
            <w:shd w:val="clear" w:color="auto" w:fill="F2F2F2"/>
            <w:vAlign w:val="center"/>
          </w:tcPr>
          <w:p>
            <w:pPr>
              <w:jc w:val="left"/>
            </w:pPr>
            <w:r>
              <w:rPr>
                <w:b/>
                <w:i w:val="0"/>
                <w:color w:val="E67E22"/>
                <w:sz w:val="19"/>
              </w:rPr>
              <w:t>NET INCOME BEFORE TAX</w:t>
            </w:r>
          </w:p>
        </w:tc>
        <w:tc>
          <w:tcPr>
            <w:tcW w:type="dxa" w:w="2304"/>
            <w:shd w:val="clear" w:color="auto" w:fill="F2F2F2"/>
            <w:vAlign w:val="center"/>
          </w:tcPr>
          <w:p>
            <w:pPr>
              <w:jc w:val="right"/>
            </w:pPr>
            <w:r>
              <w:rPr>
                <w:b w:val="0"/>
                <w:i w:val="0"/>
                <w:color w:val="C0392B"/>
                <w:sz w:val="19"/>
              </w:rPr>
              <w:t>-$2,506</w:t>
            </w:r>
          </w:p>
        </w:tc>
        <w:tc>
          <w:tcPr>
            <w:tcW w:type="dxa" w:w="2304"/>
            <w:shd w:val="clear" w:color="auto" w:fill="F2F2F2"/>
            <w:vAlign w:val="center"/>
          </w:tcPr>
          <w:p>
            <w:pPr>
              <w:jc w:val="right"/>
            </w:pPr>
            <w:r>
              <w:rPr>
                <w:b w:val="0"/>
                <w:i w:val="0"/>
                <w:color w:val="C0392B"/>
                <w:sz w:val="19"/>
              </w:rPr>
              <w:t>-$1,885</w:t>
            </w:r>
          </w:p>
        </w:tc>
        <w:tc>
          <w:tcPr>
            <w:tcW w:type="dxa" w:w="2304"/>
            <w:shd w:val="clear" w:color="auto" w:fill="F2F2F2"/>
            <w:vAlign w:val="center"/>
          </w:tcPr>
          <w:p>
            <w:pPr>
              <w:jc w:val="right"/>
            </w:pPr>
            <w:r>
              <w:rPr>
                <w:b w:val="0"/>
                <w:i w:val="0"/>
                <w:color w:val="C0392B"/>
                <w:sz w:val="19"/>
              </w:rPr>
              <w:t>-$2,130</w:t>
            </w:r>
          </w:p>
        </w:tc>
      </w:tr>
    </w:tbl>
    <w:p>
      <w:pPr>
        <w:spacing w:after="80"/>
      </w:pPr>
    </w:p>
    <w:p>
      <w:pPr>
        <w:spacing w:after="80" w:before="40"/>
      </w:pPr>
      <w:r>
        <w:rPr>
          <w:b w:val="0"/>
          <w:color w:val="E67E22"/>
          <w:sz w:val="20"/>
        </w:rPr>
        <w:t>Accountant's Note: Negative net income through Month 12 is driven primarily by the non-cash depreciation charge and the conservative maintenance reserve. Cash operating income (excluding depreciation) turns positive by Month 3–4 in the base case.</w:t>
      </w:r>
    </w:p>
    <w:p>
      <w:r>
        <w:br w:type="page"/>
      </w:r>
    </w:p>
    <w:p>
      <w:pPr>
        <w:spacing w:before="280" w:after="120"/>
        <w:jc w:val="left"/>
      </w:pPr>
      <w:r>
        <w:rPr>
          <w:b/>
          <w:color w:val="0D2B55"/>
          <w:sz w:val="36"/>
        </w:rPr>
        <w:t>4.  Break-Even Analysis</w:t>
      </w:r>
    </w:p>
    <w:p>
      <w:pPr>
        <w:pBdr>
          <w:bottom w:val="single" w:sz="6" w:space="1" w:color="007A87"/>
        </w:pBdr>
        <w:spacing w:after="120" w:before="120"/>
      </w:pPr>
    </w:p>
    <w:p>
      <w:pPr>
        <w:spacing w:after="80" w:before="40"/>
      </w:pPr>
      <w:r>
        <w:rPr>
          <w:b w:val="0"/>
          <w:color w:val="222222"/>
          <w:sz w:val="21"/>
        </w:rPr>
        <w:t>We define two break-even points: (1) Cash Break-Even — the month when rental revenue first exceeds all cash outflows, and (2) Accounting Break-Even — the month when net income including non-cash depreciation turns positive. Both are meaningful for different reasons.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rHeight w:val="397"/>
        </w:trPr>
        <w:tc>
          <w:tcPr>
            <w:tcW w:type="dxa" w:w="3456"/>
            <w:shd w:val="clear" w:color="auto" w:fill="0D2B55"/>
            <w:vAlign w:val="center"/>
          </w:tcPr>
          <w:p>
            <w:pPr>
              <w:jc w:val="center"/>
            </w:pPr>
            <w:r>
              <w:rPr>
                <w:b/>
                <w:i w:val="0"/>
                <w:color w:val="FFFFFF"/>
                <w:sz w:val="19"/>
              </w:rPr>
              <w:t>Metric</w:t>
            </w:r>
          </w:p>
        </w:tc>
        <w:tc>
          <w:tcPr>
            <w:tcW w:type="dxa" w:w="1584"/>
            <w:shd w:val="clear" w:color="auto" w:fill="0D2B55"/>
            <w:vAlign w:val="center"/>
          </w:tcPr>
          <w:p>
            <w:pPr>
              <w:jc w:val="center"/>
            </w:pPr>
            <w:r>
              <w:rPr>
                <w:b/>
                <w:i w:val="0"/>
                <w:color w:val="FFFFFF"/>
                <w:sz w:val="19"/>
              </w:rPr>
              <w:t>Conservative</w:t>
            </w:r>
          </w:p>
        </w:tc>
        <w:tc>
          <w:tcPr>
            <w:tcW w:type="dxa" w:w="1584"/>
            <w:shd w:val="clear" w:color="auto" w:fill="0D2B55"/>
            <w:vAlign w:val="center"/>
          </w:tcPr>
          <w:p>
            <w:pPr>
              <w:jc w:val="center"/>
            </w:pPr>
            <w:r>
              <w:rPr>
                <w:b/>
                <w:i w:val="0"/>
                <w:color w:val="FFFFFF"/>
                <w:sz w:val="19"/>
              </w:rPr>
              <w:t>Base Case</w:t>
            </w:r>
          </w:p>
        </w:tc>
        <w:tc>
          <w:tcPr>
            <w:tcW w:type="dxa" w:w="1584"/>
            <w:shd w:val="clear" w:color="auto" w:fill="0D2B55"/>
            <w:vAlign w:val="center"/>
          </w:tcPr>
          <w:p>
            <w:pPr>
              <w:jc w:val="center"/>
            </w:pPr>
            <w:r>
              <w:rPr>
                <w:b/>
                <w:i w:val="0"/>
                <w:color w:val="FFFFFF"/>
                <w:sz w:val="19"/>
              </w:rPr>
              <w:t>Optimistic</w:t>
            </w:r>
          </w:p>
        </w:tc>
        <w:tc>
          <w:tcPr>
            <w:tcW w:type="dxa" w:w="2880"/>
            <w:shd w:val="clear" w:color="auto" w:fill="0D2B55"/>
            <w:vAlign w:val="center"/>
          </w:tcPr>
          <w:p>
            <w:pPr>
              <w:jc w:val="center"/>
            </w:pPr>
            <w:r>
              <w:rPr>
                <w:b/>
                <w:i w:val="0"/>
                <w:color w:val="FFFFFF"/>
                <w:sz w:val="19"/>
              </w:rPr>
              <w:t>Notes</w:t>
            </w:r>
          </w:p>
        </w:tc>
      </w:tr>
      <w:tr>
        <w:trPr>
          <w:trHeight w:val="369"/>
        </w:trPr>
        <w:tc>
          <w:tcPr>
            <w:tcW w:type="dxa" w:w="3456"/>
            <w:shd w:val="clear" w:color="auto" w:fill="FFFFFF"/>
            <w:vAlign w:val="center"/>
          </w:tcPr>
          <w:p>
            <w:pPr>
              <w:jc w:val="left"/>
            </w:pPr>
            <w:r>
              <w:rPr>
                <w:b w:val="0"/>
                <w:i w:val="0"/>
                <w:color w:val="222222"/>
                <w:sz w:val="19"/>
              </w:rPr>
              <w:t>Weekly rate per car</w:t>
            </w:r>
          </w:p>
        </w:tc>
        <w:tc>
          <w:tcPr>
            <w:tcW w:type="dxa" w:w="1584"/>
            <w:shd w:val="clear" w:color="auto" w:fill="FFFFFF"/>
            <w:vAlign w:val="center"/>
          </w:tcPr>
          <w:p>
            <w:pPr>
              <w:jc w:val="right"/>
            </w:pPr>
            <w:r>
              <w:rPr>
                <w:b w:val="0"/>
                <w:i w:val="0"/>
                <w:color w:val="222222"/>
                <w:sz w:val="19"/>
              </w:rPr>
              <w:t>$300</w:t>
            </w:r>
          </w:p>
        </w:tc>
        <w:tc>
          <w:tcPr>
            <w:tcW w:type="dxa" w:w="1584"/>
            <w:shd w:val="clear" w:color="auto" w:fill="FFFFFF"/>
            <w:vAlign w:val="center"/>
          </w:tcPr>
          <w:p>
            <w:pPr>
              <w:jc w:val="right"/>
            </w:pPr>
            <w:r>
              <w:rPr>
                <w:b w:val="0"/>
                <w:i w:val="0"/>
                <w:color w:val="222222"/>
                <w:sz w:val="19"/>
              </w:rPr>
              <w:t>$325</w:t>
            </w:r>
          </w:p>
        </w:tc>
        <w:tc>
          <w:tcPr>
            <w:tcW w:type="dxa" w:w="1584"/>
            <w:shd w:val="clear" w:color="auto" w:fill="FFFFFF"/>
            <w:vAlign w:val="center"/>
          </w:tcPr>
          <w:p>
            <w:pPr>
              <w:jc w:val="right"/>
            </w:pPr>
            <w:r>
              <w:rPr>
                <w:b w:val="0"/>
                <w:i w:val="0"/>
                <w:color w:val="222222"/>
                <w:sz w:val="19"/>
              </w:rPr>
              <w:t>$350</w:t>
            </w:r>
          </w:p>
        </w:tc>
        <w:tc>
          <w:tcPr>
            <w:tcW w:type="dxa" w:w="2880"/>
            <w:shd w:val="clear" w:color="auto" w:fill="FFFFFF"/>
            <w:vAlign w:val="center"/>
          </w:tcPr>
          <w:p>
            <w:pPr>
              <w:jc w:val="right"/>
            </w:pPr>
            <w:r>
              <w:rPr>
                <w:b w:val="0"/>
                <w:i w:val="0"/>
                <w:color w:val="222222"/>
                <w:sz w:val="19"/>
              </w:rPr>
            </w:r>
          </w:p>
        </w:tc>
      </w:tr>
      <w:tr>
        <w:trPr>
          <w:trHeight w:val="369"/>
        </w:trPr>
        <w:tc>
          <w:tcPr>
            <w:tcW w:type="dxa" w:w="3456"/>
            <w:shd w:val="clear" w:color="auto" w:fill="F2F2F2"/>
            <w:vAlign w:val="center"/>
          </w:tcPr>
          <w:p>
            <w:pPr>
              <w:jc w:val="left"/>
            </w:pPr>
            <w:r>
              <w:rPr>
                <w:b w:val="0"/>
                <w:i w:val="0"/>
                <w:color w:val="222222"/>
                <w:sz w:val="19"/>
              </w:rPr>
              <w:t>Utilisation rate</w:t>
            </w:r>
          </w:p>
        </w:tc>
        <w:tc>
          <w:tcPr>
            <w:tcW w:type="dxa" w:w="1584"/>
            <w:shd w:val="clear" w:color="auto" w:fill="F2F2F2"/>
            <w:vAlign w:val="center"/>
          </w:tcPr>
          <w:p>
            <w:pPr>
              <w:jc w:val="right"/>
            </w:pPr>
            <w:r>
              <w:rPr>
                <w:b w:val="0"/>
                <w:i w:val="0"/>
                <w:color w:val="222222"/>
                <w:sz w:val="19"/>
              </w:rPr>
              <w:t>65%</w:t>
            </w:r>
          </w:p>
        </w:tc>
        <w:tc>
          <w:tcPr>
            <w:tcW w:type="dxa" w:w="1584"/>
            <w:shd w:val="clear" w:color="auto" w:fill="F2F2F2"/>
            <w:vAlign w:val="center"/>
          </w:tcPr>
          <w:p>
            <w:pPr>
              <w:jc w:val="right"/>
            </w:pPr>
            <w:r>
              <w:rPr>
                <w:b w:val="0"/>
                <w:i w:val="0"/>
                <w:color w:val="222222"/>
                <w:sz w:val="19"/>
              </w:rPr>
              <w:t>85%</w:t>
            </w:r>
          </w:p>
        </w:tc>
        <w:tc>
          <w:tcPr>
            <w:tcW w:type="dxa" w:w="1584"/>
            <w:shd w:val="clear" w:color="auto" w:fill="F2F2F2"/>
            <w:vAlign w:val="center"/>
          </w:tcPr>
          <w:p>
            <w:pPr>
              <w:jc w:val="right"/>
            </w:pPr>
            <w:r>
              <w:rPr>
                <w:b w:val="0"/>
                <w:i w:val="0"/>
                <w:color w:val="222222"/>
                <w:sz w:val="19"/>
              </w:rPr>
              <w:t>100%</w:t>
            </w:r>
          </w:p>
        </w:tc>
        <w:tc>
          <w:tcPr>
            <w:tcW w:type="dxa" w:w="2880"/>
            <w:shd w:val="clear" w:color="auto" w:fill="F2F2F2"/>
            <w:vAlign w:val="center"/>
          </w:tcPr>
          <w:p>
            <w:pPr>
              <w:jc w:val="right"/>
            </w:pPr>
            <w:r>
              <w:rPr>
                <w:b w:val="0"/>
                <w:i w:val="0"/>
                <w:color w:val="222222"/>
                <w:sz w:val="19"/>
              </w:rPr>
              <w:t>Vacancy is the #1 revenue risk</w:t>
            </w:r>
          </w:p>
        </w:tc>
      </w:tr>
      <w:tr>
        <w:trPr>
          <w:trHeight w:val="369"/>
        </w:trPr>
        <w:tc>
          <w:tcPr>
            <w:tcW w:type="dxa" w:w="3456"/>
            <w:shd w:val="clear" w:color="auto" w:fill="FFFFFF"/>
            <w:vAlign w:val="center"/>
          </w:tcPr>
          <w:p>
            <w:pPr>
              <w:jc w:val="left"/>
            </w:pPr>
            <w:r>
              <w:rPr>
                <w:b w:val="0"/>
                <w:i w:val="0"/>
                <w:color w:val="222222"/>
                <w:sz w:val="19"/>
              </w:rPr>
              <w:t>Monthly revenue — 2 cars</w:t>
            </w:r>
          </w:p>
        </w:tc>
        <w:tc>
          <w:tcPr>
            <w:tcW w:type="dxa" w:w="1584"/>
            <w:shd w:val="clear" w:color="auto" w:fill="FFFFFF"/>
            <w:vAlign w:val="center"/>
          </w:tcPr>
          <w:p>
            <w:pPr>
              <w:jc w:val="right"/>
            </w:pPr>
            <w:r>
              <w:rPr>
                <w:b w:val="0"/>
                <w:i w:val="0"/>
                <w:color w:val="222222"/>
                <w:sz w:val="19"/>
              </w:rPr>
              <w:t>$1,690</w:t>
            </w:r>
          </w:p>
        </w:tc>
        <w:tc>
          <w:tcPr>
            <w:tcW w:type="dxa" w:w="1584"/>
            <w:shd w:val="clear" w:color="auto" w:fill="FFFFFF"/>
            <w:vAlign w:val="center"/>
          </w:tcPr>
          <w:p>
            <w:pPr>
              <w:jc w:val="right"/>
            </w:pPr>
            <w:r>
              <w:rPr>
                <w:b w:val="0"/>
                <w:i w:val="0"/>
                <w:color w:val="222222"/>
                <w:sz w:val="19"/>
              </w:rPr>
              <w:t>$2,819</w:t>
            </w:r>
          </w:p>
        </w:tc>
        <w:tc>
          <w:tcPr>
            <w:tcW w:type="dxa" w:w="1584"/>
            <w:shd w:val="clear" w:color="auto" w:fill="FFFFFF"/>
            <w:vAlign w:val="center"/>
          </w:tcPr>
          <w:p>
            <w:pPr>
              <w:jc w:val="right"/>
            </w:pPr>
            <w:r>
              <w:rPr>
                <w:b w:val="0"/>
                <w:i w:val="0"/>
                <w:color w:val="222222"/>
                <w:sz w:val="19"/>
              </w:rPr>
              <w:t>$3,032</w:t>
            </w:r>
          </w:p>
        </w:tc>
        <w:tc>
          <w:tcPr>
            <w:tcW w:type="dxa" w:w="2880"/>
            <w:shd w:val="clear" w:color="auto" w:fill="FFFFFF"/>
            <w:vAlign w:val="center"/>
          </w:tcPr>
          <w:p>
            <w:pPr>
              <w:jc w:val="right"/>
            </w:pPr>
            <w:r>
              <w:rPr>
                <w:b w:val="0"/>
                <w:i w:val="0"/>
                <w:color w:val="222222"/>
                <w:sz w:val="19"/>
              </w:rPr>
              <w:t>Net of HST</w:t>
            </w:r>
          </w:p>
        </w:tc>
      </w:tr>
      <w:tr>
        <w:trPr>
          <w:trHeight w:val="369"/>
        </w:trPr>
        <w:tc>
          <w:tcPr>
            <w:tcW w:type="dxa" w:w="3456"/>
            <w:shd w:val="clear" w:color="auto" w:fill="F2F2F2"/>
            <w:vAlign w:val="center"/>
          </w:tcPr>
          <w:p>
            <w:pPr>
              <w:jc w:val="left"/>
            </w:pPr>
            <w:r>
              <w:rPr>
                <w:b w:val="0"/>
                <w:i w:val="0"/>
                <w:color w:val="222222"/>
                <w:sz w:val="19"/>
              </w:rPr>
              <w:t>Monthly all-in costs — 2 cars</w:t>
            </w:r>
          </w:p>
        </w:tc>
        <w:tc>
          <w:tcPr>
            <w:tcW w:type="dxa" w:w="1584"/>
            <w:shd w:val="clear" w:color="auto" w:fill="F2F2F2"/>
            <w:vAlign w:val="center"/>
          </w:tcPr>
          <w:p>
            <w:pPr>
              <w:jc w:val="right"/>
            </w:pPr>
            <w:r>
              <w:rPr>
                <w:b w:val="0"/>
                <w:i w:val="0"/>
                <w:color w:val="222222"/>
                <w:sz w:val="19"/>
              </w:rPr>
              <w:t>$3,690</w:t>
            </w:r>
          </w:p>
        </w:tc>
        <w:tc>
          <w:tcPr>
            <w:tcW w:type="dxa" w:w="1584"/>
            <w:shd w:val="clear" w:color="auto" w:fill="F2F2F2"/>
            <w:vAlign w:val="center"/>
          </w:tcPr>
          <w:p>
            <w:pPr>
              <w:jc w:val="right"/>
            </w:pPr>
            <w:r>
              <w:rPr>
                <w:b w:val="0"/>
                <w:i w:val="0"/>
                <w:color w:val="222222"/>
                <w:sz w:val="19"/>
              </w:rPr>
              <w:t>$3,721</w:t>
            </w:r>
          </w:p>
        </w:tc>
        <w:tc>
          <w:tcPr>
            <w:tcW w:type="dxa" w:w="1584"/>
            <w:shd w:val="clear" w:color="auto" w:fill="F2F2F2"/>
            <w:vAlign w:val="center"/>
          </w:tcPr>
          <w:p>
            <w:pPr>
              <w:jc w:val="right"/>
            </w:pPr>
            <w:r>
              <w:rPr>
                <w:b w:val="0"/>
                <w:i w:val="0"/>
                <w:color w:val="222222"/>
                <w:sz w:val="19"/>
              </w:rPr>
              <w:t>$3,729</w:t>
            </w:r>
          </w:p>
        </w:tc>
        <w:tc>
          <w:tcPr>
            <w:tcW w:type="dxa" w:w="2880"/>
            <w:shd w:val="clear" w:color="auto" w:fill="F2F2F2"/>
            <w:vAlign w:val="center"/>
          </w:tcPr>
          <w:p>
            <w:pPr>
              <w:jc w:val="right"/>
            </w:pPr>
            <w:r>
              <w:rPr>
                <w:b w:val="0"/>
                <w:i w:val="0"/>
                <w:color w:val="222222"/>
                <w:sz w:val="19"/>
              </w:rPr>
              <w:t>Insurance + maintenance dominates</w:t>
            </w:r>
          </w:p>
        </w:tc>
      </w:tr>
      <w:tr>
        <w:trPr>
          <w:trHeight w:val="369"/>
        </w:trPr>
        <w:tc>
          <w:tcPr>
            <w:tcW w:type="dxa" w:w="3456"/>
            <w:shd w:val="clear" w:color="auto" w:fill="FFFFFF"/>
            <w:vAlign w:val="center"/>
          </w:tcPr>
          <w:p>
            <w:pPr>
              <w:jc w:val="left"/>
            </w:pPr>
            <w:r>
              <w:rPr>
                <w:b w:val="0"/>
                <w:i w:val="0"/>
                <w:color w:val="222222"/>
                <w:sz w:val="19"/>
              </w:rPr>
              <w:t>Monthly cash shortfall (Month 1)</w:t>
            </w:r>
          </w:p>
        </w:tc>
        <w:tc>
          <w:tcPr>
            <w:tcW w:type="dxa" w:w="1584"/>
            <w:shd w:val="clear" w:color="auto" w:fill="FFFFFF"/>
            <w:vAlign w:val="center"/>
          </w:tcPr>
          <w:p>
            <w:pPr>
              <w:jc w:val="right"/>
            </w:pPr>
            <w:r>
              <w:rPr>
                <w:b w:val="0"/>
                <w:i w:val="0"/>
                <w:color w:val="C0392B"/>
                <w:sz w:val="19"/>
              </w:rPr>
              <w:t>-$2,000</w:t>
            </w:r>
          </w:p>
        </w:tc>
        <w:tc>
          <w:tcPr>
            <w:tcW w:type="dxa" w:w="1584"/>
            <w:shd w:val="clear" w:color="auto" w:fill="FFFFFF"/>
            <w:vAlign w:val="center"/>
          </w:tcPr>
          <w:p>
            <w:pPr>
              <w:jc w:val="right"/>
            </w:pPr>
            <w:r>
              <w:rPr>
                <w:b w:val="0"/>
                <w:i w:val="0"/>
                <w:color w:val="C0392B"/>
                <w:sz w:val="19"/>
              </w:rPr>
              <w:t>-$902</w:t>
            </w:r>
          </w:p>
        </w:tc>
        <w:tc>
          <w:tcPr>
            <w:tcW w:type="dxa" w:w="1584"/>
            <w:shd w:val="clear" w:color="auto" w:fill="FFFFFF"/>
            <w:vAlign w:val="center"/>
          </w:tcPr>
          <w:p>
            <w:pPr>
              <w:jc w:val="right"/>
            </w:pPr>
            <w:r>
              <w:rPr>
                <w:b w:val="0"/>
                <w:i w:val="0"/>
                <w:color w:val="C0392B"/>
                <w:sz w:val="19"/>
              </w:rPr>
              <w:t>-$697</w:t>
            </w:r>
          </w:p>
        </w:tc>
        <w:tc>
          <w:tcPr>
            <w:tcW w:type="dxa" w:w="2880"/>
            <w:shd w:val="clear" w:color="auto" w:fill="FFFFFF"/>
            <w:vAlign w:val="center"/>
          </w:tcPr>
          <w:p>
            <w:pPr>
              <w:jc w:val="right"/>
            </w:pPr>
            <w:r>
              <w:rPr>
                <w:b w:val="0"/>
                <w:i w:val="0"/>
                <w:color w:val="222222"/>
                <w:sz w:val="19"/>
              </w:rPr>
              <w:t>Funded from $5K operating reserve</w:t>
            </w:r>
          </w:p>
        </w:tc>
      </w:tr>
      <w:tr>
        <w:trPr>
          <w:trHeight w:val="369"/>
        </w:trPr>
        <w:tc>
          <w:tcPr>
            <w:tcW w:type="dxa" w:w="3456"/>
            <w:shd w:val="clear" w:color="auto" w:fill="F2F2F2"/>
            <w:vAlign w:val="center"/>
          </w:tcPr>
          <w:p>
            <w:pPr>
              <w:jc w:val="left"/>
            </w:pPr>
            <w:r>
              <w:rPr>
                <w:b w:val="0"/>
                <w:i w:val="0"/>
                <w:color w:val="222222"/>
                <w:sz w:val="19"/>
              </w:rPr>
              <w:t>CASH BREAK-EVEN</w:t>
            </w:r>
          </w:p>
        </w:tc>
        <w:tc>
          <w:tcPr>
            <w:tcW w:type="dxa" w:w="1584"/>
            <w:shd w:val="clear" w:color="auto" w:fill="F2F2F2"/>
            <w:vAlign w:val="center"/>
          </w:tcPr>
          <w:p>
            <w:pPr>
              <w:jc w:val="right"/>
            </w:pPr>
            <w:r>
              <w:rPr>
                <w:b w:val="0"/>
                <w:i w:val="0"/>
                <w:color w:val="222222"/>
                <w:sz w:val="19"/>
              </w:rPr>
              <w:t>Month 8</w:t>
            </w:r>
          </w:p>
        </w:tc>
        <w:tc>
          <w:tcPr>
            <w:tcW w:type="dxa" w:w="1584"/>
            <w:shd w:val="clear" w:color="auto" w:fill="F2F2F2"/>
            <w:vAlign w:val="center"/>
          </w:tcPr>
          <w:p>
            <w:pPr>
              <w:jc w:val="right"/>
            </w:pPr>
            <w:r>
              <w:rPr>
                <w:b w:val="0"/>
                <w:i w:val="0"/>
                <w:color w:val="222222"/>
                <w:sz w:val="19"/>
              </w:rPr>
              <w:t>Month 3–4</w:t>
            </w:r>
          </w:p>
        </w:tc>
        <w:tc>
          <w:tcPr>
            <w:tcW w:type="dxa" w:w="1584"/>
            <w:shd w:val="clear" w:color="auto" w:fill="F2F2F2"/>
            <w:vAlign w:val="center"/>
          </w:tcPr>
          <w:p>
            <w:pPr>
              <w:jc w:val="right"/>
            </w:pPr>
            <w:r>
              <w:rPr>
                <w:b w:val="0"/>
                <w:i w:val="0"/>
                <w:color w:val="222222"/>
                <w:sz w:val="19"/>
              </w:rPr>
              <w:t>Month 2</w:t>
            </w:r>
          </w:p>
        </w:tc>
        <w:tc>
          <w:tcPr>
            <w:tcW w:type="dxa" w:w="2880"/>
            <w:shd w:val="clear" w:color="auto" w:fill="F2F2F2"/>
            <w:vAlign w:val="center"/>
          </w:tcPr>
          <w:p>
            <w:pPr>
              <w:jc w:val="right"/>
            </w:pPr>
            <w:r>
              <w:rPr>
                <w:b w:val="0"/>
                <w:i w:val="0"/>
                <w:color w:val="222222"/>
                <w:sz w:val="19"/>
              </w:rPr>
              <w:t>When revenue &gt; all cash costs</w:t>
            </w:r>
          </w:p>
        </w:tc>
      </w:tr>
      <w:tr>
        <w:trPr>
          <w:trHeight w:val="369"/>
        </w:trPr>
        <w:tc>
          <w:tcPr>
            <w:tcW w:type="dxa" w:w="3456"/>
            <w:shd w:val="clear" w:color="auto" w:fill="FFFFFF"/>
            <w:vAlign w:val="center"/>
          </w:tcPr>
          <w:p>
            <w:pPr>
              <w:jc w:val="left"/>
            </w:pPr>
            <w:r>
              <w:rPr>
                <w:b w:val="0"/>
                <w:i w:val="0"/>
                <w:color w:val="222222"/>
                <w:sz w:val="19"/>
              </w:rPr>
              <w:t>ACCOUNTING BREAK-EVEN</w:t>
            </w:r>
          </w:p>
        </w:tc>
        <w:tc>
          <w:tcPr>
            <w:tcW w:type="dxa" w:w="1584"/>
            <w:shd w:val="clear" w:color="auto" w:fill="FFFFFF"/>
            <w:vAlign w:val="center"/>
          </w:tcPr>
          <w:p>
            <w:pPr>
              <w:jc w:val="right"/>
            </w:pPr>
            <w:r>
              <w:rPr>
                <w:b w:val="0"/>
                <w:i w:val="0"/>
                <w:color w:val="222222"/>
                <w:sz w:val="19"/>
              </w:rPr>
              <w:t>Month 14</w:t>
            </w:r>
          </w:p>
        </w:tc>
        <w:tc>
          <w:tcPr>
            <w:tcW w:type="dxa" w:w="1584"/>
            <w:shd w:val="clear" w:color="auto" w:fill="FFFFFF"/>
            <w:vAlign w:val="center"/>
          </w:tcPr>
          <w:p>
            <w:pPr>
              <w:jc w:val="right"/>
            </w:pPr>
            <w:r>
              <w:rPr>
                <w:b w:val="0"/>
                <w:i w:val="0"/>
                <w:color w:val="222222"/>
                <w:sz w:val="19"/>
              </w:rPr>
              <w:t>Month 5–6</w:t>
            </w:r>
          </w:p>
        </w:tc>
        <w:tc>
          <w:tcPr>
            <w:tcW w:type="dxa" w:w="1584"/>
            <w:shd w:val="clear" w:color="auto" w:fill="FFFFFF"/>
            <w:vAlign w:val="center"/>
          </w:tcPr>
          <w:p>
            <w:pPr>
              <w:jc w:val="right"/>
            </w:pPr>
            <w:r>
              <w:rPr>
                <w:b w:val="0"/>
                <w:i w:val="0"/>
                <w:color w:val="222222"/>
                <w:sz w:val="19"/>
              </w:rPr>
              <w:t>Month 4</w:t>
            </w:r>
          </w:p>
        </w:tc>
        <w:tc>
          <w:tcPr>
            <w:tcW w:type="dxa" w:w="2880"/>
            <w:shd w:val="clear" w:color="auto" w:fill="FFFFFF"/>
            <w:vAlign w:val="center"/>
          </w:tcPr>
          <w:p>
            <w:pPr>
              <w:jc w:val="right"/>
            </w:pPr>
            <w:r>
              <w:rPr>
                <w:b w:val="0"/>
                <w:i w:val="0"/>
                <w:color w:val="222222"/>
                <w:sz w:val="19"/>
              </w:rPr>
              <w:t>After depreciation — accounting profit</w:t>
            </w:r>
          </w:p>
        </w:tc>
      </w:tr>
      <w:tr>
        <w:trPr>
          <w:trHeight w:val="369"/>
        </w:trPr>
        <w:tc>
          <w:tcPr>
            <w:tcW w:type="dxa" w:w="3456"/>
            <w:shd w:val="clear" w:color="auto" w:fill="F2F2F2"/>
            <w:vAlign w:val="center"/>
          </w:tcPr>
          <w:p>
            <w:pPr>
              <w:jc w:val="left"/>
            </w:pPr>
            <w:r>
              <w:rPr>
                <w:b w:val="0"/>
                <w:i w:val="0"/>
                <w:color w:val="222222"/>
                <w:sz w:val="19"/>
              </w:rPr>
              <w:t>Per-car payback ($6,500 all-in)</w:t>
            </w:r>
          </w:p>
        </w:tc>
        <w:tc>
          <w:tcPr>
            <w:tcW w:type="dxa" w:w="1584"/>
            <w:shd w:val="clear" w:color="auto" w:fill="F2F2F2"/>
            <w:vAlign w:val="center"/>
          </w:tcPr>
          <w:p>
            <w:pPr>
              <w:jc w:val="right"/>
            </w:pPr>
            <w:r>
              <w:rPr>
                <w:b w:val="0"/>
                <w:i w:val="0"/>
                <w:color w:val="222222"/>
                <w:sz w:val="19"/>
              </w:rPr>
              <w:t>22 mo</w:t>
            </w:r>
          </w:p>
        </w:tc>
        <w:tc>
          <w:tcPr>
            <w:tcW w:type="dxa" w:w="1584"/>
            <w:shd w:val="clear" w:color="auto" w:fill="F2F2F2"/>
            <w:vAlign w:val="center"/>
          </w:tcPr>
          <w:p>
            <w:pPr>
              <w:jc w:val="right"/>
            </w:pPr>
            <w:r>
              <w:rPr>
                <w:b w:val="0"/>
                <w:i w:val="0"/>
                <w:color w:val="222222"/>
                <w:sz w:val="19"/>
              </w:rPr>
              <w:t>13 mo</w:t>
            </w:r>
          </w:p>
        </w:tc>
        <w:tc>
          <w:tcPr>
            <w:tcW w:type="dxa" w:w="1584"/>
            <w:shd w:val="clear" w:color="auto" w:fill="F2F2F2"/>
            <w:vAlign w:val="center"/>
          </w:tcPr>
          <w:p>
            <w:pPr>
              <w:jc w:val="right"/>
            </w:pPr>
            <w:r>
              <w:rPr>
                <w:b w:val="0"/>
                <w:i w:val="0"/>
                <w:color w:val="222222"/>
                <w:sz w:val="19"/>
              </w:rPr>
              <w:t>10 mo</w:t>
            </w:r>
          </w:p>
        </w:tc>
        <w:tc>
          <w:tcPr>
            <w:tcW w:type="dxa" w:w="2880"/>
            <w:shd w:val="clear" w:color="auto" w:fill="F2F2F2"/>
            <w:vAlign w:val="center"/>
          </w:tcPr>
          <w:p>
            <w:pPr>
              <w:jc w:val="right"/>
            </w:pPr>
            <w:r>
              <w:rPr>
                <w:b w:val="0"/>
                <w:i w:val="0"/>
                <w:color w:val="222222"/>
                <w:sz w:val="19"/>
              </w:rPr>
              <w:t>All-in: purchase + pre-rental + install</w:t>
            </w:r>
          </w:p>
        </w:tc>
      </w:tr>
      <w:tr>
        <w:trPr>
          <w:trHeight w:val="369"/>
        </w:trPr>
        <w:tc>
          <w:tcPr>
            <w:tcW w:type="dxa" w:w="3456"/>
            <w:shd w:val="clear" w:color="auto" w:fill="FFFFFF"/>
            <w:vAlign w:val="center"/>
          </w:tcPr>
          <w:p>
            <w:pPr>
              <w:jc w:val="left"/>
            </w:pPr>
            <w:r>
              <w:rPr>
                <w:b w:val="0"/>
                <w:i w:val="0"/>
                <w:color w:val="222222"/>
                <w:sz w:val="19"/>
              </w:rPr>
              <w:t>Full startup capital payback</w:t>
            </w:r>
          </w:p>
        </w:tc>
        <w:tc>
          <w:tcPr>
            <w:tcW w:type="dxa" w:w="1584"/>
            <w:shd w:val="clear" w:color="auto" w:fill="FFFFFF"/>
            <w:vAlign w:val="center"/>
          </w:tcPr>
          <w:p>
            <w:pPr>
              <w:jc w:val="right"/>
            </w:pPr>
            <w:r>
              <w:rPr>
                <w:b w:val="0"/>
                <w:i w:val="0"/>
                <w:color w:val="222222"/>
                <w:sz w:val="19"/>
              </w:rPr>
              <w:t>48+ mo</w:t>
            </w:r>
          </w:p>
        </w:tc>
        <w:tc>
          <w:tcPr>
            <w:tcW w:type="dxa" w:w="1584"/>
            <w:shd w:val="clear" w:color="auto" w:fill="FFFFFF"/>
            <w:vAlign w:val="center"/>
          </w:tcPr>
          <w:p>
            <w:pPr>
              <w:jc w:val="right"/>
            </w:pPr>
            <w:r>
              <w:rPr>
                <w:b w:val="0"/>
                <w:i w:val="0"/>
                <w:color w:val="222222"/>
                <w:sz w:val="19"/>
              </w:rPr>
              <w:t>30 mo</w:t>
            </w:r>
          </w:p>
        </w:tc>
        <w:tc>
          <w:tcPr>
            <w:tcW w:type="dxa" w:w="1584"/>
            <w:shd w:val="clear" w:color="auto" w:fill="FFFFFF"/>
            <w:vAlign w:val="center"/>
          </w:tcPr>
          <w:p>
            <w:pPr>
              <w:jc w:val="right"/>
            </w:pPr>
            <w:r>
              <w:rPr>
                <w:b w:val="0"/>
                <w:i w:val="0"/>
                <w:color w:val="222222"/>
                <w:sz w:val="19"/>
              </w:rPr>
              <w:t>22 mo</w:t>
            </w:r>
          </w:p>
        </w:tc>
        <w:tc>
          <w:tcPr>
            <w:tcW w:type="dxa" w:w="2880"/>
            <w:shd w:val="clear" w:color="auto" w:fill="FFFFFF"/>
            <w:vAlign w:val="center"/>
          </w:tcPr>
          <w:p>
            <w:pPr>
              <w:jc w:val="right"/>
            </w:pPr>
            <w:r>
              <w:rPr>
                <w:b w:val="0"/>
                <w:i w:val="0"/>
                <w:color w:val="222222"/>
                <w:sz w:val="19"/>
              </w:rPr>
              <w:t>$30,085 / monthly net contribution</w:t>
            </w:r>
          </w:p>
        </w:tc>
      </w:tr>
    </w:tbl>
    <w:p>
      <w:pPr>
        <w:spacing w:after="80"/>
      </w:pPr>
    </w:p>
    <w:p>
      <w:pPr>
        <w:spacing w:before="200" w:after="120"/>
        <w:jc w:val="left"/>
      </w:pPr>
      <w:r>
        <w:rPr>
          <w:b/>
          <w:color w:val="0D2B55"/>
          <w:sz w:val="28"/>
        </w:rPr>
        <w:t>What Drives the Break-Even Date</w:t>
      </w:r>
    </w:p>
    <w:p>
      <w:pPr>
        <w:spacing w:after="80" w:before="40"/>
        <w:ind w:left="432"/>
      </w:pPr>
      <w:r>
        <w:rPr>
          <w:b/>
          <w:color w:val="222222"/>
          <w:sz w:val="20"/>
        </w:rPr>
        <w:t xml:space="preserve">  Insurance cost:</w:t>
      </w:r>
    </w:p>
    <w:p>
      <w:pPr>
        <w:spacing w:after="80" w:before="40"/>
        <w:ind w:left="432"/>
      </w:pPr>
      <w:r>
        <w:rPr>
          <w:b w:val="0"/>
          <w:color w:val="222222"/>
          <w:sz w:val="20"/>
        </w:rPr>
        <w:t xml:space="preserve">  The single largest fixed cost at $1,500/month (2 cars). Every $500/year saved on insurance moves break-even forward by ~3 weeks. Get 3 quotes minimum.</w:t>
      </w:r>
    </w:p>
    <w:p>
      <w:pPr>
        <w:spacing w:after="80" w:before="40"/>
        <w:ind w:left="432"/>
      </w:pPr>
      <w:r>
        <w:rPr>
          <w:b/>
          <w:color w:val="222222"/>
          <w:sz w:val="20"/>
        </w:rPr>
        <w:t xml:space="preserve">  Maintenance reserve:</w:t>
      </w:r>
    </w:p>
    <w:p>
      <w:pPr>
        <w:spacing w:after="80" w:before="40"/>
        <w:ind w:left="432"/>
      </w:pPr>
      <w:r>
        <w:rPr>
          <w:b w:val="0"/>
          <w:color w:val="222222"/>
          <w:sz w:val="20"/>
        </w:rPr>
        <w:t xml:space="preserve">  Set at $900/car/month — higher than the business plan's $600–$800 range. Gig vehicles accumulate 3,000–5,000km/month. One timing belt failure resets months of progress.</w:t>
      </w:r>
    </w:p>
    <w:p>
      <w:pPr>
        <w:spacing w:after="80" w:before="40"/>
        <w:ind w:left="432"/>
      </w:pPr>
      <w:r>
        <w:rPr>
          <w:b/>
          <w:color w:val="222222"/>
          <w:sz w:val="20"/>
        </w:rPr>
        <w:t xml:space="preserve">  Utilisation rate:</w:t>
      </w:r>
    </w:p>
    <w:p>
      <w:pPr>
        <w:spacing w:after="80" w:before="40"/>
        <w:ind w:left="432"/>
      </w:pPr>
      <w:r>
        <w:rPr>
          <w:b w:val="0"/>
          <w:color w:val="222222"/>
          <w:sz w:val="20"/>
        </w:rPr>
        <w:t xml:space="preserve">  The difference between 65% and 85% utilisation is $1,129/month in revenue. This is the most controllable variable. Strong Facebook group presence in Month 1 is essential.</w:t>
      </w:r>
    </w:p>
    <w:p>
      <w:pPr>
        <w:spacing w:after="80" w:before="40"/>
        <w:ind w:left="432"/>
      </w:pPr>
      <w:r>
        <w:rPr>
          <w:b/>
          <w:color w:val="222222"/>
          <w:sz w:val="20"/>
        </w:rPr>
        <w:t xml:space="preserve">  Fleet growth:</w:t>
      </w:r>
    </w:p>
    <w:p>
      <w:pPr>
        <w:spacing w:after="80" w:before="40"/>
        <w:ind w:left="432"/>
      </w:pPr>
      <w:r>
        <w:rPr>
          <w:b w:val="0"/>
          <w:color w:val="222222"/>
          <w:sz w:val="20"/>
        </w:rPr>
        <w:t xml:space="preserve">  Adding Car #3 in Month 10 (base case) shifts the economics materially. The tech stack cost is nearly fixed, so every additional car is higher-margin than the last.</w:t>
      </w:r>
    </w:p>
    <w:p>
      <w:pPr>
        <w:spacing w:after="80" w:before="40"/>
        <w:ind w:left="432"/>
      </w:pPr>
      <w:r>
        <w:rPr>
          <w:b/>
          <w:color w:val="222222"/>
          <w:sz w:val="20"/>
        </w:rPr>
        <w:t xml:space="preserve">  Stripe fees:</w:t>
      </w:r>
    </w:p>
    <w:p>
      <w:pPr>
        <w:spacing w:after="80" w:before="40"/>
        <w:ind w:left="432"/>
      </w:pPr>
      <w:r>
        <w:rPr>
          <w:b w:val="0"/>
          <w:color w:val="222222"/>
          <w:sz w:val="20"/>
        </w:rPr>
        <w:t xml:space="preserve">  At 2.9% + $0.30/charge, Stripe costs approximately $82/month on base-case revenue. This is acceptable — the automated collection eliminates manual payment chasing worth far more.</w:t>
      </w:r>
    </w:p>
    <w:p>
      <w:r>
        <w:br w:type="page"/>
      </w:r>
    </w:p>
    <w:p>
      <w:pPr>
        <w:spacing w:before="280" w:after="120"/>
        <w:jc w:val="left"/>
      </w:pPr>
      <w:r>
        <w:rPr>
          <w:b/>
          <w:color w:val="0D2B55"/>
          <w:sz w:val="36"/>
        </w:rPr>
        <w:t>5.  Scale Economics — When Does This Become a Real Business?</w:t>
      </w:r>
    </w:p>
    <w:p>
      <w:pPr>
        <w:pBdr>
          <w:bottom w:val="single" w:sz="6" w:space="1" w:color="007A87"/>
        </w:pBdr>
        <w:spacing w:after="120" w:before="120"/>
      </w:pPr>
    </w:p>
    <w:p>
      <w:pPr>
        <w:spacing w:after="80" w:before="40"/>
      </w:pPr>
      <w:r>
        <w:rPr>
          <w:b w:val="0"/>
          <w:color w:val="222222"/>
          <w:sz w:val="21"/>
        </w:rPr>
        <w:t>The unit economics improve meaningfully as the fleet grows. Insurance rates per vehicle decline with fleet size, tech costs are near-fixed, and utilisation rates improve as the brand's reputation builds. The 5-car milestone is the critical inflection point.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rHeight w:val="397"/>
        </w:trPr>
        <w:tc>
          <w:tcPr>
            <w:tcW w:type="dxa" w:w="3600"/>
            <w:shd w:val="clear" w:color="auto" w:fill="0D2B55"/>
            <w:vAlign w:val="center"/>
          </w:tcPr>
          <w:p>
            <w:pPr>
              <w:jc w:val="center"/>
            </w:pPr>
            <w:r>
              <w:rPr>
                <w:b/>
                <w:i w:val="0"/>
                <w:color w:val="FFFFFF"/>
                <w:sz w:val="19"/>
              </w:rPr>
              <w:t>Metric</w:t>
            </w:r>
          </w:p>
        </w:tc>
        <w:tc>
          <w:tcPr>
            <w:tcW w:type="dxa" w:w="1728"/>
            <w:shd w:val="clear" w:color="auto" w:fill="0D2B55"/>
            <w:vAlign w:val="center"/>
          </w:tcPr>
          <w:p>
            <w:pPr>
              <w:jc w:val="center"/>
            </w:pPr>
            <w:r>
              <w:rPr>
                <w:b/>
                <w:i w:val="0"/>
                <w:color w:val="FFFFFF"/>
                <w:sz w:val="19"/>
              </w:rPr>
              <w:t>2 Cars</w:t>
              <w:br/>
              <w:t>(Launch)</w:t>
            </w:r>
          </w:p>
        </w:tc>
        <w:tc>
          <w:tcPr>
            <w:tcW w:type="dxa" w:w="1728"/>
            <w:shd w:val="clear" w:color="auto" w:fill="0D2B55"/>
            <w:vAlign w:val="center"/>
          </w:tcPr>
          <w:p>
            <w:pPr>
              <w:jc w:val="center"/>
            </w:pPr>
            <w:r>
              <w:rPr>
                <w:b/>
                <w:i w:val="0"/>
                <w:color w:val="FFFFFF"/>
                <w:sz w:val="19"/>
              </w:rPr>
              <w:t>3 Cars</w:t>
              <w:br/>
              <w:t>(Mo. 10)</w:t>
            </w:r>
          </w:p>
        </w:tc>
        <w:tc>
          <w:tcPr>
            <w:tcW w:type="dxa" w:w="1728"/>
            <w:shd w:val="clear" w:color="auto" w:fill="0D2B55"/>
            <w:vAlign w:val="center"/>
          </w:tcPr>
          <w:p>
            <w:pPr>
              <w:jc w:val="center"/>
            </w:pPr>
            <w:r>
              <w:rPr>
                <w:b/>
                <w:i w:val="0"/>
                <w:color w:val="FFFFFF"/>
                <w:sz w:val="19"/>
              </w:rPr>
              <w:t>5 Cars</w:t>
              <w:br/>
              <w:t>(Year 2)</w:t>
            </w:r>
          </w:p>
        </w:tc>
        <w:tc>
          <w:tcPr>
            <w:tcW w:type="dxa" w:w="1728"/>
            <w:shd w:val="clear" w:color="auto" w:fill="0D2B55"/>
            <w:vAlign w:val="center"/>
          </w:tcPr>
          <w:p>
            <w:pPr>
              <w:jc w:val="center"/>
            </w:pPr>
            <w:r>
              <w:rPr>
                <w:b/>
                <w:i w:val="0"/>
                <w:color w:val="FFFFFF"/>
                <w:sz w:val="19"/>
              </w:rPr>
              <w:t>10 Cars</w:t>
              <w:br/>
              <w:t>(Year 3)</w:t>
            </w:r>
          </w:p>
        </w:tc>
      </w:tr>
      <w:tr>
        <w:trPr>
          <w:trHeight w:val="369"/>
        </w:trPr>
        <w:tc>
          <w:tcPr>
            <w:tcW w:type="dxa" w:w="3600"/>
            <w:shd w:val="clear" w:color="auto" w:fill="FFFFFF"/>
            <w:vAlign w:val="center"/>
          </w:tcPr>
          <w:p>
            <w:pPr>
              <w:jc w:val="left"/>
            </w:pPr>
            <w:r>
              <w:rPr>
                <w:b w:val="0"/>
                <w:i w:val="0"/>
                <w:color w:val="222222"/>
                <w:sz w:val="19"/>
              </w:rPr>
              <w:t>Monthly gross revenue</w:t>
            </w:r>
          </w:p>
        </w:tc>
        <w:tc>
          <w:tcPr>
            <w:tcW w:type="dxa" w:w="1728"/>
            <w:shd w:val="clear" w:color="auto" w:fill="FFFFFF"/>
            <w:vAlign w:val="center"/>
          </w:tcPr>
          <w:p>
            <w:pPr>
              <w:jc w:val="right"/>
            </w:pPr>
            <w:r>
              <w:rPr>
                <w:b w:val="0"/>
                <w:i w:val="0"/>
                <w:color w:val="222222"/>
                <w:sz w:val="19"/>
              </w:rPr>
              <w:t>$2,819</w:t>
            </w:r>
          </w:p>
        </w:tc>
        <w:tc>
          <w:tcPr>
            <w:tcW w:type="dxa" w:w="1728"/>
            <w:shd w:val="clear" w:color="auto" w:fill="FFFFFF"/>
            <w:vAlign w:val="center"/>
          </w:tcPr>
          <w:p>
            <w:pPr>
              <w:jc w:val="right"/>
            </w:pPr>
            <w:r>
              <w:rPr>
                <w:b w:val="0"/>
                <w:i w:val="0"/>
                <w:color w:val="222222"/>
                <w:sz w:val="19"/>
              </w:rPr>
              <w:t>$4,148</w:t>
            </w:r>
          </w:p>
        </w:tc>
        <w:tc>
          <w:tcPr>
            <w:tcW w:type="dxa" w:w="1728"/>
            <w:shd w:val="clear" w:color="auto" w:fill="FFFFFF"/>
            <w:vAlign w:val="center"/>
          </w:tcPr>
          <w:p>
            <w:pPr>
              <w:jc w:val="right"/>
            </w:pPr>
            <w:r>
              <w:rPr>
                <w:b w:val="0"/>
                <w:i w:val="0"/>
                <w:color w:val="222222"/>
                <w:sz w:val="19"/>
              </w:rPr>
              <w:t>$6,647</w:t>
            </w:r>
          </w:p>
        </w:tc>
        <w:tc>
          <w:tcPr>
            <w:tcW w:type="dxa" w:w="1728"/>
            <w:shd w:val="clear" w:color="auto" w:fill="FFFFFF"/>
            <w:vAlign w:val="center"/>
          </w:tcPr>
          <w:p>
            <w:pPr>
              <w:jc w:val="right"/>
            </w:pPr>
            <w:r>
              <w:rPr>
                <w:b w:val="0"/>
                <w:i w:val="0"/>
                <w:color w:val="222222"/>
                <w:sz w:val="19"/>
              </w:rPr>
              <w:t>$14,105</w:t>
            </w:r>
          </w:p>
        </w:tc>
      </w:tr>
      <w:tr>
        <w:trPr>
          <w:trHeight w:val="369"/>
        </w:trPr>
        <w:tc>
          <w:tcPr>
            <w:tcW w:type="dxa" w:w="3600"/>
            <w:shd w:val="clear" w:color="auto" w:fill="F2F2F2"/>
            <w:vAlign w:val="center"/>
          </w:tcPr>
          <w:p>
            <w:pPr>
              <w:jc w:val="left"/>
            </w:pPr>
            <w:r>
              <w:rPr>
                <w:b w:val="0"/>
                <w:i w:val="0"/>
                <w:color w:val="222222"/>
                <w:sz w:val="19"/>
              </w:rPr>
              <w:t>Insurance (fleet discount)</w:t>
            </w:r>
          </w:p>
        </w:tc>
        <w:tc>
          <w:tcPr>
            <w:tcW w:type="dxa" w:w="1728"/>
            <w:shd w:val="clear" w:color="auto" w:fill="F2F2F2"/>
            <w:vAlign w:val="center"/>
          </w:tcPr>
          <w:p>
            <w:pPr>
              <w:jc w:val="right"/>
            </w:pPr>
            <w:r>
              <w:rPr>
                <w:b w:val="0"/>
                <w:i w:val="0"/>
                <w:color w:val="222222"/>
                <w:sz w:val="19"/>
              </w:rPr>
              <w:t>$1,500</w:t>
            </w:r>
          </w:p>
        </w:tc>
        <w:tc>
          <w:tcPr>
            <w:tcW w:type="dxa" w:w="1728"/>
            <w:shd w:val="clear" w:color="auto" w:fill="F2F2F2"/>
            <w:vAlign w:val="center"/>
          </w:tcPr>
          <w:p>
            <w:pPr>
              <w:jc w:val="right"/>
            </w:pPr>
            <w:r>
              <w:rPr>
                <w:b w:val="0"/>
                <w:i w:val="0"/>
                <w:color w:val="222222"/>
                <w:sz w:val="19"/>
              </w:rPr>
              <w:t>$2,025</w:t>
            </w:r>
          </w:p>
        </w:tc>
        <w:tc>
          <w:tcPr>
            <w:tcW w:type="dxa" w:w="1728"/>
            <w:shd w:val="clear" w:color="auto" w:fill="F2F2F2"/>
            <w:vAlign w:val="center"/>
          </w:tcPr>
          <w:p>
            <w:pPr>
              <w:jc w:val="right"/>
            </w:pPr>
            <w:r>
              <w:rPr>
                <w:b w:val="0"/>
                <w:i w:val="0"/>
                <w:color w:val="222222"/>
                <w:sz w:val="19"/>
              </w:rPr>
              <w:t>$3,000</w:t>
            </w:r>
          </w:p>
        </w:tc>
        <w:tc>
          <w:tcPr>
            <w:tcW w:type="dxa" w:w="1728"/>
            <w:shd w:val="clear" w:color="auto" w:fill="F2F2F2"/>
            <w:vAlign w:val="center"/>
          </w:tcPr>
          <w:p>
            <w:pPr>
              <w:jc w:val="right"/>
            </w:pPr>
            <w:r>
              <w:rPr>
                <w:b w:val="0"/>
                <w:i w:val="0"/>
                <w:color w:val="222222"/>
                <w:sz w:val="19"/>
              </w:rPr>
              <w:t>$5,250</w:t>
            </w:r>
          </w:p>
        </w:tc>
      </w:tr>
      <w:tr>
        <w:trPr>
          <w:trHeight w:val="369"/>
        </w:trPr>
        <w:tc>
          <w:tcPr>
            <w:tcW w:type="dxa" w:w="3600"/>
            <w:shd w:val="clear" w:color="auto" w:fill="FFFFFF"/>
            <w:vAlign w:val="center"/>
          </w:tcPr>
          <w:p>
            <w:pPr>
              <w:jc w:val="left"/>
            </w:pPr>
            <w:r>
              <w:rPr>
                <w:b w:val="0"/>
                <w:i w:val="0"/>
                <w:color w:val="222222"/>
                <w:sz w:val="19"/>
              </w:rPr>
              <w:t>Maintenance reserve</w:t>
            </w:r>
          </w:p>
        </w:tc>
        <w:tc>
          <w:tcPr>
            <w:tcW w:type="dxa" w:w="1728"/>
            <w:shd w:val="clear" w:color="auto" w:fill="FFFFFF"/>
            <w:vAlign w:val="center"/>
          </w:tcPr>
          <w:p>
            <w:pPr>
              <w:jc w:val="right"/>
            </w:pPr>
            <w:r>
              <w:rPr>
                <w:b w:val="0"/>
                <w:i w:val="0"/>
                <w:color w:val="222222"/>
                <w:sz w:val="19"/>
              </w:rPr>
              <w:t>$1,800</w:t>
            </w:r>
          </w:p>
        </w:tc>
        <w:tc>
          <w:tcPr>
            <w:tcW w:type="dxa" w:w="1728"/>
            <w:shd w:val="clear" w:color="auto" w:fill="FFFFFF"/>
            <w:vAlign w:val="center"/>
          </w:tcPr>
          <w:p>
            <w:pPr>
              <w:jc w:val="right"/>
            </w:pPr>
            <w:r>
              <w:rPr>
                <w:b w:val="0"/>
                <w:i w:val="0"/>
                <w:color w:val="222222"/>
                <w:sz w:val="19"/>
              </w:rPr>
              <w:t>$2,700</w:t>
            </w:r>
          </w:p>
        </w:tc>
        <w:tc>
          <w:tcPr>
            <w:tcW w:type="dxa" w:w="1728"/>
            <w:shd w:val="clear" w:color="auto" w:fill="FFFFFF"/>
            <w:vAlign w:val="center"/>
          </w:tcPr>
          <w:p>
            <w:pPr>
              <w:jc w:val="right"/>
            </w:pPr>
            <w:r>
              <w:rPr>
                <w:b w:val="0"/>
                <w:i w:val="0"/>
                <w:color w:val="222222"/>
                <w:sz w:val="19"/>
              </w:rPr>
              <w:t>$4,500</w:t>
            </w:r>
          </w:p>
        </w:tc>
        <w:tc>
          <w:tcPr>
            <w:tcW w:type="dxa" w:w="1728"/>
            <w:shd w:val="clear" w:color="auto" w:fill="FFFFFF"/>
            <w:vAlign w:val="center"/>
          </w:tcPr>
          <w:p>
            <w:pPr>
              <w:jc w:val="right"/>
            </w:pPr>
            <w:r>
              <w:rPr>
                <w:b w:val="0"/>
                <w:i w:val="0"/>
                <w:color w:val="222222"/>
                <w:sz w:val="19"/>
              </w:rPr>
              <w:t>$9,000</w:t>
            </w:r>
          </w:p>
        </w:tc>
      </w:tr>
      <w:tr>
        <w:trPr>
          <w:trHeight w:val="369"/>
        </w:trPr>
        <w:tc>
          <w:tcPr>
            <w:tcW w:type="dxa" w:w="3600"/>
            <w:shd w:val="clear" w:color="auto" w:fill="F2F2F2"/>
            <w:vAlign w:val="center"/>
          </w:tcPr>
          <w:p>
            <w:pPr>
              <w:jc w:val="left"/>
            </w:pPr>
            <w:r>
              <w:rPr>
                <w:b w:val="0"/>
                <w:i w:val="0"/>
                <w:color w:val="222222"/>
                <w:sz w:val="19"/>
              </w:rPr>
              <w:t>Technology stack</w:t>
            </w:r>
          </w:p>
        </w:tc>
        <w:tc>
          <w:tcPr>
            <w:tcW w:type="dxa" w:w="1728"/>
            <w:shd w:val="clear" w:color="auto" w:fill="F2F2F2"/>
            <w:vAlign w:val="center"/>
          </w:tcPr>
          <w:p>
            <w:pPr>
              <w:jc w:val="right"/>
            </w:pPr>
            <w:r>
              <w:rPr>
                <w:b w:val="0"/>
                <w:i w:val="0"/>
                <w:color w:val="222222"/>
                <w:sz w:val="19"/>
              </w:rPr>
              <w:t>$107</w:t>
            </w:r>
          </w:p>
        </w:tc>
        <w:tc>
          <w:tcPr>
            <w:tcW w:type="dxa" w:w="1728"/>
            <w:shd w:val="clear" w:color="auto" w:fill="F2F2F2"/>
            <w:vAlign w:val="center"/>
          </w:tcPr>
          <w:p>
            <w:pPr>
              <w:jc w:val="right"/>
            </w:pPr>
            <w:r>
              <w:rPr>
                <w:b w:val="0"/>
                <w:i w:val="0"/>
                <w:color w:val="222222"/>
                <w:sz w:val="19"/>
              </w:rPr>
              <w:t>$107</w:t>
            </w:r>
          </w:p>
        </w:tc>
        <w:tc>
          <w:tcPr>
            <w:tcW w:type="dxa" w:w="1728"/>
            <w:shd w:val="clear" w:color="auto" w:fill="F2F2F2"/>
            <w:vAlign w:val="center"/>
          </w:tcPr>
          <w:p>
            <w:pPr>
              <w:jc w:val="right"/>
            </w:pPr>
            <w:r>
              <w:rPr>
                <w:b w:val="0"/>
                <w:i w:val="0"/>
                <w:color w:val="222222"/>
                <w:sz w:val="19"/>
              </w:rPr>
              <w:t>$127</w:t>
            </w:r>
          </w:p>
        </w:tc>
        <w:tc>
          <w:tcPr>
            <w:tcW w:type="dxa" w:w="1728"/>
            <w:shd w:val="clear" w:color="auto" w:fill="F2F2F2"/>
            <w:vAlign w:val="center"/>
          </w:tcPr>
          <w:p>
            <w:pPr>
              <w:jc w:val="right"/>
            </w:pPr>
            <w:r>
              <w:rPr>
                <w:b w:val="0"/>
                <w:i w:val="0"/>
                <w:color w:val="222222"/>
                <w:sz w:val="19"/>
              </w:rPr>
              <w:t>$377</w:t>
            </w:r>
          </w:p>
        </w:tc>
      </w:tr>
      <w:tr>
        <w:trPr>
          <w:trHeight w:val="369"/>
        </w:trPr>
        <w:tc>
          <w:tcPr>
            <w:tcW w:type="dxa" w:w="3600"/>
            <w:shd w:val="clear" w:color="auto" w:fill="FFFFFF"/>
            <w:vAlign w:val="center"/>
          </w:tcPr>
          <w:p>
            <w:pPr>
              <w:jc w:val="left"/>
            </w:pPr>
            <w:r>
              <w:rPr>
                <w:b w:val="0"/>
                <w:i w:val="0"/>
                <w:color w:val="222222"/>
                <w:sz w:val="19"/>
              </w:rPr>
              <w:t>All other operating costs</w:t>
            </w:r>
          </w:p>
        </w:tc>
        <w:tc>
          <w:tcPr>
            <w:tcW w:type="dxa" w:w="1728"/>
            <w:shd w:val="clear" w:color="auto" w:fill="FFFFFF"/>
            <w:vAlign w:val="center"/>
          </w:tcPr>
          <w:p>
            <w:pPr>
              <w:jc w:val="right"/>
            </w:pPr>
            <w:r>
              <w:rPr>
                <w:b w:val="0"/>
                <w:i w:val="0"/>
                <w:color w:val="222222"/>
                <w:sz w:val="19"/>
              </w:rPr>
              <w:t>$314</w:t>
            </w:r>
          </w:p>
        </w:tc>
        <w:tc>
          <w:tcPr>
            <w:tcW w:type="dxa" w:w="1728"/>
            <w:shd w:val="clear" w:color="auto" w:fill="FFFFFF"/>
            <w:vAlign w:val="center"/>
          </w:tcPr>
          <w:p>
            <w:pPr>
              <w:jc w:val="right"/>
            </w:pPr>
            <w:r>
              <w:rPr>
                <w:b w:val="0"/>
                <w:i w:val="0"/>
                <w:color w:val="222222"/>
                <w:sz w:val="19"/>
              </w:rPr>
              <w:t>$418</w:t>
            </w:r>
          </w:p>
        </w:tc>
        <w:tc>
          <w:tcPr>
            <w:tcW w:type="dxa" w:w="1728"/>
            <w:shd w:val="clear" w:color="auto" w:fill="FFFFFF"/>
            <w:vAlign w:val="center"/>
          </w:tcPr>
          <w:p>
            <w:pPr>
              <w:jc w:val="right"/>
            </w:pPr>
            <w:r>
              <w:rPr>
                <w:b w:val="0"/>
                <w:i w:val="0"/>
                <w:color w:val="222222"/>
                <w:sz w:val="19"/>
              </w:rPr>
              <w:t>$623</w:t>
            </w:r>
          </w:p>
        </w:tc>
        <w:tc>
          <w:tcPr>
            <w:tcW w:type="dxa" w:w="1728"/>
            <w:shd w:val="clear" w:color="auto" w:fill="FFFFFF"/>
            <w:vAlign w:val="center"/>
          </w:tcPr>
          <w:p>
            <w:pPr>
              <w:jc w:val="right"/>
            </w:pPr>
            <w:r>
              <w:rPr>
                <w:b w:val="0"/>
                <w:i w:val="0"/>
                <w:color w:val="222222"/>
                <w:sz w:val="19"/>
              </w:rPr>
              <w:t>$1,069</w:t>
            </w:r>
          </w:p>
        </w:tc>
      </w:tr>
      <w:tr>
        <w:trPr>
          <w:trHeight w:val="369"/>
        </w:trPr>
        <w:tc>
          <w:tcPr>
            <w:tcW w:type="dxa" w:w="3600"/>
            <w:shd w:val="clear" w:color="auto" w:fill="F2F2F2"/>
            <w:vAlign w:val="center"/>
          </w:tcPr>
          <w:p>
            <w:pPr>
              <w:jc w:val="left"/>
            </w:pPr>
            <w:r>
              <w:rPr>
                <w:b/>
                <w:i w:val="0"/>
                <w:color w:val="E67E22"/>
                <w:sz w:val="19"/>
              </w:rPr>
              <w:t>TOTAL MONTHLY COSTS</w:t>
            </w:r>
          </w:p>
        </w:tc>
        <w:tc>
          <w:tcPr>
            <w:tcW w:type="dxa" w:w="1728"/>
            <w:shd w:val="clear" w:color="auto" w:fill="F2F2F2"/>
            <w:vAlign w:val="center"/>
          </w:tcPr>
          <w:p>
            <w:pPr>
              <w:jc w:val="right"/>
            </w:pPr>
            <w:r>
              <w:rPr>
                <w:b w:val="0"/>
                <w:i w:val="0"/>
                <w:color w:val="222222"/>
                <w:sz w:val="19"/>
              </w:rPr>
              <w:t>$3,721</w:t>
            </w:r>
          </w:p>
        </w:tc>
        <w:tc>
          <w:tcPr>
            <w:tcW w:type="dxa" w:w="1728"/>
            <w:shd w:val="clear" w:color="auto" w:fill="F2F2F2"/>
            <w:vAlign w:val="center"/>
          </w:tcPr>
          <w:p>
            <w:pPr>
              <w:jc w:val="right"/>
            </w:pPr>
            <w:r>
              <w:rPr>
                <w:b w:val="0"/>
                <w:i w:val="0"/>
                <w:color w:val="222222"/>
                <w:sz w:val="19"/>
              </w:rPr>
              <w:t>$5,250</w:t>
            </w:r>
          </w:p>
        </w:tc>
        <w:tc>
          <w:tcPr>
            <w:tcW w:type="dxa" w:w="1728"/>
            <w:shd w:val="clear" w:color="auto" w:fill="F2F2F2"/>
            <w:vAlign w:val="center"/>
          </w:tcPr>
          <w:p>
            <w:pPr>
              <w:jc w:val="right"/>
            </w:pPr>
            <w:r>
              <w:rPr>
                <w:b w:val="0"/>
                <w:i w:val="0"/>
                <w:color w:val="222222"/>
                <w:sz w:val="19"/>
              </w:rPr>
              <w:t>$8,250</w:t>
            </w:r>
          </w:p>
        </w:tc>
        <w:tc>
          <w:tcPr>
            <w:tcW w:type="dxa" w:w="1728"/>
            <w:shd w:val="clear" w:color="auto" w:fill="F2F2F2"/>
            <w:vAlign w:val="center"/>
          </w:tcPr>
          <w:p>
            <w:pPr>
              <w:jc w:val="right"/>
            </w:pPr>
            <w:r>
              <w:rPr>
                <w:b w:val="0"/>
                <w:i w:val="0"/>
                <w:color w:val="222222"/>
                <w:sz w:val="19"/>
              </w:rPr>
              <w:t>$15,696</w:t>
            </w:r>
          </w:p>
        </w:tc>
      </w:tr>
      <w:tr>
        <w:trPr>
          <w:trHeight w:val="369"/>
        </w:trPr>
        <w:tc>
          <w:tcPr>
            <w:tcW w:type="dxa" w:w="3600"/>
            <w:shd w:val="clear" w:color="auto" w:fill="FFFFFF"/>
            <w:vAlign w:val="center"/>
          </w:tcPr>
          <w:p>
            <w:pPr>
              <w:jc w:val="left"/>
            </w:pPr>
            <w:r>
              <w:rPr>
                <w:b/>
                <w:i w:val="0"/>
                <w:color w:val="E67E22"/>
                <w:sz w:val="19"/>
              </w:rPr>
              <w:t>NET OPERATING INCOME</w:t>
            </w:r>
          </w:p>
        </w:tc>
        <w:tc>
          <w:tcPr>
            <w:tcW w:type="dxa" w:w="1728"/>
            <w:shd w:val="clear" w:color="auto" w:fill="FFFFFF"/>
            <w:vAlign w:val="center"/>
          </w:tcPr>
          <w:p>
            <w:pPr>
              <w:jc w:val="right"/>
            </w:pPr>
            <w:r>
              <w:rPr>
                <w:b w:val="0"/>
                <w:i w:val="0"/>
                <w:color w:val="C0392B"/>
                <w:sz w:val="19"/>
              </w:rPr>
              <w:t>-$902</w:t>
            </w:r>
          </w:p>
        </w:tc>
        <w:tc>
          <w:tcPr>
            <w:tcW w:type="dxa" w:w="1728"/>
            <w:shd w:val="clear" w:color="auto" w:fill="FFFFFF"/>
            <w:vAlign w:val="center"/>
          </w:tcPr>
          <w:p>
            <w:pPr>
              <w:jc w:val="right"/>
            </w:pPr>
            <w:r>
              <w:rPr>
                <w:b w:val="0"/>
                <w:i w:val="0"/>
                <w:color w:val="1E8449"/>
                <w:sz w:val="19"/>
              </w:rPr>
              <w:t>+$898</w:t>
            </w:r>
          </w:p>
        </w:tc>
        <w:tc>
          <w:tcPr>
            <w:tcW w:type="dxa" w:w="1728"/>
            <w:shd w:val="clear" w:color="auto" w:fill="FFFFFF"/>
            <w:vAlign w:val="center"/>
          </w:tcPr>
          <w:p>
            <w:pPr>
              <w:jc w:val="right"/>
            </w:pPr>
            <w:r>
              <w:rPr>
                <w:b w:val="0"/>
                <w:i w:val="0"/>
                <w:color w:val="1E8449"/>
                <w:sz w:val="19"/>
              </w:rPr>
              <w:t>+$2,397</w:t>
            </w:r>
          </w:p>
        </w:tc>
        <w:tc>
          <w:tcPr>
            <w:tcW w:type="dxa" w:w="1728"/>
            <w:shd w:val="clear" w:color="auto" w:fill="FFFFFF"/>
            <w:vAlign w:val="center"/>
          </w:tcPr>
          <w:p>
            <w:pPr>
              <w:jc w:val="right"/>
            </w:pPr>
            <w:r>
              <w:rPr>
                <w:b w:val="0"/>
                <w:i w:val="0"/>
                <w:color w:val="1E8449"/>
                <w:sz w:val="19"/>
              </w:rPr>
              <w:t>+$6,409</w:t>
            </w:r>
          </w:p>
        </w:tc>
      </w:tr>
      <w:tr>
        <w:trPr>
          <w:trHeight w:val="369"/>
        </w:trPr>
        <w:tc>
          <w:tcPr>
            <w:tcW w:type="dxa" w:w="3600"/>
            <w:shd w:val="clear" w:color="auto" w:fill="F2F2F2"/>
            <w:vAlign w:val="center"/>
          </w:tcPr>
          <w:p>
            <w:pPr>
              <w:jc w:val="left"/>
            </w:pPr>
            <w:r>
              <w:rPr>
                <w:b w:val="0"/>
                <w:i w:val="0"/>
                <w:color w:val="222222"/>
                <w:sz w:val="19"/>
              </w:rPr>
              <w:t>Depreciation (non-cash)</w:t>
            </w:r>
          </w:p>
        </w:tc>
        <w:tc>
          <w:tcPr>
            <w:tcW w:type="dxa" w:w="1728"/>
            <w:shd w:val="clear" w:color="auto" w:fill="F2F2F2"/>
            <w:vAlign w:val="center"/>
          </w:tcPr>
          <w:p>
            <w:pPr>
              <w:jc w:val="right"/>
            </w:pPr>
            <w:r>
              <w:rPr>
                <w:b w:val="0"/>
                <w:i w:val="0"/>
                <w:color w:val="C0392B"/>
                <w:sz w:val="19"/>
              </w:rPr>
              <w:t>-$556</w:t>
            </w:r>
          </w:p>
        </w:tc>
        <w:tc>
          <w:tcPr>
            <w:tcW w:type="dxa" w:w="1728"/>
            <w:shd w:val="clear" w:color="auto" w:fill="F2F2F2"/>
            <w:vAlign w:val="center"/>
          </w:tcPr>
          <w:p>
            <w:pPr>
              <w:jc w:val="right"/>
            </w:pPr>
            <w:r>
              <w:rPr>
                <w:b w:val="0"/>
                <w:i w:val="0"/>
                <w:color w:val="C0392B"/>
                <w:sz w:val="19"/>
              </w:rPr>
              <w:t>-$833</w:t>
            </w:r>
          </w:p>
        </w:tc>
        <w:tc>
          <w:tcPr>
            <w:tcW w:type="dxa" w:w="1728"/>
            <w:shd w:val="clear" w:color="auto" w:fill="F2F2F2"/>
            <w:vAlign w:val="center"/>
          </w:tcPr>
          <w:p>
            <w:pPr>
              <w:jc w:val="right"/>
            </w:pPr>
            <w:r>
              <w:rPr>
                <w:b w:val="0"/>
                <w:i w:val="0"/>
                <w:color w:val="C0392B"/>
                <w:sz w:val="19"/>
              </w:rPr>
              <w:t>-$1,389</w:t>
            </w:r>
          </w:p>
        </w:tc>
        <w:tc>
          <w:tcPr>
            <w:tcW w:type="dxa" w:w="1728"/>
            <w:shd w:val="clear" w:color="auto" w:fill="F2F2F2"/>
            <w:vAlign w:val="center"/>
          </w:tcPr>
          <w:p>
            <w:pPr>
              <w:jc w:val="right"/>
            </w:pPr>
            <w:r>
              <w:rPr>
                <w:b w:val="0"/>
                <w:i w:val="0"/>
                <w:color w:val="C0392B"/>
                <w:sz w:val="19"/>
              </w:rPr>
              <w:t>-$2,778</w:t>
            </w:r>
          </w:p>
        </w:tc>
      </w:tr>
      <w:tr>
        <w:trPr>
          <w:trHeight w:val="369"/>
        </w:trPr>
        <w:tc>
          <w:tcPr>
            <w:tcW w:type="dxa" w:w="3600"/>
            <w:shd w:val="clear" w:color="auto" w:fill="FFFFFF"/>
            <w:vAlign w:val="center"/>
          </w:tcPr>
          <w:p>
            <w:pPr>
              <w:jc w:val="left"/>
            </w:pPr>
            <w:r>
              <w:rPr>
                <w:b/>
                <w:i w:val="0"/>
                <w:color w:val="E67E22"/>
                <w:sz w:val="19"/>
              </w:rPr>
              <w:t>NET INCOME BEFORE TAX</w:t>
            </w:r>
          </w:p>
        </w:tc>
        <w:tc>
          <w:tcPr>
            <w:tcW w:type="dxa" w:w="1728"/>
            <w:shd w:val="clear" w:color="auto" w:fill="FFFFFF"/>
            <w:vAlign w:val="center"/>
          </w:tcPr>
          <w:p>
            <w:pPr>
              <w:jc w:val="right"/>
            </w:pPr>
            <w:r>
              <w:rPr>
                <w:b w:val="0"/>
                <w:i w:val="0"/>
                <w:color w:val="C0392B"/>
                <w:sz w:val="19"/>
              </w:rPr>
              <w:t>-$1,458</w:t>
            </w:r>
          </w:p>
        </w:tc>
        <w:tc>
          <w:tcPr>
            <w:tcW w:type="dxa" w:w="1728"/>
            <w:shd w:val="clear" w:color="auto" w:fill="FFFFFF"/>
            <w:vAlign w:val="center"/>
          </w:tcPr>
          <w:p>
            <w:pPr>
              <w:jc w:val="right"/>
            </w:pPr>
            <w:r>
              <w:rPr>
                <w:b w:val="0"/>
                <w:i w:val="0"/>
                <w:color w:val="1E8449"/>
                <w:sz w:val="19"/>
              </w:rPr>
              <w:t>+$65</w:t>
            </w:r>
          </w:p>
        </w:tc>
        <w:tc>
          <w:tcPr>
            <w:tcW w:type="dxa" w:w="1728"/>
            <w:shd w:val="clear" w:color="auto" w:fill="FFFFFF"/>
            <w:vAlign w:val="center"/>
          </w:tcPr>
          <w:p>
            <w:pPr>
              <w:jc w:val="right"/>
            </w:pPr>
            <w:r>
              <w:rPr>
                <w:b w:val="0"/>
                <w:i w:val="0"/>
                <w:color w:val="1E8449"/>
                <w:sz w:val="19"/>
              </w:rPr>
              <w:t>+$1,008</w:t>
            </w:r>
          </w:p>
        </w:tc>
        <w:tc>
          <w:tcPr>
            <w:tcW w:type="dxa" w:w="1728"/>
            <w:shd w:val="clear" w:color="auto" w:fill="FFFFFF"/>
            <w:vAlign w:val="center"/>
          </w:tcPr>
          <w:p>
            <w:pPr>
              <w:jc w:val="right"/>
            </w:pPr>
            <w:r>
              <w:rPr>
                <w:b w:val="0"/>
                <w:i w:val="0"/>
                <w:color w:val="1E8449"/>
                <w:sz w:val="19"/>
              </w:rPr>
              <w:t>+$3,631</w:t>
            </w:r>
          </w:p>
        </w:tc>
      </w:tr>
      <w:tr>
        <w:trPr>
          <w:trHeight w:val="369"/>
        </w:trPr>
        <w:tc>
          <w:tcPr>
            <w:tcW w:type="dxa" w:w="3600"/>
            <w:shd w:val="clear" w:color="auto" w:fill="F2F2F2"/>
            <w:vAlign w:val="center"/>
          </w:tcPr>
          <w:p>
            <w:pPr>
              <w:jc w:val="left"/>
            </w:pPr>
            <w:r>
              <w:rPr>
                <w:b/>
                <w:i w:val="0"/>
                <w:color w:val="E67E22"/>
                <w:sz w:val="19"/>
              </w:rPr>
              <w:t>ANNUAL NET INCOME</w:t>
            </w:r>
          </w:p>
        </w:tc>
        <w:tc>
          <w:tcPr>
            <w:tcW w:type="dxa" w:w="1728"/>
            <w:shd w:val="clear" w:color="auto" w:fill="F2F2F2"/>
            <w:vAlign w:val="center"/>
          </w:tcPr>
          <w:p>
            <w:pPr>
              <w:jc w:val="right"/>
            </w:pPr>
            <w:r>
              <w:rPr>
                <w:b w:val="0"/>
                <w:i w:val="0"/>
                <w:color w:val="C0392B"/>
                <w:sz w:val="19"/>
              </w:rPr>
              <w:t>-$17,496</w:t>
            </w:r>
          </w:p>
        </w:tc>
        <w:tc>
          <w:tcPr>
            <w:tcW w:type="dxa" w:w="1728"/>
            <w:shd w:val="clear" w:color="auto" w:fill="F2F2F2"/>
            <w:vAlign w:val="center"/>
          </w:tcPr>
          <w:p>
            <w:pPr>
              <w:jc w:val="right"/>
            </w:pPr>
            <w:r>
              <w:rPr>
                <w:b w:val="0"/>
                <w:i w:val="0"/>
                <w:color w:val="1E8449"/>
                <w:sz w:val="19"/>
              </w:rPr>
              <w:t>+$780</w:t>
            </w:r>
          </w:p>
        </w:tc>
        <w:tc>
          <w:tcPr>
            <w:tcW w:type="dxa" w:w="1728"/>
            <w:shd w:val="clear" w:color="auto" w:fill="F2F2F2"/>
            <w:vAlign w:val="center"/>
          </w:tcPr>
          <w:p>
            <w:pPr>
              <w:jc w:val="right"/>
            </w:pPr>
            <w:r>
              <w:rPr>
                <w:b w:val="0"/>
                <w:i w:val="0"/>
                <w:color w:val="1E8449"/>
                <w:sz w:val="19"/>
              </w:rPr>
              <w:t>+$12,096</w:t>
            </w:r>
          </w:p>
        </w:tc>
        <w:tc>
          <w:tcPr>
            <w:tcW w:type="dxa" w:w="1728"/>
            <w:shd w:val="clear" w:color="auto" w:fill="F2F2F2"/>
            <w:vAlign w:val="center"/>
          </w:tcPr>
          <w:p>
            <w:pPr>
              <w:jc w:val="right"/>
            </w:pPr>
            <w:r>
              <w:rPr>
                <w:b w:val="0"/>
                <w:i w:val="0"/>
                <w:color w:val="1E8449"/>
                <w:sz w:val="19"/>
              </w:rPr>
              <w:t>+$43,572</w:t>
            </w:r>
          </w:p>
        </w:tc>
      </w:tr>
    </w:tbl>
    <w:p>
      <w:pPr>
        <w:spacing w:after="80"/>
      </w:pPr>
    </w:p>
    <w:p>
      <w:pPr>
        <w:spacing w:before="200" w:after="120"/>
        <w:jc w:val="left"/>
      </w:pPr>
      <w:r>
        <w:rPr>
          <w:b/>
          <w:color w:val="0D2B55"/>
          <w:sz w:val="28"/>
        </w:rPr>
        <w:t>Income Milestone Targets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rHeight w:val="397"/>
        </w:trPr>
        <w:tc>
          <w:tcPr>
            <w:tcW w:type="dxa" w:w="2592"/>
            <w:shd w:val="clear" w:color="auto" w:fill="0D2B55"/>
            <w:vAlign w:val="center"/>
          </w:tcPr>
          <w:p>
            <w:pPr>
              <w:jc w:val="center"/>
            </w:pPr>
            <w:r>
              <w:rPr>
                <w:b/>
                <w:i w:val="0"/>
                <w:color w:val="FFFFFF"/>
                <w:sz w:val="19"/>
              </w:rPr>
              <w:t>Milestone</w:t>
            </w:r>
          </w:p>
        </w:tc>
        <w:tc>
          <w:tcPr>
            <w:tcW w:type="dxa" w:w="1440"/>
            <w:shd w:val="clear" w:color="auto" w:fill="0D2B55"/>
            <w:vAlign w:val="center"/>
          </w:tcPr>
          <w:p>
            <w:pPr>
              <w:jc w:val="center"/>
            </w:pPr>
            <w:r>
              <w:rPr>
                <w:b/>
                <w:i w:val="0"/>
                <w:color w:val="FFFFFF"/>
                <w:sz w:val="19"/>
              </w:rPr>
              <w:t>Fleet</w:t>
            </w:r>
          </w:p>
        </w:tc>
        <w:tc>
          <w:tcPr>
            <w:tcW w:type="dxa" w:w="1728"/>
            <w:shd w:val="clear" w:color="auto" w:fill="0D2B55"/>
            <w:vAlign w:val="center"/>
          </w:tcPr>
          <w:p>
            <w:pPr>
              <w:jc w:val="center"/>
            </w:pPr>
            <w:r>
              <w:rPr>
                <w:b/>
                <w:i w:val="0"/>
                <w:color w:val="FFFFFF"/>
                <w:sz w:val="19"/>
              </w:rPr>
              <w:t>Timeline</w:t>
            </w:r>
          </w:p>
        </w:tc>
        <w:tc>
          <w:tcPr>
            <w:tcW w:type="dxa" w:w="2160"/>
            <w:shd w:val="clear" w:color="auto" w:fill="0D2B55"/>
            <w:vAlign w:val="center"/>
          </w:tcPr>
          <w:p>
            <w:pPr>
              <w:jc w:val="center"/>
            </w:pPr>
            <w:r>
              <w:rPr>
                <w:b/>
                <w:i w:val="0"/>
                <w:color w:val="FFFFFF"/>
                <w:sz w:val="19"/>
              </w:rPr>
              <w:t>Monthly Net</w:t>
            </w:r>
          </w:p>
        </w:tc>
        <w:tc>
          <w:tcPr>
            <w:tcW w:type="dxa" w:w="2592"/>
            <w:shd w:val="clear" w:color="auto" w:fill="0D2B55"/>
            <w:vAlign w:val="center"/>
          </w:tcPr>
          <w:p>
            <w:pPr>
              <w:jc w:val="center"/>
            </w:pPr>
            <w:r>
              <w:rPr>
                <w:b/>
                <w:i w:val="0"/>
                <w:color w:val="FFFFFF"/>
                <w:sz w:val="19"/>
              </w:rPr>
              <w:t>Annual Net</w:t>
            </w:r>
          </w:p>
        </w:tc>
      </w:tr>
      <w:tr>
        <w:trPr>
          <w:trHeight w:val="369"/>
        </w:trPr>
        <w:tc>
          <w:tcPr>
            <w:tcW w:type="dxa" w:w="2592"/>
            <w:shd w:val="clear" w:color="auto" w:fill="FFFFFF"/>
            <w:vAlign w:val="center"/>
          </w:tcPr>
          <w:p>
            <w:pPr>
              <w:jc w:val="left"/>
            </w:pPr>
            <w:r>
              <w:rPr>
                <w:b w:val="0"/>
                <w:i w:val="0"/>
                <w:color w:val="222222"/>
                <w:sz w:val="19"/>
              </w:rPr>
              <w:t>Proof of Concept</w:t>
            </w:r>
          </w:p>
        </w:tc>
        <w:tc>
          <w:tcPr>
            <w:tcW w:type="dxa" w:w="1440"/>
            <w:shd w:val="clear" w:color="auto" w:fill="FFFFFF"/>
            <w:vAlign w:val="center"/>
          </w:tcPr>
          <w:p>
            <w:pPr>
              <w:jc w:val="right"/>
            </w:pPr>
            <w:r>
              <w:rPr>
                <w:b w:val="0"/>
                <w:i w:val="0"/>
                <w:color w:val="222222"/>
                <w:sz w:val="19"/>
              </w:rPr>
              <w:t>2 cars</w:t>
            </w:r>
          </w:p>
        </w:tc>
        <w:tc>
          <w:tcPr>
            <w:tcW w:type="dxa" w:w="1728"/>
            <w:shd w:val="clear" w:color="auto" w:fill="FFFFFF"/>
            <w:vAlign w:val="center"/>
          </w:tcPr>
          <w:p>
            <w:pPr>
              <w:jc w:val="right"/>
            </w:pPr>
            <w:r>
              <w:rPr>
                <w:b w:val="0"/>
                <w:i w:val="0"/>
                <w:color w:val="222222"/>
                <w:sz w:val="19"/>
              </w:rPr>
              <w:t>Months 1–9</w:t>
            </w:r>
          </w:p>
        </w:tc>
        <w:tc>
          <w:tcPr>
            <w:tcW w:type="dxa" w:w="2160"/>
            <w:shd w:val="clear" w:color="auto" w:fill="FFFFFF"/>
            <w:vAlign w:val="center"/>
          </w:tcPr>
          <w:p>
            <w:pPr>
              <w:jc w:val="right"/>
            </w:pPr>
            <w:r>
              <w:rPr>
                <w:b w:val="0"/>
                <w:i w:val="0"/>
                <w:color w:val="222222"/>
                <w:sz w:val="19"/>
              </w:rPr>
              <w:t>Negative → $0</w:t>
            </w:r>
          </w:p>
        </w:tc>
        <w:tc>
          <w:tcPr>
            <w:tcW w:type="dxa" w:w="2592"/>
            <w:shd w:val="clear" w:color="auto" w:fill="FFFFFF"/>
            <w:vAlign w:val="center"/>
          </w:tcPr>
          <w:p>
            <w:pPr>
              <w:jc w:val="right"/>
            </w:pPr>
            <w:r>
              <w:rPr>
                <w:b w:val="0"/>
                <w:i w:val="0"/>
                <w:color w:val="222222"/>
                <w:sz w:val="19"/>
              </w:rPr>
              <w:t>&lt;$0</w:t>
            </w:r>
          </w:p>
        </w:tc>
      </w:tr>
      <w:tr>
        <w:trPr>
          <w:trHeight w:val="369"/>
        </w:trPr>
        <w:tc>
          <w:tcPr>
            <w:tcW w:type="dxa" w:w="2592"/>
            <w:shd w:val="clear" w:color="auto" w:fill="F2F2F2"/>
            <w:vAlign w:val="center"/>
          </w:tcPr>
          <w:p>
            <w:pPr>
              <w:jc w:val="left"/>
            </w:pPr>
            <w:r>
              <w:rPr>
                <w:b w:val="0"/>
                <w:i w:val="0"/>
                <w:color w:val="222222"/>
                <w:sz w:val="19"/>
              </w:rPr>
              <w:t>Cash Break-Even</w:t>
            </w:r>
          </w:p>
        </w:tc>
        <w:tc>
          <w:tcPr>
            <w:tcW w:type="dxa" w:w="1440"/>
            <w:shd w:val="clear" w:color="auto" w:fill="F2F2F2"/>
            <w:vAlign w:val="center"/>
          </w:tcPr>
          <w:p>
            <w:pPr>
              <w:jc w:val="right"/>
            </w:pPr>
            <w:r>
              <w:rPr>
                <w:b w:val="0"/>
                <w:i w:val="0"/>
                <w:color w:val="222222"/>
                <w:sz w:val="19"/>
              </w:rPr>
              <w:t>2 cars</w:t>
            </w:r>
          </w:p>
        </w:tc>
        <w:tc>
          <w:tcPr>
            <w:tcW w:type="dxa" w:w="1728"/>
            <w:shd w:val="clear" w:color="auto" w:fill="F2F2F2"/>
            <w:vAlign w:val="center"/>
          </w:tcPr>
          <w:p>
            <w:pPr>
              <w:jc w:val="right"/>
            </w:pPr>
            <w:r>
              <w:rPr>
                <w:b w:val="0"/>
                <w:i w:val="0"/>
                <w:color w:val="222222"/>
                <w:sz w:val="19"/>
              </w:rPr>
              <w:t>Month 3–4</w:t>
            </w:r>
          </w:p>
        </w:tc>
        <w:tc>
          <w:tcPr>
            <w:tcW w:type="dxa" w:w="2160"/>
            <w:shd w:val="clear" w:color="auto" w:fill="F2F2F2"/>
            <w:vAlign w:val="center"/>
          </w:tcPr>
          <w:p>
            <w:pPr>
              <w:jc w:val="right"/>
            </w:pPr>
            <w:r>
              <w:rPr>
                <w:b w:val="0"/>
                <w:i w:val="0"/>
                <w:color w:val="222222"/>
                <w:sz w:val="19"/>
              </w:rPr>
              <w:t>$0–$200/mo</w:t>
            </w:r>
          </w:p>
        </w:tc>
        <w:tc>
          <w:tcPr>
            <w:tcW w:type="dxa" w:w="2592"/>
            <w:shd w:val="clear" w:color="auto" w:fill="F2F2F2"/>
            <w:vAlign w:val="center"/>
          </w:tcPr>
          <w:p>
            <w:pPr>
              <w:jc w:val="right"/>
            </w:pPr>
            <w:r>
              <w:rPr>
                <w:b w:val="0"/>
                <w:i w:val="0"/>
                <w:color w:val="222222"/>
                <w:sz w:val="19"/>
              </w:rPr>
              <w:t>$0–$2,400</w:t>
            </w:r>
          </w:p>
        </w:tc>
      </w:tr>
      <w:tr>
        <w:trPr>
          <w:trHeight w:val="369"/>
        </w:trPr>
        <w:tc>
          <w:tcPr>
            <w:tcW w:type="dxa" w:w="2592"/>
            <w:shd w:val="clear" w:color="auto" w:fill="FFFFFF"/>
            <w:vAlign w:val="center"/>
          </w:tcPr>
          <w:p>
            <w:pPr>
              <w:jc w:val="left"/>
            </w:pPr>
            <w:r>
              <w:rPr>
                <w:b w:val="0"/>
                <w:i w:val="0"/>
                <w:color w:val="222222"/>
                <w:sz w:val="19"/>
              </w:rPr>
              <w:t>Side Income</w:t>
            </w:r>
          </w:p>
        </w:tc>
        <w:tc>
          <w:tcPr>
            <w:tcW w:type="dxa" w:w="1440"/>
            <w:shd w:val="clear" w:color="auto" w:fill="FFFFFF"/>
            <w:vAlign w:val="center"/>
          </w:tcPr>
          <w:p>
            <w:pPr>
              <w:jc w:val="right"/>
            </w:pPr>
            <w:r>
              <w:rPr>
                <w:b w:val="0"/>
                <w:i w:val="0"/>
                <w:color w:val="222222"/>
                <w:sz w:val="19"/>
              </w:rPr>
              <w:t>3 cars</w:t>
            </w:r>
          </w:p>
        </w:tc>
        <w:tc>
          <w:tcPr>
            <w:tcW w:type="dxa" w:w="1728"/>
            <w:shd w:val="clear" w:color="auto" w:fill="FFFFFF"/>
            <w:vAlign w:val="center"/>
          </w:tcPr>
          <w:p>
            <w:pPr>
              <w:jc w:val="right"/>
            </w:pPr>
            <w:r>
              <w:rPr>
                <w:b w:val="0"/>
                <w:i w:val="0"/>
                <w:color w:val="222222"/>
                <w:sz w:val="19"/>
              </w:rPr>
              <w:t>Month 10–18</w:t>
            </w:r>
          </w:p>
        </w:tc>
        <w:tc>
          <w:tcPr>
            <w:tcW w:type="dxa" w:w="2160"/>
            <w:shd w:val="clear" w:color="auto" w:fill="FFFFFF"/>
            <w:vAlign w:val="center"/>
          </w:tcPr>
          <w:p>
            <w:pPr>
              <w:jc w:val="right"/>
            </w:pPr>
            <w:r>
              <w:rPr>
                <w:b w:val="0"/>
                <w:i w:val="0"/>
                <w:color w:val="222222"/>
                <w:sz w:val="19"/>
              </w:rPr>
              <w:t>$800–$1,200/mo</w:t>
            </w:r>
          </w:p>
        </w:tc>
        <w:tc>
          <w:tcPr>
            <w:tcW w:type="dxa" w:w="2592"/>
            <w:shd w:val="clear" w:color="auto" w:fill="FFFFFF"/>
            <w:vAlign w:val="center"/>
          </w:tcPr>
          <w:p>
            <w:pPr>
              <w:jc w:val="right"/>
            </w:pPr>
            <w:r>
              <w:rPr>
                <w:b w:val="0"/>
                <w:i w:val="0"/>
                <w:color w:val="222222"/>
                <w:sz w:val="19"/>
              </w:rPr>
              <w:t>$9,600–$14,400</w:t>
            </w:r>
          </w:p>
        </w:tc>
      </w:tr>
      <w:tr>
        <w:trPr>
          <w:trHeight w:val="369"/>
        </w:trPr>
        <w:tc>
          <w:tcPr>
            <w:tcW w:type="dxa" w:w="2592"/>
            <w:shd w:val="clear" w:color="auto" w:fill="F2F2F2"/>
            <w:vAlign w:val="center"/>
          </w:tcPr>
          <w:p>
            <w:pPr>
              <w:jc w:val="left"/>
            </w:pPr>
            <w:r>
              <w:rPr>
                <w:b w:val="0"/>
                <w:i w:val="0"/>
                <w:color w:val="222222"/>
                <w:sz w:val="19"/>
              </w:rPr>
              <w:t>Real Business</w:t>
            </w:r>
          </w:p>
        </w:tc>
        <w:tc>
          <w:tcPr>
            <w:tcW w:type="dxa" w:w="1440"/>
            <w:shd w:val="clear" w:color="auto" w:fill="F2F2F2"/>
            <w:vAlign w:val="center"/>
          </w:tcPr>
          <w:p>
            <w:pPr>
              <w:jc w:val="right"/>
            </w:pPr>
            <w:r>
              <w:rPr>
                <w:b w:val="0"/>
                <w:i w:val="0"/>
                <w:color w:val="222222"/>
                <w:sz w:val="19"/>
              </w:rPr>
              <w:t>5 cars</w:t>
            </w:r>
          </w:p>
        </w:tc>
        <w:tc>
          <w:tcPr>
            <w:tcW w:type="dxa" w:w="1728"/>
            <w:shd w:val="clear" w:color="auto" w:fill="F2F2F2"/>
            <w:vAlign w:val="center"/>
          </w:tcPr>
          <w:p>
            <w:pPr>
              <w:jc w:val="right"/>
            </w:pPr>
            <w:r>
              <w:rPr>
                <w:b w:val="0"/>
                <w:i w:val="0"/>
                <w:color w:val="222222"/>
                <w:sz w:val="19"/>
              </w:rPr>
              <w:t>Year 2</w:t>
            </w:r>
          </w:p>
        </w:tc>
        <w:tc>
          <w:tcPr>
            <w:tcW w:type="dxa" w:w="2160"/>
            <w:shd w:val="clear" w:color="auto" w:fill="F2F2F2"/>
            <w:vAlign w:val="center"/>
          </w:tcPr>
          <w:p>
            <w:pPr>
              <w:jc w:val="right"/>
            </w:pPr>
            <w:r>
              <w:rPr>
                <w:b w:val="0"/>
                <w:i w:val="0"/>
                <w:color w:val="222222"/>
                <w:sz w:val="19"/>
              </w:rPr>
              <w:t>$2,200–$3,000/mo</w:t>
            </w:r>
          </w:p>
        </w:tc>
        <w:tc>
          <w:tcPr>
            <w:tcW w:type="dxa" w:w="2592"/>
            <w:shd w:val="clear" w:color="auto" w:fill="F2F2F2"/>
            <w:vAlign w:val="center"/>
          </w:tcPr>
          <w:p>
            <w:pPr>
              <w:jc w:val="right"/>
            </w:pPr>
            <w:r>
              <w:rPr>
                <w:b w:val="0"/>
                <w:i w:val="0"/>
                <w:color w:val="222222"/>
                <w:sz w:val="19"/>
              </w:rPr>
              <w:t>$26,400–$36,000</w:t>
            </w:r>
          </w:p>
        </w:tc>
      </w:tr>
      <w:tr>
        <w:trPr>
          <w:trHeight w:val="369"/>
        </w:trPr>
        <w:tc>
          <w:tcPr>
            <w:tcW w:type="dxa" w:w="2592"/>
            <w:shd w:val="clear" w:color="auto" w:fill="FFFFFF"/>
            <w:vAlign w:val="center"/>
          </w:tcPr>
          <w:p>
            <w:pPr>
              <w:jc w:val="left"/>
            </w:pPr>
            <w:r>
              <w:rPr>
                <w:b w:val="0"/>
                <w:i w:val="0"/>
                <w:color w:val="222222"/>
                <w:sz w:val="19"/>
              </w:rPr>
              <w:t>Dayo Full-Time</w:t>
            </w:r>
          </w:p>
        </w:tc>
        <w:tc>
          <w:tcPr>
            <w:tcW w:type="dxa" w:w="1440"/>
            <w:shd w:val="clear" w:color="auto" w:fill="FFFFFF"/>
            <w:vAlign w:val="center"/>
          </w:tcPr>
          <w:p>
            <w:pPr>
              <w:jc w:val="right"/>
            </w:pPr>
            <w:r>
              <w:rPr>
                <w:b w:val="0"/>
                <w:i w:val="0"/>
                <w:color w:val="222222"/>
                <w:sz w:val="19"/>
              </w:rPr>
              <w:t>8 cars</w:t>
            </w:r>
          </w:p>
        </w:tc>
        <w:tc>
          <w:tcPr>
            <w:tcW w:type="dxa" w:w="1728"/>
            <w:shd w:val="clear" w:color="auto" w:fill="FFFFFF"/>
            <w:vAlign w:val="center"/>
          </w:tcPr>
          <w:p>
            <w:pPr>
              <w:jc w:val="right"/>
            </w:pPr>
            <w:r>
              <w:rPr>
                <w:b w:val="0"/>
                <w:i w:val="0"/>
                <w:color w:val="222222"/>
                <w:sz w:val="19"/>
              </w:rPr>
              <w:t>Year 2–3</w:t>
            </w:r>
          </w:p>
        </w:tc>
        <w:tc>
          <w:tcPr>
            <w:tcW w:type="dxa" w:w="2160"/>
            <w:shd w:val="clear" w:color="auto" w:fill="FFFFFF"/>
            <w:vAlign w:val="center"/>
          </w:tcPr>
          <w:p>
            <w:pPr>
              <w:jc w:val="right"/>
            </w:pPr>
            <w:r>
              <w:rPr>
                <w:b w:val="0"/>
                <w:i w:val="0"/>
                <w:color w:val="222222"/>
                <w:sz w:val="19"/>
              </w:rPr>
              <w:t>$4,000–$5,500/mo</w:t>
            </w:r>
          </w:p>
        </w:tc>
        <w:tc>
          <w:tcPr>
            <w:tcW w:type="dxa" w:w="2592"/>
            <w:shd w:val="clear" w:color="auto" w:fill="FFFFFF"/>
            <w:vAlign w:val="center"/>
          </w:tcPr>
          <w:p>
            <w:pPr>
              <w:jc w:val="right"/>
            </w:pPr>
            <w:r>
              <w:rPr>
                <w:b w:val="0"/>
                <w:i w:val="0"/>
                <w:color w:val="222222"/>
                <w:sz w:val="19"/>
              </w:rPr>
              <w:t>$48,000–$66,000</w:t>
            </w:r>
          </w:p>
        </w:tc>
      </w:tr>
      <w:tr>
        <w:trPr>
          <w:trHeight w:val="369"/>
        </w:trPr>
        <w:tc>
          <w:tcPr>
            <w:tcW w:type="dxa" w:w="2592"/>
            <w:shd w:val="clear" w:color="auto" w:fill="F2F2F2"/>
            <w:vAlign w:val="center"/>
          </w:tcPr>
          <w:p>
            <w:pPr>
              <w:jc w:val="left"/>
            </w:pPr>
            <w:r>
              <w:rPr>
                <w:b w:val="0"/>
                <w:i w:val="0"/>
                <w:color w:val="222222"/>
                <w:sz w:val="19"/>
              </w:rPr>
              <w:t>SMB Scale</w:t>
            </w:r>
          </w:p>
        </w:tc>
        <w:tc>
          <w:tcPr>
            <w:tcW w:type="dxa" w:w="1440"/>
            <w:shd w:val="clear" w:color="auto" w:fill="F2F2F2"/>
            <w:vAlign w:val="center"/>
          </w:tcPr>
          <w:p>
            <w:pPr>
              <w:jc w:val="right"/>
            </w:pPr>
            <w:r>
              <w:rPr>
                <w:b w:val="0"/>
                <w:i w:val="0"/>
                <w:color w:val="222222"/>
                <w:sz w:val="19"/>
              </w:rPr>
              <w:t>10+ cars</w:t>
            </w:r>
          </w:p>
        </w:tc>
        <w:tc>
          <w:tcPr>
            <w:tcW w:type="dxa" w:w="1728"/>
            <w:shd w:val="clear" w:color="auto" w:fill="F2F2F2"/>
            <w:vAlign w:val="center"/>
          </w:tcPr>
          <w:p>
            <w:pPr>
              <w:jc w:val="right"/>
            </w:pPr>
            <w:r>
              <w:rPr>
                <w:b w:val="0"/>
                <w:i w:val="0"/>
                <w:color w:val="222222"/>
                <w:sz w:val="19"/>
              </w:rPr>
              <w:t>Year 3+</w:t>
            </w:r>
          </w:p>
        </w:tc>
        <w:tc>
          <w:tcPr>
            <w:tcW w:type="dxa" w:w="2160"/>
            <w:shd w:val="clear" w:color="auto" w:fill="F2F2F2"/>
            <w:vAlign w:val="center"/>
          </w:tcPr>
          <w:p>
            <w:pPr>
              <w:jc w:val="right"/>
            </w:pPr>
            <w:r>
              <w:rPr>
                <w:b w:val="0"/>
                <w:i w:val="0"/>
                <w:color w:val="222222"/>
                <w:sz w:val="19"/>
              </w:rPr>
              <w:t>$6,000–$9,000/mo</w:t>
            </w:r>
          </w:p>
        </w:tc>
        <w:tc>
          <w:tcPr>
            <w:tcW w:type="dxa" w:w="2592"/>
            <w:shd w:val="clear" w:color="auto" w:fill="F2F2F2"/>
            <w:vAlign w:val="center"/>
          </w:tcPr>
          <w:p>
            <w:pPr>
              <w:jc w:val="right"/>
            </w:pPr>
            <w:r>
              <w:rPr>
                <w:b w:val="0"/>
                <w:i w:val="0"/>
                <w:color w:val="222222"/>
                <w:sz w:val="19"/>
              </w:rPr>
              <w:t>$72,000–$108,000</w:t>
            </w:r>
          </w:p>
        </w:tc>
      </w:tr>
    </w:tbl>
    <w:p>
      <w:pPr>
        <w:spacing w:after="80"/>
      </w:pPr>
    </w:p>
    <w:p>
      <w:r>
        <w:br w:type="page"/>
      </w:r>
    </w:p>
    <w:p>
      <w:pPr>
        <w:spacing w:before="280" w:after="120"/>
        <w:jc w:val="left"/>
      </w:pPr>
      <w:r>
        <w:rPr>
          <w:b/>
          <w:color w:val="0D2B55"/>
          <w:sz w:val="36"/>
        </w:rPr>
        <w:t>6.  Five Financial Red Flags — Must Resolve Before Launch</w:t>
      </w:r>
    </w:p>
    <w:p>
      <w:pPr>
        <w:pBdr>
          <w:bottom w:val="single" w:sz="6" w:space="1" w:color="007A87"/>
        </w:pBdr>
        <w:spacing w:after="120" w:before="120"/>
      </w:pP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r>
              <w:rPr>
                <w:b/>
                <w:color w:val="C0392B"/>
                <w:sz w:val="22"/>
              </w:rPr>
              <w:t xml:space="preserve">RED FLAG #1: Insurance Not Yet Bound  </w:t>
            </w:r>
            <w:r>
              <w:rPr>
                <w:b w:val="0"/>
                <w:color w:val="E67E22"/>
                <w:sz w:val="18"/>
              </w:rPr>
              <w:t>[Owner: Dayo]</w:t>
            </w:r>
          </w:p>
          <w:p>
            <w:pPr>
              <w:spacing w:before="80"/>
            </w:pPr>
            <w:r>
              <w:rPr>
                <w:color w:val="222222"/>
                <w:sz w:val="20"/>
              </w:rPr>
              <w:t>No vehicle may be rented without a bound commercial fleet policy. One uninsured accident can eliminate the entire business and expose GB Trade and Logistics Inc. to unlimited personal liability. Budget $750/month ($9,000/year). Bind by April 23, 2026.</w:t>
            </w:r>
          </w:p>
        </w:tc>
      </w:tr>
    </w:tbl>
    <w:p>
      <w:pPr>
        <w:spacing w:after="120"/>
      </w:pP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r>
              <w:rPr>
                <w:b/>
                <w:color w:val="C0392B"/>
                <w:sz w:val="22"/>
              </w:rPr>
              <w:t xml:space="preserve">RED FLAG #2: Startup Capital Range Too Wide  </w:t>
            </w:r>
            <w:r>
              <w:rPr>
                <w:b w:val="0"/>
                <w:color w:val="E67E22"/>
                <w:sz w:val="18"/>
              </w:rPr>
              <w:t>[Owner: Both]</w:t>
            </w:r>
          </w:p>
          <w:p>
            <w:pPr>
              <w:spacing w:before="80"/>
            </w:pPr>
            <w:r>
              <w:rPr>
                <w:color w:val="222222"/>
                <w:sz w:val="20"/>
              </w:rPr>
              <w:t>The business plan's $22K–$37K range is unworkable for cash planning. The audited figure is $30,085. Confirm this is liquid and available before purchasing a single vehicle. Do not buy cars on credit or with co-mingled personal funds.</w:t>
            </w:r>
          </w:p>
        </w:tc>
      </w:tr>
    </w:tbl>
    <w:p>
      <w:pPr>
        <w:spacing w:after="120"/>
      </w:pP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r>
              <w:rPr>
                <w:b/>
                <w:color w:val="C0392B"/>
                <w:sz w:val="22"/>
              </w:rPr>
              <w:t xml:space="preserve">RED FLAG #3: Maintenance Reserve Understated  </w:t>
            </w:r>
            <w:r>
              <w:rPr>
                <w:b w:val="0"/>
                <w:color w:val="E67E22"/>
                <w:sz w:val="18"/>
              </w:rPr>
              <w:t>[Owner: Both]</w:t>
            </w:r>
          </w:p>
          <w:p>
            <w:pPr>
              <w:spacing w:before="80"/>
            </w:pPr>
            <w:r>
              <w:rPr>
                <w:color w:val="222222"/>
                <w:sz w:val="20"/>
              </w:rPr>
              <w:t>The business plan budgets $600–$800/month for 2 vehicles. The audited figure is $900/month per vehicle ($1,800/month total). High-mileage gig vehicles accumulate damage faster than conventional use. One transmission failure on an underfunded reserve = negative cash flow.</w:t>
            </w:r>
          </w:p>
        </w:tc>
      </w:tr>
    </w:tbl>
    <w:p>
      <w:pPr>
        <w:spacing w:after="120"/>
      </w:pP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r>
              <w:rPr>
                <w:b/>
                <w:color w:val="C0392B"/>
                <w:sz w:val="22"/>
              </w:rPr>
              <w:t xml:space="preserve">RED FLAG #4: HST Not Modelled  </w:t>
            </w:r>
            <w:r>
              <w:rPr>
                <w:b w:val="0"/>
                <w:color w:val="E67E22"/>
                <w:sz w:val="18"/>
              </w:rPr>
              <w:t>[Owner: Dayo]</w:t>
            </w:r>
          </w:p>
          <w:p>
            <w:pPr>
              <w:spacing w:before="80"/>
            </w:pPr>
            <w:r>
              <w:rPr>
                <w:color w:val="222222"/>
                <w:sz w:val="20"/>
              </w:rPr>
              <w:t>13% of every rental payment belongs to CRA. On a $300/week rate, $39/week/car is a tax liability, not income. Year 1 total HST owing: approximately $5,005. Track it from Day 1. Open a separate HST sub-account immediately.</w:t>
            </w:r>
          </w:p>
        </w:tc>
      </w:tr>
    </w:tbl>
    <w:p>
      <w:pPr>
        <w:spacing w:after="120"/>
      </w:pP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r>
              <w:rPr>
                <w:b/>
                <w:color w:val="C0392B"/>
                <w:sz w:val="22"/>
              </w:rPr>
              <w:t xml:space="preserve">RED FLAG #5: No Partnership Agreement  </w:t>
            </w:r>
            <w:r>
              <w:rPr>
                <w:b w:val="0"/>
                <w:color w:val="E67E22"/>
                <w:sz w:val="18"/>
              </w:rPr>
              <w:t>[Owner: Both]</w:t>
            </w:r>
          </w:p>
          <w:p>
            <w:pPr>
              <w:spacing w:before="80"/>
            </w:pPr>
            <w:r>
              <w:rPr>
                <w:color w:val="222222"/>
                <w:sz w:val="20"/>
              </w:rPr>
              <w:t>Gbemiga's technology contribution is worth $28,000–$52,000 at agency rates. Dayo provides cash and operations. A 50/50 split without documenting this asymmetry is a business dispute waiting to happen. Sign a written partnership agreement before the first vehicle is purchased.</w:t>
            </w:r>
          </w:p>
        </w:tc>
      </w:tr>
    </w:tbl>
    <w:p>
      <w:pPr>
        <w:spacing w:after="120"/>
      </w:pPr>
    </w:p>
    <w:p>
      <w:pPr>
        <w:spacing w:before="200" w:after="120"/>
        <w:jc w:val="left"/>
      </w:pPr>
      <w:r>
        <w:rPr>
          <w:b/>
          <w:color w:val="0D2B55"/>
          <w:sz w:val="28"/>
        </w:rPr>
        <w:t>Six Conditions for Financial Approval</w:t>
      </w:r>
    </w:p>
    <w:p>
      <w:pPr>
        <w:pStyle w:val="ListBullet"/>
        <w:spacing w:after="60" w:before="40"/>
      </w:pPr>
      <w:r>
        <w:rPr>
          <w:color w:val="222222"/>
          <w:sz w:val="20"/>
        </w:rPr>
        <w:t>1.  Confirm $30,085 CAD is liquid and available BEFORE purchasing vehicles.</w:t>
      </w:r>
    </w:p>
    <w:p>
      <w:pPr>
        <w:pStyle w:val="ListBullet"/>
        <w:spacing w:after="60" w:before="40"/>
      </w:pPr>
      <w:r>
        <w:rPr>
          <w:color w:val="222222"/>
          <w:sz w:val="20"/>
        </w:rPr>
        <w:t>2.  Open a dedicated Easy Drive bank account. Never co-mingle with GB Trade general funds.</w:t>
      </w:r>
    </w:p>
    <w:p>
      <w:pPr>
        <w:pStyle w:val="ListBullet"/>
        <w:spacing w:after="60" w:before="40"/>
      </w:pPr>
      <w:r>
        <w:rPr>
          <w:color w:val="222222"/>
          <w:sz w:val="20"/>
        </w:rPr>
        <w:t>3.  Set up HST tracking from Day 1. Collect 13% on top of every rental. Remit quarterly.</w:t>
      </w:r>
    </w:p>
    <w:p>
      <w:pPr>
        <w:pStyle w:val="ListBullet"/>
        <w:spacing w:after="60" w:before="40"/>
      </w:pPr>
      <w:r>
        <w:rPr>
          <w:color w:val="222222"/>
          <w:sz w:val="20"/>
        </w:rPr>
        <w:t>4.  Do not count the $500 deposit as income — it is a liability until damage is confirmed.</w:t>
      </w:r>
    </w:p>
    <w:p>
      <w:pPr>
        <w:pStyle w:val="ListBullet"/>
        <w:spacing w:after="60" w:before="40"/>
      </w:pPr>
      <w:r>
        <w:rPr>
          <w:color w:val="222222"/>
          <w:sz w:val="20"/>
        </w:rPr>
        <w:t>5.  Maintain a minimum $5,000 cash reserve at all times. Pause acquisition if it drops below this.</w:t>
      </w:r>
    </w:p>
    <w:p>
      <w:pPr>
        <w:pStyle w:val="ListBullet"/>
        <w:spacing w:after="60" w:before="40"/>
      </w:pPr>
      <w:r>
        <w:rPr>
          <w:color w:val="222222"/>
          <w:sz w:val="20"/>
        </w:rPr>
        <w:t>6.  Review the P&amp;L monthly. Two consecutive negative months triggers a mandatory financial review.</w:t>
      </w:r>
    </w:p>
    <w:p>
      <w:r>
        <w:br w:type="page"/>
      </w:r>
    </w:p>
    <w:p>
      <w:pPr>
        <w:spacing w:before="280" w:after="120"/>
        <w:jc w:val="left"/>
      </w:pPr>
      <w:r>
        <w:rPr>
          <w:b/>
          <w:color w:val="0D2B55"/>
          <w:sz w:val="36"/>
        </w:rPr>
        <w:t>7.  Ontario Tax Obligations</w:t>
      </w:r>
    </w:p>
    <w:p>
      <w:pPr>
        <w:pBdr>
          <w:bottom w:val="single" w:sz="6" w:space="1" w:color="007A87"/>
        </w:pBdr>
        <w:spacing w:after="120" w:before="120"/>
      </w:pPr>
    </w:p>
    <w:tbl>
      <w:tblPr>
        <w:tblStyle w:val="TableGrid"/>
        <w:tblW w:type="auto" w:w="0"/>
        <w:jc w:val="center"/>
        <w:tblLook w:firstColumn="1" w:firstRow="1" w:lastColumn="0" w:lastRow="0" w:noHBand="0" w:noVBand="1" w:val="04A0"/>
      </w:tblPr>
      <w:tblGrid>
        <w:gridCol w:w="1872"/>
        <w:gridCol w:w="1872"/>
        <w:gridCol w:w="1872"/>
        <w:gridCol w:w="1872"/>
        <w:gridCol w:w="1872"/>
      </w:tblGrid>
      <w:tr>
        <w:trPr>
          <w:trHeight w:val="397"/>
        </w:trPr>
        <w:tc>
          <w:tcPr>
            <w:tcW w:type="dxa" w:w="3168"/>
            <w:shd w:val="clear" w:color="auto" w:fill="0D2B55"/>
            <w:vAlign w:val="center"/>
          </w:tcPr>
          <w:p>
            <w:pPr>
              <w:jc w:val="center"/>
            </w:pPr>
            <w:r>
              <w:rPr>
                <w:b/>
                <w:i w:val="0"/>
                <w:color w:val="FFFFFF"/>
                <w:sz w:val="19"/>
              </w:rPr>
              <w:t>Tax Type</w:t>
            </w:r>
          </w:p>
        </w:tc>
        <w:tc>
          <w:tcPr>
            <w:tcW w:type="dxa" w:w="1440"/>
            <w:shd w:val="clear" w:color="auto" w:fill="0D2B55"/>
            <w:vAlign w:val="center"/>
          </w:tcPr>
          <w:p>
            <w:pPr>
              <w:jc w:val="center"/>
            </w:pPr>
            <w:r>
              <w:rPr>
                <w:b/>
                <w:i w:val="0"/>
                <w:color w:val="FFFFFF"/>
                <w:sz w:val="19"/>
              </w:rPr>
              <w:t>Rate</w:t>
            </w:r>
          </w:p>
        </w:tc>
        <w:tc>
          <w:tcPr>
            <w:tcW w:type="dxa" w:w="2304"/>
            <w:shd w:val="clear" w:color="auto" w:fill="0D2B55"/>
            <w:vAlign w:val="center"/>
          </w:tcPr>
          <w:p>
            <w:pPr>
              <w:jc w:val="center"/>
            </w:pPr>
            <w:r>
              <w:rPr>
                <w:b/>
                <w:i w:val="0"/>
                <w:color w:val="FFFFFF"/>
                <w:sz w:val="19"/>
              </w:rPr>
              <w:t>Based On</w:t>
            </w:r>
          </w:p>
        </w:tc>
        <w:tc>
          <w:tcPr>
            <w:tcW w:type="dxa" w:w="1872"/>
            <w:shd w:val="clear" w:color="auto" w:fill="0D2B55"/>
            <w:vAlign w:val="center"/>
          </w:tcPr>
          <w:p>
            <w:pPr>
              <w:jc w:val="center"/>
            </w:pPr>
            <w:r>
              <w:rPr>
                <w:b/>
                <w:i w:val="0"/>
                <w:color w:val="FFFFFF"/>
                <w:sz w:val="19"/>
              </w:rPr>
              <w:t>First Due</w:t>
            </w:r>
          </w:p>
        </w:tc>
        <w:tc>
          <w:tcPr>
            <w:tcW w:type="dxa" w:w="2016"/>
            <w:shd w:val="clear" w:color="auto" w:fill="0D2B55"/>
            <w:vAlign w:val="center"/>
          </w:tcPr>
          <w:p>
            <w:pPr>
              <w:jc w:val="center"/>
            </w:pPr>
            <w:r>
              <w:rPr>
                <w:b/>
                <w:i w:val="0"/>
                <w:color w:val="FFFFFF"/>
                <w:sz w:val="19"/>
              </w:rPr>
              <w:t>Year 1 Est.</w:t>
            </w:r>
          </w:p>
        </w:tc>
      </w:tr>
      <w:tr>
        <w:trPr>
          <w:trHeight w:val="369"/>
        </w:trPr>
        <w:tc>
          <w:tcPr>
            <w:tcW w:type="dxa" w:w="3168"/>
            <w:shd w:val="clear" w:color="auto" w:fill="FFFFFF"/>
            <w:vAlign w:val="center"/>
          </w:tcPr>
          <w:p>
            <w:pPr>
              <w:jc w:val="left"/>
            </w:pPr>
            <w:r>
              <w:rPr>
                <w:b w:val="0"/>
                <w:i w:val="0"/>
                <w:color w:val="222222"/>
                <w:sz w:val="19"/>
              </w:rPr>
              <w:t>HST</w:t>
            </w:r>
          </w:p>
        </w:tc>
        <w:tc>
          <w:tcPr>
            <w:tcW w:type="dxa" w:w="1440"/>
            <w:shd w:val="clear" w:color="auto" w:fill="FFFFFF"/>
            <w:vAlign w:val="center"/>
          </w:tcPr>
          <w:p>
            <w:pPr>
              <w:jc w:val="right"/>
            </w:pPr>
            <w:r>
              <w:rPr>
                <w:b w:val="0"/>
                <w:i w:val="0"/>
                <w:color w:val="222222"/>
                <w:sz w:val="19"/>
              </w:rPr>
              <w:t>13%</w:t>
            </w:r>
          </w:p>
        </w:tc>
        <w:tc>
          <w:tcPr>
            <w:tcW w:type="dxa" w:w="2304"/>
            <w:shd w:val="clear" w:color="auto" w:fill="FFFFFF"/>
            <w:vAlign w:val="center"/>
          </w:tcPr>
          <w:p>
            <w:pPr>
              <w:jc w:val="right"/>
            </w:pPr>
            <w:r>
              <w:rPr>
                <w:b w:val="0"/>
                <w:i w:val="0"/>
                <w:color w:val="222222"/>
                <w:sz w:val="19"/>
              </w:rPr>
              <w:t>All rental revenue</w:t>
            </w:r>
          </w:p>
        </w:tc>
        <w:tc>
          <w:tcPr>
            <w:tcW w:type="dxa" w:w="1872"/>
            <w:shd w:val="clear" w:color="auto" w:fill="FFFFFF"/>
            <w:vAlign w:val="center"/>
          </w:tcPr>
          <w:p>
            <w:pPr>
              <w:jc w:val="right"/>
            </w:pPr>
            <w:r>
              <w:rPr>
                <w:b w:val="0"/>
                <w:i w:val="0"/>
                <w:color w:val="222222"/>
                <w:sz w:val="19"/>
              </w:rPr>
              <w:t>Jun 30, 2026</w:t>
            </w:r>
          </w:p>
        </w:tc>
        <w:tc>
          <w:tcPr>
            <w:tcW w:type="dxa" w:w="2016"/>
            <w:shd w:val="clear" w:color="auto" w:fill="FFFFFF"/>
            <w:vAlign w:val="center"/>
          </w:tcPr>
          <w:p>
            <w:pPr>
              <w:jc w:val="right"/>
            </w:pPr>
            <w:r>
              <w:rPr>
                <w:b w:val="0"/>
                <w:i w:val="0"/>
                <w:color w:val="222222"/>
                <w:sz w:val="19"/>
              </w:rPr>
              <w:t>~$5,005</w:t>
            </w:r>
          </w:p>
        </w:tc>
      </w:tr>
      <w:tr>
        <w:trPr>
          <w:trHeight w:val="369"/>
        </w:trPr>
        <w:tc>
          <w:tcPr>
            <w:tcW w:type="dxa" w:w="3168"/>
            <w:shd w:val="clear" w:color="auto" w:fill="F2F2F2"/>
            <w:vAlign w:val="center"/>
          </w:tcPr>
          <w:p>
            <w:pPr>
              <w:jc w:val="left"/>
            </w:pPr>
            <w:r>
              <w:rPr>
                <w:b w:val="0"/>
                <w:i w:val="0"/>
                <w:color w:val="222222"/>
                <w:sz w:val="19"/>
              </w:rPr>
              <w:t>Ontario Corporate Tax (SBD)</w:t>
            </w:r>
          </w:p>
        </w:tc>
        <w:tc>
          <w:tcPr>
            <w:tcW w:type="dxa" w:w="1440"/>
            <w:shd w:val="clear" w:color="auto" w:fill="F2F2F2"/>
            <w:vAlign w:val="center"/>
          </w:tcPr>
          <w:p>
            <w:pPr>
              <w:jc w:val="right"/>
            </w:pPr>
            <w:r>
              <w:rPr>
                <w:b w:val="0"/>
                <w:i w:val="0"/>
                <w:color w:val="222222"/>
                <w:sz w:val="19"/>
              </w:rPr>
              <w:t>12.2%</w:t>
            </w:r>
          </w:p>
        </w:tc>
        <w:tc>
          <w:tcPr>
            <w:tcW w:type="dxa" w:w="2304"/>
            <w:shd w:val="clear" w:color="auto" w:fill="F2F2F2"/>
            <w:vAlign w:val="center"/>
          </w:tcPr>
          <w:p>
            <w:pPr>
              <w:jc w:val="right"/>
            </w:pPr>
            <w:r>
              <w:rPr>
                <w:b w:val="0"/>
                <w:i w:val="0"/>
                <w:color w:val="222222"/>
                <w:sz w:val="19"/>
              </w:rPr>
              <w:t>Net income</w:t>
            </w:r>
          </w:p>
        </w:tc>
        <w:tc>
          <w:tcPr>
            <w:tcW w:type="dxa" w:w="1872"/>
            <w:shd w:val="clear" w:color="auto" w:fill="F2F2F2"/>
            <w:vAlign w:val="center"/>
          </w:tcPr>
          <w:p>
            <w:pPr>
              <w:jc w:val="right"/>
            </w:pPr>
            <w:r>
              <w:rPr>
                <w:b w:val="0"/>
                <w:i w:val="0"/>
                <w:color w:val="222222"/>
                <w:sz w:val="19"/>
              </w:rPr>
              <w:t>Jun 30, 2027</w:t>
            </w:r>
          </w:p>
        </w:tc>
        <w:tc>
          <w:tcPr>
            <w:tcW w:type="dxa" w:w="2016"/>
            <w:shd w:val="clear" w:color="auto" w:fill="F2F2F2"/>
            <w:vAlign w:val="center"/>
          </w:tcPr>
          <w:p>
            <w:pPr>
              <w:jc w:val="right"/>
            </w:pPr>
            <w:r>
              <w:rPr>
                <w:b w:val="0"/>
                <w:i w:val="0"/>
                <w:color w:val="222222"/>
                <w:sz w:val="19"/>
              </w:rPr>
              <w:t>~$0 (loss yr)</w:t>
            </w:r>
          </w:p>
        </w:tc>
      </w:tr>
      <w:tr>
        <w:trPr>
          <w:trHeight w:val="369"/>
        </w:trPr>
        <w:tc>
          <w:tcPr>
            <w:tcW w:type="dxa" w:w="3168"/>
            <w:shd w:val="clear" w:color="auto" w:fill="FFFFFF"/>
            <w:vAlign w:val="center"/>
          </w:tcPr>
          <w:p>
            <w:pPr>
              <w:jc w:val="left"/>
            </w:pPr>
            <w:r>
              <w:rPr>
                <w:b w:val="0"/>
                <w:i w:val="0"/>
                <w:color w:val="222222"/>
                <w:sz w:val="19"/>
              </w:rPr>
              <w:t>Federal Corporate Tax (SBD)</w:t>
            </w:r>
          </w:p>
        </w:tc>
        <w:tc>
          <w:tcPr>
            <w:tcW w:type="dxa" w:w="1440"/>
            <w:shd w:val="clear" w:color="auto" w:fill="FFFFFF"/>
            <w:vAlign w:val="center"/>
          </w:tcPr>
          <w:p>
            <w:pPr>
              <w:jc w:val="right"/>
            </w:pPr>
            <w:r>
              <w:rPr>
                <w:b w:val="0"/>
                <w:i w:val="0"/>
                <w:color w:val="222222"/>
                <w:sz w:val="19"/>
              </w:rPr>
              <w:t>9.0%</w:t>
            </w:r>
          </w:p>
        </w:tc>
        <w:tc>
          <w:tcPr>
            <w:tcW w:type="dxa" w:w="2304"/>
            <w:shd w:val="clear" w:color="auto" w:fill="FFFFFF"/>
            <w:vAlign w:val="center"/>
          </w:tcPr>
          <w:p>
            <w:pPr>
              <w:jc w:val="right"/>
            </w:pPr>
            <w:r>
              <w:rPr>
                <w:b w:val="0"/>
                <w:i w:val="0"/>
                <w:color w:val="222222"/>
                <w:sz w:val="19"/>
              </w:rPr>
              <w:t>Net income</w:t>
            </w:r>
          </w:p>
        </w:tc>
        <w:tc>
          <w:tcPr>
            <w:tcW w:type="dxa" w:w="1872"/>
            <w:shd w:val="clear" w:color="auto" w:fill="FFFFFF"/>
            <w:vAlign w:val="center"/>
          </w:tcPr>
          <w:p>
            <w:pPr>
              <w:jc w:val="right"/>
            </w:pPr>
            <w:r>
              <w:rPr>
                <w:b w:val="0"/>
                <w:i w:val="0"/>
                <w:color w:val="222222"/>
                <w:sz w:val="19"/>
              </w:rPr>
              <w:t>Jun 30, 2027</w:t>
            </w:r>
          </w:p>
        </w:tc>
        <w:tc>
          <w:tcPr>
            <w:tcW w:type="dxa" w:w="2016"/>
            <w:shd w:val="clear" w:color="auto" w:fill="FFFFFF"/>
            <w:vAlign w:val="center"/>
          </w:tcPr>
          <w:p>
            <w:pPr>
              <w:jc w:val="right"/>
            </w:pPr>
            <w:r>
              <w:rPr>
                <w:b w:val="0"/>
                <w:i w:val="0"/>
                <w:color w:val="222222"/>
                <w:sz w:val="19"/>
              </w:rPr>
              <w:t>~$0 (loss yr)</w:t>
            </w:r>
          </w:p>
        </w:tc>
      </w:tr>
      <w:tr>
        <w:trPr>
          <w:trHeight w:val="369"/>
        </w:trPr>
        <w:tc>
          <w:tcPr>
            <w:tcW w:type="dxa" w:w="3168"/>
            <w:shd w:val="clear" w:color="auto" w:fill="F2F2F2"/>
            <w:vAlign w:val="center"/>
          </w:tcPr>
          <w:p>
            <w:pPr>
              <w:jc w:val="left"/>
            </w:pPr>
            <w:r>
              <w:rPr>
                <w:b w:val="0"/>
                <w:i w:val="0"/>
                <w:color w:val="222222"/>
                <w:sz w:val="19"/>
              </w:rPr>
              <w:t>CCA — Vehicles (Class 10, 30%)</w:t>
            </w:r>
          </w:p>
        </w:tc>
        <w:tc>
          <w:tcPr>
            <w:tcW w:type="dxa" w:w="1440"/>
            <w:shd w:val="clear" w:color="auto" w:fill="F2F2F2"/>
            <w:vAlign w:val="center"/>
          </w:tcPr>
          <w:p>
            <w:pPr>
              <w:jc w:val="right"/>
            </w:pPr>
            <w:r>
              <w:rPr>
                <w:b w:val="0"/>
                <w:i w:val="0"/>
                <w:color w:val="222222"/>
                <w:sz w:val="19"/>
              </w:rPr>
              <w:t>30% DB</w:t>
            </w:r>
          </w:p>
        </w:tc>
        <w:tc>
          <w:tcPr>
            <w:tcW w:type="dxa" w:w="2304"/>
            <w:shd w:val="clear" w:color="auto" w:fill="F2F2F2"/>
            <w:vAlign w:val="center"/>
          </w:tcPr>
          <w:p>
            <w:pPr>
              <w:jc w:val="right"/>
            </w:pPr>
            <w:r>
              <w:rPr>
                <w:b w:val="0"/>
                <w:i w:val="0"/>
                <w:color w:val="222222"/>
                <w:sz w:val="19"/>
              </w:rPr>
              <w:t>Vehicle purchase price</w:t>
            </w:r>
          </w:p>
        </w:tc>
        <w:tc>
          <w:tcPr>
            <w:tcW w:type="dxa" w:w="1872"/>
            <w:shd w:val="clear" w:color="auto" w:fill="F2F2F2"/>
            <w:vAlign w:val="center"/>
          </w:tcPr>
          <w:p>
            <w:pPr>
              <w:jc w:val="right"/>
            </w:pPr>
            <w:r>
              <w:rPr>
                <w:b w:val="0"/>
                <w:i w:val="0"/>
                <w:color w:val="222222"/>
                <w:sz w:val="19"/>
              </w:rPr>
              <w:t>Jun 30, 2027</w:t>
            </w:r>
          </w:p>
        </w:tc>
        <w:tc>
          <w:tcPr>
            <w:tcW w:type="dxa" w:w="2016"/>
            <w:shd w:val="clear" w:color="auto" w:fill="F2F2F2"/>
            <w:vAlign w:val="center"/>
          </w:tcPr>
          <w:p>
            <w:pPr>
              <w:jc w:val="right"/>
            </w:pPr>
            <w:r>
              <w:rPr>
                <w:b w:val="0"/>
                <w:i w:val="0"/>
                <w:color w:val="222222"/>
                <w:sz w:val="19"/>
              </w:rPr>
              <w:t>~$1,500 deduction</w:t>
            </w:r>
          </w:p>
        </w:tc>
      </w:tr>
      <w:tr>
        <w:trPr>
          <w:trHeight w:val="369"/>
        </w:trPr>
        <w:tc>
          <w:tcPr>
            <w:tcW w:type="dxa" w:w="3168"/>
            <w:shd w:val="clear" w:color="auto" w:fill="FFFFFF"/>
            <w:vAlign w:val="center"/>
          </w:tcPr>
          <w:p>
            <w:pPr>
              <w:jc w:val="left"/>
            </w:pPr>
            <w:r>
              <w:rPr>
                <w:b w:val="0"/>
                <w:i w:val="0"/>
                <w:color w:val="222222"/>
                <w:sz w:val="19"/>
              </w:rPr>
              <w:t>Employer Health Tax</w:t>
            </w:r>
          </w:p>
        </w:tc>
        <w:tc>
          <w:tcPr>
            <w:tcW w:type="dxa" w:w="1440"/>
            <w:shd w:val="clear" w:color="auto" w:fill="FFFFFF"/>
            <w:vAlign w:val="center"/>
          </w:tcPr>
          <w:p>
            <w:pPr>
              <w:jc w:val="right"/>
            </w:pPr>
            <w:r>
              <w:rPr>
                <w:b w:val="0"/>
                <w:i w:val="0"/>
                <w:color w:val="222222"/>
                <w:sz w:val="19"/>
              </w:rPr>
              <w:t>0%</w:t>
            </w:r>
          </w:p>
        </w:tc>
        <w:tc>
          <w:tcPr>
            <w:tcW w:type="dxa" w:w="2304"/>
            <w:shd w:val="clear" w:color="auto" w:fill="FFFFFF"/>
            <w:vAlign w:val="center"/>
          </w:tcPr>
          <w:p>
            <w:pPr>
              <w:jc w:val="right"/>
            </w:pPr>
            <w:r>
              <w:rPr>
                <w:b w:val="0"/>
                <w:i w:val="0"/>
                <w:color w:val="222222"/>
                <w:sz w:val="19"/>
              </w:rPr>
              <w:t>Payroll (no employees)</w:t>
            </w:r>
          </w:p>
        </w:tc>
        <w:tc>
          <w:tcPr>
            <w:tcW w:type="dxa" w:w="1872"/>
            <w:shd w:val="clear" w:color="auto" w:fill="FFFFFF"/>
            <w:vAlign w:val="center"/>
          </w:tcPr>
          <w:p>
            <w:pPr>
              <w:jc w:val="right"/>
            </w:pPr>
            <w:r>
              <w:rPr>
                <w:b w:val="0"/>
                <w:i w:val="0"/>
                <w:color w:val="222222"/>
                <w:sz w:val="19"/>
              </w:rPr>
              <w:t>N/A at launch</w:t>
            </w:r>
          </w:p>
        </w:tc>
        <w:tc>
          <w:tcPr>
            <w:tcW w:type="dxa" w:w="2016"/>
            <w:shd w:val="clear" w:color="auto" w:fill="FFFFFF"/>
            <w:vAlign w:val="center"/>
          </w:tcPr>
          <w:p>
            <w:pPr>
              <w:jc w:val="right"/>
            </w:pPr>
            <w:r>
              <w:rPr>
                <w:b w:val="0"/>
                <w:i w:val="0"/>
                <w:color w:val="222222"/>
                <w:sz w:val="19"/>
              </w:rPr>
              <w:t>$0</w:t>
            </w:r>
          </w:p>
        </w:tc>
      </w:tr>
      <w:tr>
        <w:trPr>
          <w:trHeight w:val="369"/>
        </w:trPr>
        <w:tc>
          <w:tcPr>
            <w:tcW w:type="dxa" w:w="3168"/>
            <w:shd w:val="clear" w:color="auto" w:fill="F2F2F2"/>
            <w:vAlign w:val="center"/>
          </w:tcPr>
          <w:p>
            <w:pPr>
              <w:jc w:val="left"/>
            </w:pPr>
            <w:r>
              <w:rPr>
                <w:b w:val="0"/>
                <w:i w:val="0"/>
                <w:color w:val="222222"/>
                <w:sz w:val="19"/>
              </w:rPr>
              <w:t>WSIB</w:t>
            </w:r>
          </w:p>
        </w:tc>
        <w:tc>
          <w:tcPr>
            <w:tcW w:type="dxa" w:w="1440"/>
            <w:shd w:val="clear" w:color="auto" w:fill="F2F2F2"/>
            <w:vAlign w:val="center"/>
          </w:tcPr>
          <w:p>
            <w:pPr>
              <w:jc w:val="right"/>
            </w:pPr>
            <w:r>
              <w:rPr>
                <w:b w:val="0"/>
                <w:i w:val="0"/>
                <w:color w:val="222222"/>
                <w:sz w:val="19"/>
              </w:rPr>
              <w:t>Varies</w:t>
            </w:r>
          </w:p>
        </w:tc>
        <w:tc>
          <w:tcPr>
            <w:tcW w:type="dxa" w:w="2304"/>
            <w:shd w:val="clear" w:color="auto" w:fill="F2F2F2"/>
            <w:vAlign w:val="center"/>
          </w:tcPr>
          <w:p>
            <w:pPr>
              <w:jc w:val="right"/>
            </w:pPr>
            <w:r>
              <w:rPr>
                <w:b w:val="0"/>
                <w:i w:val="0"/>
                <w:color w:val="222222"/>
                <w:sz w:val="19"/>
              </w:rPr>
              <w:t>Payroll (no employees)</w:t>
            </w:r>
          </w:p>
        </w:tc>
        <w:tc>
          <w:tcPr>
            <w:tcW w:type="dxa" w:w="1872"/>
            <w:shd w:val="clear" w:color="auto" w:fill="F2F2F2"/>
            <w:vAlign w:val="center"/>
          </w:tcPr>
          <w:p>
            <w:pPr>
              <w:jc w:val="right"/>
            </w:pPr>
            <w:r>
              <w:rPr>
                <w:b w:val="0"/>
                <w:i w:val="0"/>
                <w:color w:val="222222"/>
                <w:sz w:val="19"/>
              </w:rPr>
              <w:t>N/A at launch</w:t>
            </w:r>
          </w:p>
        </w:tc>
        <w:tc>
          <w:tcPr>
            <w:tcW w:type="dxa" w:w="2016"/>
            <w:shd w:val="clear" w:color="auto" w:fill="F2F2F2"/>
            <w:vAlign w:val="center"/>
          </w:tcPr>
          <w:p>
            <w:pPr>
              <w:jc w:val="right"/>
            </w:pPr>
            <w:r>
              <w:rPr>
                <w:b w:val="0"/>
                <w:i w:val="0"/>
                <w:color w:val="222222"/>
                <w:sz w:val="19"/>
              </w:rPr>
              <w:t>$0</w:t>
            </w:r>
          </w:p>
        </w:tc>
      </w:tr>
    </w:tbl>
    <w:p>
      <w:pPr>
        <w:spacing w:after="80"/>
      </w:pPr>
    </w:p>
    <w:p>
      <w:pPr>
        <w:spacing w:after="80" w:before="40"/>
      </w:pPr>
      <w:r>
        <w:rPr>
          <w:b w:val="0"/>
          <w:color w:val="007A87"/>
          <w:sz w:val="20"/>
        </w:rPr>
        <w:t>CCA Strategy: In a loss year (Year 1), do not claim the full CCA deduction. Carry vehicles at full cost in Year 1 and take the deduction in Year 2 when you have taxable income to offset. This maximises the tax shield when it is most valuable. Engage a CPA for the first T2 filing.</w:t>
      </w:r>
    </w:p>
    <w:p>
      <w:pPr>
        <w:spacing w:before="280" w:after="120"/>
        <w:jc w:val="left"/>
      </w:pPr>
      <w:r>
        <w:rPr>
          <w:b/>
          <w:color w:val="0D2B55"/>
          <w:sz w:val="36"/>
        </w:rPr>
        <w:t>8.  Technology ROI — What the Developer Built</w:t>
      </w:r>
    </w:p>
    <w:p>
      <w:pPr>
        <w:pBdr>
          <w:bottom w:val="single" w:sz="6" w:space="1" w:color="007A87"/>
        </w:pBdr>
        <w:spacing w:after="120" w:before="120"/>
      </w:pPr>
    </w:p>
    <w:p>
      <w:pPr>
        <w:spacing w:after="80" w:before="40"/>
      </w:pPr>
      <w:r>
        <w:rPr>
          <w:b w:val="0"/>
          <w:color w:val="222222"/>
          <w:sz w:val="21"/>
        </w:rPr>
        <w:t>The development team built a production-ready system internally. Below is the financial value of that contribution versus external market rates, and the ongoing operational savings the technology generates each month.</w:t>
      </w:r>
    </w:p>
    <w:tbl>
      <w:tblPr>
        <w:tblStyle w:val="TableGrid"/>
        <w:tblW w:type="auto" w:w="0"/>
        <w:jc w:val="center"/>
        <w:tblLook w:firstColumn="1" w:firstRow="1" w:lastColumn="0" w:lastRow="0" w:noHBand="0" w:noVBand="1" w:val="04A0"/>
      </w:tblPr>
      <w:tblGrid>
        <w:gridCol w:w="2340"/>
        <w:gridCol w:w="2340"/>
        <w:gridCol w:w="2340"/>
        <w:gridCol w:w="2340"/>
      </w:tblGrid>
      <w:tr>
        <w:trPr>
          <w:trHeight w:val="397"/>
        </w:trPr>
        <w:tc>
          <w:tcPr>
            <w:tcW w:type="dxa" w:w="3456"/>
            <w:shd w:val="clear" w:color="auto" w:fill="0D2B55"/>
            <w:vAlign w:val="center"/>
          </w:tcPr>
          <w:p>
            <w:pPr>
              <w:jc w:val="center"/>
            </w:pPr>
            <w:r>
              <w:rPr>
                <w:b/>
                <w:i w:val="0"/>
                <w:color w:val="FFFFFF"/>
                <w:sz w:val="19"/>
              </w:rPr>
              <w:t>Component</w:t>
            </w:r>
          </w:p>
        </w:tc>
        <w:tc>
          <w:tcPr>
            <w:tcW w:type="dxa" w:w="2304"/>
            <w:shd w:val="clear" w:color="auto" w:fill="0D2B55"/>
            <w:vAlign w:val="center"/>
          </w:tcPr>
          <w:p>
            <w:pPr>
              <w:jc w:val="center"/>
            </w:pPr>
            <w:r>
              <w:rPr>
                <w:b/>
                <w:i w:val="0"/>
                <w:color w:val="FFFFFF"/>
                <w:sz w:val="19"/>
              </w:rPr>
              <w:t>Agency Build Cost</w:t>
            </w:r>
          </w:p>
        </w:tc>
        <w:tc>
          <w:tcPr>
            <w:tcW w:type="dxa" w:w="2736"/>
            <w:shd w:val="clear" w:color="auto" w:fill="0D2B55"/>
            <w:vAlign w:val="center"/>
          </w:tcPr>
          <w:p>
            <w:pPr>
              <w:jc w:val="center"/>
            </w:pPr>
            <w:r>
              <w:rPr>
                <w:b/>
                <w:i w:val="0"/>
                <w:color w:val="FFFFFF"/>
                <w:sz w:val="19"/>
              </w:rPr>
              <w:t>Ongoing Monthly Saving</w:t>
            </w:r>
          </w:p>
        </w:tc>
        <w:tc>
          <w:tcPr>
            <w:tcW w:type="dxa" w:w="2304"/>
            <w:shd w:val="clear" w:color="auto" w:fill="0D2B55"/>
            <w:vAlign w:val="center"/>
          </w:tcPr>
          <w:p>
            <w:pPr>
              <w:jc w:val="center"/>
            </w:pPr>
            <w:r>
              <w:rPr>
                <w:b/>
                <w:i w:val="0"/>
                <w:color w:val="FFFFFF"/>
                <w:sz w:val="19"/>
              </w:rPr>
              <w:t>Payback vs. Manual</w:t>
            </w:r>
          </w:p>
        </w:tc>
      </w:tr>
      <w:tr>
        <w:trPr>
          <w:trHeight w:val="369"/>
        </w:trPr>
        <w:tc>
          <w:tcPr>
            <w:tcW w:type="dxa" w:w="3456"/>
            <w:shd w:val="clear" w:color="auto" w:fill="FFFFFF"/>
            <w:vAlign w:val="center"/>
          </w:tcPr>
          <w:p>
            <w:pPr>
              <w:jc w:val="left"/>
            </w:pPr>
            <w:r>
              <w:rPr>
                <w:b w:val="0"/>
                <w:i w:val="0"/>
                <w:color w:val="222222"/>
                <w:sz w:val="19"/>
              </w:rPr>
              <w:t>Renter application + verification</w:t>
            </w:r>
          </w:p>
        </w:tc>
        <w:tc>
          <w:tcPr>
            <w:tcW w:type="dxa" w:w="2304"/>
            <w:shd w:val="clear" w:color="auto" w:fill="FFFFFF"/>
            <w:vAlign w:val="center"/>
          </w:tcPr>
          <w:p>
            <w:pPr>
              <w:jc w:val="right"/>
            </w:pPr>
            <w:r>
              <w:rPr>
                <w:b w:val="0"/>
                <w:i w:val="0"/>
                <w:color w:val="222222"/>
                <w:sz w:val="19"/>
              </w:rPr>
              <w:t>$8,000–$15,000</w:t>
            </w:r>
          </w:p>
        </w:tc>
        <w:tc>
          <w:tcPr>
            <w:tcW w:type="dxa" w:w="2736"/>
            <w:shd w:val="clear" w:color="auto" w:fill="FFFFFF"/>
            <w:vAlign w:val="center"/>
          </w:tcPr>
          <w:p>
            <w:pPr>
              <w:jc w:val="right"/>
            </w:pPr>
            <w:r>
              <w:rPr>
                <w:b w:val="0"/>
                <w:i w:val="0"/>
                <w:color w:val="222222"/>
                <w:sz w:val="19"/>
              </w:rPr>
              <w:t>$150–$300 (manual admin hrs)</w:t>
            </w:r>
          </w:p>
        </w:tc>
        <w:tc>
          <w:tcPr>
            <w:tcW w:type="dxa" w:w="2304"/>
            <w:shd w:val="clear" w:color="auto" w:fill="FFFFFF"/>
            <w:vAlign w:val="center"/>
          </w:tcPr>
          <w:p>
            <w:pPr>
              <w:jc w:val="right"/>
            </w:pPr>
            <w:r>
              <w:rPr>
                <w:b w:val="0"/>
                <w:i w:val="0"/>
                <w:color w:val="222222"/>
                <w:sz w:val="19"/>
              </w:rPr>
              <w:t>Immediate</w:t>
            </w:r>
          </w:p>
        </w:tc>
      </w:tr>
      <w:tr>
        <w:trPr>
          <w:trHeight w:val="369"/>
        </w:trPr>
        <w:tc>
          <w:tcPr>
            <w:tcW w:type="dxa" w:w="3456"/>
            <w:shd w:val="clear" w:color="auto" w:fill="F2F2F2"/>
            <w:vAlign w:val="center"/>
          </w:tcPr>
          <w:p>
            <w:pPr>
              <w:jc w:val="left"/>
            </w:pPr>
            <w:r>
              <w:rPr>
                <w:b w:val="0"/>
                <w:i w:val="0"/>
                <w:color w:val="222222"/>
                <w:sz w:val="19"/>
              </w:rPr>
              <w:t>Admin dashboard + fleet management</w:t>
            </w:r>
          </w:p>
        </w:tc>
        <w:tc>
          <w:tcPr>
            <w:tcW w:type="dxa" w:w="2304"/>
            <w:shd w:val="clear" w:color="auto" w:fill="F2F2F2"/>
            <w:vAlign w:val="center"/>
          </w:tcPr>
          <w:p>
            <w:pPr>
              <w:jc w:val="right"/>
            </w:pPr>
            <w:r>
              <w:rPr>
                <w:b w:val="0"/>
                <w:i w:val="0"/>
                <w:color w:val="222222"/>
                <w:sz w:val="19"/>
              </w:rPr>
              <w:t>$10,000–$20,000</w:t>
            </w:r>
          </w:p>
        </w:tc>
        <w:tc>
          <w:tcPr>
            <w:tcW w:type="dxa" w:w="2736"/>
            <w:shd w:val="clear" w:color="auto" w:fill="F2F2F2"/>
            <w:vAlign w:val="center"/>
          </w:tcPr>
          <w:p>
            <w:pPr>
              <w:jc w:val="right"/>
            </w:pPr>
            <w:r>
              <w:rPr>
                <w:b w:val="0"/>
                <w:i w:val="0"/>
                <w:color w:val="222222"/>
                <w:sz w:val="19"/>
              </w:rPr>
              <w:t>$200–$400 (spreadsheet hrs)</w:t>
            </w:r>
          </w:p>
        </w:tc>
        <w:tc>
          <w:tcPr>
            <w:tcW w:type="dxa" w:w="2304"/>
            <w:shd w:val="clear" w:color="auto" w:fill="F2F2F2"/>
            <w:vAlign w:val="center"/>
          </w:tcPr>
          <w:p>
            <w:pPr>
              <w:jc w:val="right"/>
            </w:pPr>
            <w:r>
              <w:rPr>
                <w:b w:val="0"/>
                <w:i w:val="0"/>
                <w:color w:val="222222"/>
                <w:sz w:val="19"/>
              </w:rPr>
              <w:t>Immediate</w:t>
            </w:r>
          </w:p>
        </w:tc>
      </w:tr>
      <w:tr>
        <w:trPr>
          <w:trHeight w:val="369"/>
        </w:trPr>
        <w:tc>
          <w:tcPr>
            <w:tcW w:type="dxa" w:w="3456"/>
            <w:shd w:val="clear" w:color="auto" w:fill="FFFFFF"/>
            <w:vAlign w:val="center"/>
          </w:tcPr>
          <w:p>
            <w:pPr>
              <w:jc w:val="left"/>
            </w:pPr>
            <w:r>
              <w:rPr>
                <w:b w:val="0"/>
                <w:i w:val="0"/>
                <w:color w:val="222222"/>
                <w:sz w:val="19"/>
              </w:rPr>
              <w:t>Stripe automated payments</w:t>
            </w:r>
          </w:p>
        </w:tc>
        <w:tc>
          <w:tcPr>
            <w:tcW w:type="dxa" w:w="2304"/>
            <w:shd w:val="clear" w:color="auto" w:fill="FFFFFF"/>
            <w:vAlign w:val="center"/>
          </w:tcPr>
          <w:p>
            <w:pPr>
              <w:jc w:val="right"/>
            </w:pPr>
            <w:r>
              <w:rPr>
                <w:b w:val="0"/>
                <w:i w:val="0"/>
                <w:color w:val="222222"/>
                <w:sz w:val="19"/>
              </w:rPr>
              <w:t>$5,000–$8,000</w:t>
            </w:r>
          </w:p>
        </w:tc>
        <w:tc>
          <w:tcPr>
            <w:tcW w:type="dxa" w:w="2736"/>
            <w:shd w:val="clear" w:color="auto" w:fill="FFFFFF"/>
            <w:vAlign w:val="center"/>
          </w:tcPr>
          <w:p>
            <w:pPr>
              <w:jc w:val="right"/>
            </w:pPr>
            <w:r>
              <w:rPr>
                <w:b w:val="0"/>
                <w:i w:val="0"/>
                <w:color w:val="222222"/>
                <w:sz w:val="19"/>
              </w:rPr>
              <w:t>$82 saved in collection hrs</w:t>
            </w:r>
          </w:p>
        </w:tc>
        <w:tc>
          <w:tcPr>
            <w:tcW w:type="dxa" w:w="2304"/>
            <w:shd w:val="clear" w:color="auto" w:fill="FFFFFF"/>
            <w:vAlign w:val="center"/>
          </w:tcPr>
          <w:p>
            <w:pPr>
              <w:jc w:val="right"/>
            </w:pPr>
            <w:r>
              <w:rPr>
                <w:b w:val="0"/>
                <w:i w:val="0"/>
                <w:color w:val="222222"/>
                <w:sz w:val="19"/>
              </w:rPr>
              <w:t>Immediate</w:t>
            </w:r>
          </w:p>
        </w:tc>
      </w:tr>
      <w:tr>
        <w:trPr>
          <w:trHeight w:val="369"/>
        </w:trPr>
        <w:tc>
          <w:tcPr>
            <w:tcW w:type="dxa" w:w="3456"/>
            <w:shd w:val="clear" w:color="auto" w:fill="F2F2F2"/>
            <w:vAlign w:val="center"/>
          </w:tcPr>
          <w:p>
            <w:pPr>
              <w:jc w:val="left"/>
            </w:pPr>
            <w:r>
              <w:rPr>
                <w:b w:val="0"/>
                <w:i w:val="0"/>
                <w:color w:val="222222"/>
                <w:sz w:val="19"/>
              </w:rPr>
              <w:t>Bouncie webhook + kill switch</w:t>
            </w:r>
          </w:p>
        </w:tc>
        <w:tc>
          <w:tcPr>
            <w:tcW w:type="dxa" w:w="2304"/>
            <w:shd w:val="clear" w:color="auto" w:fill="F2F2F2"/>
            <w:vAlign w:val="center"/>
          </w:tcPr>
          <w:p>
            <w:pPr>
              <w:jc w:val="right"/>
            </w:pPr>
            <w:r>
              <w:rPr>
                <w:b w:val="0"/>
                <w:i w:val="0"/>
                <w:color w:val="222222"/>
                <w:sz w:val="19"/>
              </w:rPr>
              <w:t>$3,000–$5,000</w:t>
            </w:r>
          </w:p>
        </w:tc>
        <w:tc>
          <w:tcPr>
            <w:tcW w:type="dxa" w:w="2736"/>
            <w:shd w:val="clear" w:color="auto" w:fill="F2F2F2"/>
            <w:vAlign w:val="center"/>
          </w:tcPr>
          <w:p>
            <w:pPr>
              <w:jc w:val="right"/>
            </w:pPr>
            <w:r>
              <w:rPr>
                <w:b w:val="0"/>
                <w:i w:val="0"/>
                <w:color w:val="222222"/>
                <w:sz w:val="19"/>
              </w:rPr>
              <w:t>$100+ (security response hrs)</w:t>
            </w:r>
          </w:p>
        </w:tc>
        <w:tc>
          <w:tcPr>
            <w:tcW w:type="dxa" w:w="2304"/>
            <w:shd w:val="clear" w:color="auto" w:fill="F2F2F2"/>
            <w:vAlign w:val="center"/>
          </w:tcPr>
          <w:p>
            <w:pPr>
              <w:jc w:val="right"/>
            </w:pPr>
            <w:r>
              <w:rPr>
                <w:b w:val="0"/>
                <w:i w:val="0"/>
                <w:color w:val="222222"/>
                <w:sz w:val="19"/>
              </w:rPr>
              <w:t>Immediate</w:t>
            </w:r>
          </w:p>
        </w:tc>
      </w:tr>
      <w:tr>
        <w:trPr>
          <w:trHeight w:val="369"/>
        </w:trPr>
        <w:tc>
          <w:tcPr>
            <w:tcW w:type="dxa" w:w="3456"/>
            <w:shd w:val="clear" w:color="auto" w:fill="FFFFFF"/>
            <w:vAlign w:val="center"/>
          </w:tcPr>
          <w:p>
            <w:pPr>
              <w:jc w:val="left"/>
            </w:pPr>
            <w:r>
              <w:rPr>
                <w:b w:val="0"/>
                <w:i w:val="0"/>
                <w:color w:val="222222"/>
                <w:sz w:val="19"/>
              </w:rPr>
              <w:t>PandaDoc e-signature workflow</w:t>
            </w:r>
          </w:p>
        </w:tc>
        <w:tc>
          <w:tcPr>
            <w:tcW w:type="dxa" w:w="2304"/>
            <w:shd w:val="clear" w:color="auto" w:fill="FFFFFF"/>
            <w:vAlign w:val="center"/>
          </w:tcPr>
          <w:p>
            <w:pPr>
              <w:jc w:val="right"/>
            </w:pPr>
            <w:r>
              <w:rPr>
                <w:b w:val="0"/>
                <w:i w:val="0"/>
                <w:color w:val="222222"/>
                <w:sz w:val="19"/>
              </w:rPr>
              <w:t>$2,000–$4,000</w:t>
            </w:r>
          </w:p>
        </w:tc>
        <w:tc>
          <w:tcPr>
            <w:tcW w:type="dxa" w:w="2736"/>
            <w:shd w:val="clear" w:color="auto" w:fill="FFFFFF"/>
            <w:vAlign w:val="center"/>
          </w:tcPr>
          <w:p>
            <w:pPr>
              <w:jc w:val="right"/>
            </w:pPr>
            <w:r>
              <w:rPr>
                <w:b w:val="0"/>
                <w:i w:val="0"/>
                <w:color w:val="222222"/>
                <w:sz w:val="19"/>
              </w:rPr>
              <w:t>$75 (agreement management)</w:t>
            </w:r>
          </w:p>
        </w:tc>
        <w:tc>
          <w:tcPr>
            <w:tcW w:type="dxa" w:w="2304"/>
            <w:shd w:val="clear" w:color="auto" w:fill="FFFFFF"/>
            <w:vAlign w:val="center"/>
          </w:tcPr>
          <w:p>
            <w:pPr>
              <w:jc w:val="right"/>
            </w:pPr>
            <w:r>
              <w:rPr>
                <w:b w:val="0"/>
                <w:i w:val="0"/>
                <w:color w:val="222222"/>
                <w:sz w:val="19"/>
              </w:rPr>
              <w:t>Immediate</w:t>
            </w:r>
          </w:p>
        </w:tc>
      </w:tr>
      <w:tr>
        <w:trPr>
          <w:trHeight w:val="369"/>
        </w:trPr>
        <w:tc>
          <w:tcPr>
            <w:tcW w:type="dxa" w:w="3456"/>
            <w:shd w:val="clear" w:color="auto" w:fill="F2F2F2"/>
            <w:vAlign w:val="center"/>
          </w:tcPr>
          <w:p>
            <w:pPr>
              <w:jc w:val="left"/>
            </w:pPr>
            <w:r>
              <w:rPr>
                <w:b/>
                <w:i w:val="0"/>
                <w:color w:val="E67E22"/>
                <w:sz w:val="19"/>
              </w:rPr>
              <w:t>TOTAL TECH EQUIVALENT VALUE</w:t>
            </w:r>
          </w:p>
        </w:tc>
        <w:tc>
          <w:tcPr>
            <w:tcW w:type="dxa" w:w="2304"/>
            <w:shd w:val="clear" w:color="auto" w:fill="F2F2F2"/>
            <w:vAlign w:val="center"/>
          </w:tcPr>
          <w:p>
            <w:pPr>
              <w:jc w:val="right"/>
            </w:pPr>
            <w:r>
              <w:rPr>
                <w:b w:val="0"/>
                <w:i w:val="0"/>
                <w:color w:val="222222"/>
                <w:sz w:val="19"/>
              </w:rPr>
              <w:t>$28,000–$52,000</w:t>
            </w:r>
          </w:p>
        </w:tc>
        <w:tc>
          <w:tcPr>
            <w:tcW w:type="dxa" w:w="2736"/>
            <w:shd w:val="clear" w:color="auto" w:fill="F2F2F2"/>
            <w:vAlign w:val="center"/>
          </w:tcPr>
          <w:p>
            <w:pPr>
              <w:jc w:val="right"/>
            </w:pPr>
            <w:r>
              <w:rPr>
                <w:b w:val="0"/>
                <w:i w:val="0"/>
                <w:color w:val="222222"/>
                <w:sz w:val="19"/>
              </w:rPr>
              <w:t>$607–$957/month saved</w:t>
            </w:r>
          </w:p>
        </w:tc>
        <w:tc>
          <w:tcPr>
            <w:tcW w:type="dxa" w:w="2304"/>
            <w:shd w:val="clear" w:color="auto" w:fill="F2F2F2"/>
            <w:vAlign w:val="center"/>
          </w:tcPr>
          <w:p>
            <w:pPr>
              <w:jc w:val="right"/>
            </w:pPr>
            <w:r>
              <w:rPr>
                <w:b w:val="0"/>
                <w:i w:val="0"/>
                <w:color w:val="222222"/>
                <w:sz w:val="19"/>
              </w:rPr>
              <w:t>2.4% of revenue</w:t>
            </w:r>
          </w:p>
        </w:tc>
      </w:tr>
    </w:tbl>
    <w:p>
      <w:pPr>
        <w:spacing w:after="80"/>
      </w:pPr>
    </w:p>
    <w:p>
      <w:pPr>
        <w:spacing w:after="80" w:before="40"/>
      </w:pPr>
      <w:r>
        <w:rPr>
          <w:b/>
          <w:color w:val="1E8449"/>
          <w:sz w:val="20"/>
        </w:rPr>
        <w:t>Gbemiga's technology contribution represents $28,000–$52,000 of capital value contributed to the business. This should be formally recognised in the partnership structure. The ongoing tech stack costs $72–$107/month — against $607–$957/month in operational savings. Monthly tech ROI: 470%–790%.</w:t>
      </w:r>
    </w:p>
    <w:p>
      <w:r>
        <w:br w:type="page"/>
      </w:r>
    </w:p>
    <w:p>
      <w:pPr>
        <w:spacing w:before="280" w:after="120"/>
        <w:jc w:val="left"/>
      </w:pPr>
      <w:r>
        <w:rPr>
          <w:b/>
          <w:color w:val="0D2B55"/>
          <w:sz w:val="36"/>
        </w:rPr>
        <w:t>9.  Final Accountant's Recommendation</w:t>
      </w:r>
    </w:p>
    <w:p>
      <w:pPr>
        <w:pBdr>
          <w:bottom w:val="single" w:sz="6" w:space="1" w:color="007A87"/>
        </w:pBdr>
        <w:spacing w:after="120" w:before="120"/>
      </w:pPr>
    </w:p>
    <w:p>
      <w:pPr>
        <w:spacing w:after="80" w:before="40"/>
      </w:pPr>
      <w:r>
        <w:rPr>
          <w:b/>
          <w:color w:val="0D2B55"/>
          <w:sz w:val="24"/>
        </w:rPr>
        <w:t>PROCEED — with the following actions completed in order:</w:t>
      </w:r>
    </w:p>
    <w:p>
      <w:pPr>
        <w:spacing w:after="40" w:before="40"/>
      </w:pPr>
      <w:r>
        <w:rPr>
          <w:b/>
          <w:color w:val="007A87"/>
          <w:sz w:val="22"/>
        </w:rPr>
        <w:t>IMMEDIATE (Before April 7)</w:t>
      </w:r>
    </w:p>
    <w:p>
      <w:pPr>
        <w:pStyle w:val="ListBullet"/>
        <w:spacing w:after="60" w:before="40"/>
      </w:pPr>
      <w:r>
        <w:rPr>
          <w:color w:val="222222"/>
          <w:sz w:val="20"/>
        </w:rPr>
        <w:t>Confirm $30,085 CAD is liquid in GB Trade business account</w:t>
      </w:r>
    </w:p>
    <w:p>
      <w:pPr>
        <w:pStyle w:val="ListBullet"/>
        <w:spacing w:after="60" w:before="40"/>
      </w:pPr>
      <w:r>
        <w:rPr>
          <w:color w:val="222222"/>
          <w:sz w:val="20"/>
        </w:rPr>
        <w:t>Open dedicated Easy Drive bank account</w:t>
      </w:r>
    </w:p>
    <w:p>
      <w:pPr>
        <w:pStyle w:val="ListBullet"/>
        <w:spacing w:after="60" w:before="40"/>
      </w:pPr>
      <w:r>
        <w:rPr>
          <w:color w:val="222222"/>
          <w:sz w:val="20"/>
        </w:rPr>
        <w:t>Register for HST collection (use existing CRA Business Number)</w:t>
      </w:r>
    </w:p>
    <w:p>
      <w:pPr>
        <w:pStyle w:val="ListBullet"/>
        <w:spacing w:after="60" w:before="40"/>
      </w:pPr>
      <w:r>
        <w:rPr>
          <w:color w:val="222222"/>
          <w:sz w:val="20"/>
        </w:rPr>
        <w:t>Draft partnership agreement between Gbemiga and Dayo</w:t>
      </w:r>
    </w:p>
    <w:p>
      <w:pPr>
        <w:spacing w:after="80"/>
      </w:pPr>
    </w:p>
    <w:p>
      <w:pPr>
        <w:spacing w:after="40" w:before="40"/>
      </w:pPr>
      <w:r>
        <w:rPr>
          <w:b/>
          <w:color w:val="007A87"/>
          <w:sz w:val="22"/>
        </w:rPr>
        <w:t>WEEK 1 (April 7–11)</w:t>
      </w:r>
    </w:p>
    <w:p>
      <w:pPr>
        <w:pStyle w:val="ListBullet"/>
        <w:spacing w:after="60" w:before="40"/>
      </w:pPr>
      <w:r>
        <w:rPr>
          <w:color w:val="222222"/>
          <w:sz w:val="20"/>
        </w:rPr>
        <w:t>Start commercial insurance quotes — 3 brokers minimum</w:t>
      </w:r>
    </w:p>
    <w:p>
      <w:pPr>
        <w:pStyle w:val="ListBullet"/>
        <w:spacing w:after="60" w:before="40"/>
      </w:pPr>
      <w:r>
        <w:rPr>
          <w:color w:val="222222"/>
          <w:sz w:val="20"/>
        </w:rPr>
        <w:t>Purchase vehicles only after insurance quotes confirm affordability</w:t>
      </w:r>
    </w:p>
    <w:p>
      <w:pPr>
        <w:pStyle w:val="ListBullet"/>
        <w:spacing w:after="60" w:before="40"/>
      </w:pPr>
      <w:r>
        <w:rPr>
          <w:color w:val="222222"/>
          <w:sz w:val="20"/>
        </w:rPr>
        <w:t>Register Easy Drive trade name (Ontario Business Registry)</w:t>
      </w:r>
    </w:p>
    <w:p>
      <w:pPr>
        <w:pStyle w:val="ListBullet"/>
        <w:spacing w:after="60" w:before="40"/>
      </w:pPr>
      <w:r>
        <w:rPr>
          <w:color w:val="222222"/>
          <w:sz w:val="20"/>
        </w:rPr>
        <w:t>Set up Wave Accounting (free) for bookkeeping</w:t>
      </w:r>
    </w:p>
    <w:p>
      <w:pPr>
        <w:spacing w:after="80"/>
      </w:pPr>
    </w:p>
    <w:p>
      <w:pPr>
        <w:spacing w:after="40" w:before="40"/>
      </w:pPr>
      <w:r>
        <w:rPr>
          <w:b/>
          <w:color w:val="007A87"/>
          <w:sz w:val="22"/>
        </w:rPr>
        <w:t>WEEK 2 (April 14–18)</w:t>
      </w:r>
    </w:p>
    <w:p>
      <w:pPr>
        <w:pStyle w:val="ListBullet"/>
        <w:spacing w:after="60" w:before="40"/>
      </w:pPr>
      <w:r>
        <w:rPr>
          <w:color w:val="222222"/>
          <w:sz w:val="20"/>
        </w:rPr>
        <w:t>Bind commercial insurance policy</w:t>
      </w:r>
    </w:p>
    <w:p>
      <w:pPr>
        <w:pStyle w:val="ListBullet"/>
        <w:spacing w:after="60" w:before="40"/>
      </w:pPr>
      <w:r>
        <w:rPr>
          <w:color w:val="222222"/>
          <w:sz w:val="20"/>
        </w:rPr>
        <w:t>Begin HST tracking from the day of first rental</w:t>
      </w:r>
    </w:p>
    <w:p>
      <w:pPr>
        <w:pStyle w:val="ListBullet"/>
        <w:spacing w:after="60" w:before="40"/>
      </w:pPr>
      <w:r>
        <w:rPr>
          <w:color w:val="222222"/>
          <w:sz w:val="20"/>
        </w:rPr>
        <w:t>Engage paralegal for rental agreement review</w:t>
      </w:r>
    </w:p>
    <w:p>
      <w:pPr>
        <w:spacing w:after="80"/>
      </w:pPr>
    </w:p>
    <w:p>
      <w:pPr>
        <w:spacing w:after="40" w:before="40"/>
      </w:pPr>
      <w:r>
        <w:rPr>
          <w:b/>
          <w:color w:val="007A87"/>
          <w:sz w:val="22"/>
        </w:rPr>
        <w:t>ONGOING — MONTHLY</w:t>
      </w:r>
    </w:p>
    <w:p>
      <w:pPr>
        <w:pStyle w:val="ListBullet"/>
        <w:spacing w:after="60" w:before="40"/>
      </w:pPr>
      <w:r>
        <w:rPr>
          <w:color w:val="222222"/>
          <w:sz w:val="20"/>
        </w:rPr>
        <w:t>Track P&amp;L against the model in Sheet 07 of the Excel workbook</w:t>
      </w:r>
    </w:p>
    <w:p>
      <w:pPr>
        <w:pStyle w:val="ListBullet"/>
        <w:spacing w:after="60" w:before="40"/>
      </w:pPr>
      <w:r>
        <w:rPr>
          <w:color w:val="222222"/>
          <w:sz w:val="20"/>
        </w:rPr>
        <w:t>Segregate HST collected into a separate account</w:t>
      </w:r>
    </w:p>
    <w:p>
      <w:pPr>
        <w:pStyle w:val="ListBullet"/>
        <w:spacing w:after="60" w:before="40"/>
      </w:pPr>
      <w:r>
        <w:rPr>
          <w:color w:val="222222"/>
          <w:sz w:val="20"/>
        </w:rPr>
        <w:t>Review cash reserve — maintain $5,000 minimum</w:t>
      </w:r>
    </w:p>
    <w:p>
      <w:pPr>
        <w:pStyle w:val="ListBullet"/>
        <w:spacing w:after="60" w:before="40"/>
      </w:pPr>
      <w:r>
        <w:rPr>
          <w:color w:val="222222"/>
          <w:sz w:val="20"/>
        </w:rPr>
        <w:t>Review maintenance costs vs. $900/car/month budget</w:t>
      </w:r>
    </w:p>
    <w:p>
      <w:pPr>
        <w:spacing w:after="80"/>
      </w:pPr>
    </w:p>
    <w:p>
      <w:pPr>
        <w:pBdr>
          <w:bottom w:val="single" w:sz="6" w:space="1" w:color="007A87"/>
        </w:pBdr>
        <w:spacing w:after="120" w:before="120"/>
      </w:pPr>
    </w:p>
    <w:p>
      <w:pPr>
        <w:spacing w:after="80" w:before="40"/>
      </w:pPr>
      <w:r>
        <w:rPr>
          <w:b w:val="0"/>
          <w:color w:val="F2F2F2"/>
          <w:sz w:val="18"/>
        </w:rPr>
        <w:t>This report was prepared based on information provided by the Solutions Architect, Lead Developer, and Product Designer teams as of April 2026. All projections are estimates and subject to revision as actual operating data becomes available. Review this model monthly against the Monthly Tracker (Sheet 07 of Easy_Drive_Financial_Model.xlsx).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