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13D2E"/>
          <w:sz w:val="18"/>
          <w:szCs w:val="18"/>
        </w:rPr>
        <w:t xml:space="preserve">NOTE TECHNIQUE</w:t>
      </w:r>
    </w:p>
    <w:p>
      <w:pPr>
        <w:spacing w:after="100"/>
      </w:pPr>
      <w:r>
        <w:rPr>
          <w:b/>
          <w:bCs/>
          <w:color w:val="2B2620"/>
          <w:sz w:val="32"/>
          <w:szCs w:val="32"/>
        </w:rPr>
        <w:t xml:space="preserve">Gestion des identités et des accès — état des lieux du processus face aux évolutions normatives</w:t>
      </w:r>
    </w:p>
    <w:p>
      <w:pPr>
        <w:pBdr>
          <w:bottom w:val="single" w:color="D9CFB2" w:sz="6" w:space="8"/>
        </w:pBdr>
        <w:spacing w:after="300"/>
      </w:pPr>
      <w:r>
        <w:rPr>
          <w:i/>
          <w:iCs/>
          <w:color w:val="6E6252"/>
          <w:sz w:val="18"/>
          <w:szCs w:val="18"/>
        </w:rPr>
        <w:t xml:space="preserve">Rédigé par : [Nom, Prénom] · Date : [JJ/MM/AAAA] · Destinataire : [Direction / RSSI]</w:t>
      </w:r>
    </w:p>
    <w:p>
      <w:pPr>
        <w:pStyle w:val="Heading2"/>
      </w:pPr>
      <w:r>
        <w:t xml:space="preserve">1. Objet de la note</w:t>
      </w:r>
    </w:p>
    <w:p>
      <w:pPr>
        <w:spacing w:after="140"/>
      </w:pPr>
      <w:r>
        <w:rPr>
          <w:sz w:val="21"/>
          <w:szCs w:val="21"/>
        </w:rPr>
        <w:t xml:space="preserve">Cette note dresse un état des lieux de notre processus de revue d'accès au regard des évolutions normatives et des pratiques du secteur, au-delà du seul sujet des mots de passe déjà documenté par ailleurs. Elle couvre le cadre réglementaire de référence, les évolutions de l'authentification, du principe de moindre privilège, et du modèle même de revue périodique.</w:t>
      </w:r>
    </w:p>
    <w:p>
      <w:pPr>
        <w:pStyle w:val="Heading2"/>
      </w:pPr>
      <w:r>
        <w:t xml:space="preserve">2. Cadre normatif de référence</w:t>
      </w:r>
    </w:p>
    <w:p>
      <w:pPr>
        <w:spacing w:after="140"/>
      </w:pPr>
      <w:r>
        <w:rPr>
          <w:sz w:val="21"/>
          <w:szCs w:val="21"/>
        </w:rPr>
        <w:t xml:space="preserve">Trois référentiels structurent aujourd'hui les exigences de revue d'accès applicables à la plupart des organisations :</w:t>
      </w:r>
    </w:p>
    <w:p>
      <w:pPr>
        <w:pStyle w:val="ListParagraph"/>
        <w:numPr>
          <w:ilvl w:val="0"/>
          <w:numId w:val="2"/>
        </w:numPr>
        <w:spacing w:after="70"/>
      </w:pPr>
      <w:r>
        <w:t xml:space="preserve">ISO/IEC 27001:2022, Annexe A — contrôle A.5.18 (Droits d'accès) : provisionnement, revue, modification et retrait des accès conformes à la politique de contrôle d'accès. Contrôle A.8.2 dédié aux accès à privilèges.</w:t>
      </w:r>
    </w:p>
    <w:p>
      <w:pPr>
        <w:pStyle w:val="ListParagraph"/>
        <w:numPr>
          <w:ilvl w:val="0"/>
          <w:numId w:val="2"/>
        </w:numPr>
        <w:spacing w:after="70"/>
      </w:pPr>
      <w:r>
        <w:t xml:space="preserve">SOC 2 — Common Criteria CC6.1 à CC6.3 : restriction des accès logiques, enregistrement et autorisation des utilisateurs, retrait des accès devenus inutiles.</w:t>
      </w:r>
    </w:p>
    <w:p>
      <w:pPr>
        <w:pStyle w:val="ListParagraph"/>
        <w:numPr>
          <w:ilvl w:val="0"/>
          <w:numId w:val="2"/>
        </w:numPr>
        <w:spacing w:after="70"/>
      </w:pPr>
      <w:r>
        <w:t xml:space="preserve">NIS2 (Directive UE 2022/2555), Article 21 : politiques de contrôle d'accès parmi les mesures de gestion des risques exigées, rendant les revues périodiques une attente de base pour les entités concernées.</w:t>
      </w:r>
    </w:p>
    <w:p>
      <w:pPr>
        <w:spacing w:after="140"/>
      </w:pPr>
      <w:r>
        <w:rPr>
          <w:sz w:val="21"/>
          <w:szCs w:val="21"/>
        </w:rPr>
        <w:t xml:space="preserve">Point commun aux trois référentiels : aucun n'impose de fréquence chiffrée universelle (ni "90 jours", ni "trimestriel") — chaque organisation doit définir sa propre fréquence selon son analyse de risque, puis la documenter et la respecter dans la durée. Le point de non-conformité le plus fréquent constaté en audit n'est pas le choix d'une fréquence, mais l'écart entre une politique écrite et la pratique réelle (ex. "revues trimestrielles" annoncées, sans trace des trois derniers cycles).</w:t>
      </w:r>
    </w:p>
    <w:p>
      <w:pPr>
        <w:pStyle w:val="Heading2"/>
      </w:pPr>
      <w:r>
        <w:t xml:space="preserve">3. Rotation des mots de passe</w:t>
      </w:r>
    </w:p>
    <w:p>
      <w:pPr>
        <w:spacing w:after="140"/>
      </w:pPr>
      <w:r>
        <w:rPr>
          <w:sz w:val="21"/>
          <w:szCs w:val="21"/>
        </w:rPr>
        <w:t xml:space="preserve">Déjà traité en détail dans une note dédiée : ANSSI (2021, MAJ 2024) et NIST SP 800-63B (révisé 2024) ont abandonné la rotation périodique systématique pour les comptes standards, au profit d'un changement déclenché uniquement par une compromission avérée ou suspectée. La CNIL confirme cette position (délibération n° 2022-100, 2022). Les comptes à privilèges restent une exception assumée où une rotation encadrée demeure justifiée.</w:t>
      </w:r>
    </w:p>
    <w:p>
      <w:pPr>
        <w:pStyle w:val="Heading2"/>
      </w:pPr>
      <w:r>
        <w:t xml:space="preserve">4. Authentification : la sortie progressive du mot de passe seul</w:t>
      </w:r>
    </w:p>
    <w:p>
      <w:pPr>
        <w:spacing w:after="140"/>
      </w:pPr>
      <w:r>
        <w:rPr>
          <w:sz w:val="21"/>
          <w:szCs w:val="21"/>
        </w:rPr>
        <w:t xml:space="preserve">Le mot de passe seul n'est plus considéré comme un facteur d'authentification suffisant par la plupart des référentiels actuels :</w:t>
      </w:r>
    </w:p>
    <w:p>
      <w:pPr>
        <w:pStyle w:val="ListParagraph"/>
        <w:numPr>
          <w:ilvl w:val="0"/>
          <w:numId w:val="2"/>
        </w:numPr>
        <w:spacing w:after="70"/>
      </w:pPr>
      <w:r>
        <w:t xml:space="preserve">L'authentification multifacteur (MFA) devient la norme de base attendue, en particulier pour les comptes à privilèges — plusieurs sources sectorielles la considèrent désormais comme un prérequis plutôt qu'une option.</w:t>
      </w:r>
    </w:p>
    <w:p>
      <w:pPr>
        <w:pStyle w:val="ListParagraph"/>
        <w:numPr>
          <w:ilvl w:val="0"/>
          <w:numId w:val="2"/>
        </w:numPr>
        <w:spacing w:after="70"/>
      </w:pPr>
      <w:r>
        <w:t xml:space="preserve">Les passkeys (FIDO2/WebAuthn) — authentification sans mot de passe reposant sur un mécanisme cryptographique lié à l'appareil ou à la biométrie — sont en déploiement progressif chez plusieurs grands fournisseurs, sans remplacement généralisé à court terme.</w:t>
      </w:r>
    </w:p>
    <w:p>
      <w:pPr>
        <w:pStyle w:val="ListParagraph"/>
        <w:numPr>
          <w:ilvl w:val="0"/>
          <w:numId w:val="2"/>
        </w:numPr>
        <w:spacing w:after="70"/>
      </w:pPr>
      <w:r>
        <w:t xml:space="preserve">La tendance dominante pour 2026 est un modèle hybride : mot de passe, MFA, biométrie et passkeys coexistent, plutôt qu'un remplacement complet et immédiat.</w:t>
      </w:r>
    </w:p>
    <w:p>
      <w:pPr>
        <w:pStyle w:val="Heading2"/>
      </w:pPr>
      <w:r>
        <w:t xml:space="preserve">5. Principe de moindre privilège : vers l'accès temporaire</w:t>
      </w:r>
    </w:p>
    <w:p>
      <w:pPr>
        <w:spacing w:after="140"/>
      </w:pPr>
      <w:r>
        <w:rPr>
          <w:sz w:val="21"/>
          <w:szCs w:val="21"/>
        </w:rPr>
        <w:t xml:space="preserve">Au-delà de la simple revue périodique des droits existants, le secteur évolue vers une limitation active des privilèges dans le temps :</w:t>
      </w:r>
    </w:p>
    <w:p>
      <w:pPr>
        <w:pStyle w:val="ListParagraph"/>
        <w:numPr>
          <w:ilvl w:val="0"/>
          <w:numId w:val="2"/>
        </w:numPr>
        <w:spacing w:after="70"/>
      </w:pPr>
      <w:r>
        <w:t xml:space="preserve">Accès juste-à-temps (Just-In-Time / JIT) : les droits à privilèges sont accordés pour une durée limitée et un usage précis, plutôt que maintenus en permanence.</w:t>
      </w:r>
    </w:p>
    <w:p>
      <w:pPr>
        <w:pStyle w:val="ListParagraph"/>
        <w:numPr>
          <w:ilvl w:val="0"/>
          <w:numId w:val="2"/>
        </w:numPr>
        <w:spacing w:after="70"/>
      </w:pPr>
      <w:r>
        <w:t xml:space="preserve">Zero Standing Privilege : réduction, voire suppression, des privilèges permanents — un compte administrateur ne dispose de droits élevés que le temps de la tâche qui le justifie.</w:t>
      </w:r>
    </w:p>
    <w:p>
      <w:pPr>
        <w:pStyle w:val="ListParagraph"/>
        <w:numPr>
          <w:ilvl w:val="0"/>
          <w:numId w:val="2"/>
        </w:numPr>
        <w:spacing w:after="70"/>
      </w:pPr>
      <w:r>
        <w:t xml:space="preserve">Cette approche répond directement à un constat récurrent des retours d'expérience du secteur : les comptes à privilèges dormants ou mal surveillés restent un point d'entrée privilégié pour un attaquant — exactement ce que notre outil détecte déjà (comptes privilégiés dormants, mots de passe n'expirant jamais sur compte à privilèges).</w:t>
      </w:r>
    </w:p>
    <w:p>
      <w:pPr>
        <w:pStyle w:val="Heading2"/>
      </w:pPr>
      <w:r>
        <w:t xml:space="preserve">6. Revue périodique vs vérification continue</w:t>
      </w:r>
    </w:p>
    <w:p>
      <w:pPr>
        <w:spacing w:after="140"/>
      </w:pPr>
      <w:r>
        <w:rPr>
          <w:sz w:val="21"/>
          <w:szCs w:val="21"/>
        </w:rPr>
        <w:t xml:space="preserve">Un changement de modèle plus profond se dessine derrière l'approche Zero Trust : la confiance n'est plus accordée une fois puis réévaluée à échéance fixe (revue trimestrielle ou annuelle), mais vérifiée en continu à chaque interaction, sur la base de signaux de comportement et de contexte plutôt que d'une photographie ponctuelle.</w:t>
      </w:r>
    </w:p>
    <w:p>
      <w:pPr>
        <w:spacing w:after="140"/>
      </w:pPr>
      <w:r>
        <w:rPr>
          <w:sz w:val="21"/>
          <w:szCs w:val="21"/>
        </w:rPr>
        <w:t xml:space="preserve">Notre processus actuel — comme la grande majorité des organisations aujourd'hui — reste fondé sur des revues périodiques (photographie à un instant donné, analysée après coup). Ce n'est pas un défaut : c'est le modèle que documentent encore ISO 27001, SOC 2 et NIS2 eux-mêmes. La vérification continue reste, pour la plupart des organisations, un horizon de moyen terme plutôt qu'une attente immédiate — mais c'est une évolution à garder en ligne de mire dans la feuille de route de l'outil.</w:t>
      </w:r>
    </w:p>
    <w:p>
      <w:pPr>
        <w:pStyle w:val="Heading2"/>
      </w:pPr>
      <w:r>
        <w:t xml:space="preserve">7. Identités non humaines : un périmètre qui s'élargit</w:t>
      </w:r>
    </w:p>
    <w:p>
      <w:pPr>
        <w:spacing w:after="140"/>
      </w:pPr>
      <w:r>
        <w:rPr>
          <w:sz w:val="21"/>
          <w:szCs w:val="21"/>
        </w:rPr>
        <w:t xml:space="preserve">Les comptes de service ne sont plus la seule catégorie d'identité non humaine à surveiller : agents IA autonomes et API s'ajoutent désormais au périmètre de gouvernance des accès dans les organisations les plus avancées sur le sujet. Notre outil couvre déjà la détection des comptes de service par convention de nommage ; l'extension à d'autres types d'identités non humaines reste un chantier ouvert, à ne considérer que si un besoin réel se présente.</w:t>
      </w:r>
    </w:p>
    <w:p>
      <w:pPr>
        <w:pStyle w:val="Heading2"/>
      </w:pPr>
      <w:r>
        <w:t xml:space="preserve">8. Récapitulatif — où nous en sommes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50"/>
      </w:tblGrid>
      <w:tr>
        <w:trPr>
          <w:tblHeader/>
        </w:trPr>
        <w:tc>
          <w:tcPr>
            <w:tcW w:type="dxa" w:w="5200"/>
            <w:shd w:fill="0E6E57" w:val="clear"/>
          </w:tcPr>
          <w:p>
            <w:r>
              <w:rPr>
                <w:b/>
                <w:bCs/>
                <w:color w:val="FFFFFF"/>
                <w:sz w:val="19"/>
                <w:szCs w:val="19"/>
              </w:rPr>
              <w:t xml:space="preserve">Réforme</w:t>
            </w:r>
          </w:p>
        </w:tc>
        <w:tc>
          <w:tcPr>
            <w:tcW w:type="dxa" w:w="2200"/>
            <w:shd w:fill="0E6E57" w:val="clear"/>
          </w:tcPr>
          <w:p>
            <w:r>
              <w:rPr>
                <w:b/>
                <w:bCs/>
                <w:color w:val="FFFFFF"/>
                <w:sz w:val="19"/>
                <w:szCs w:val="19"/>
              </w:rPr>
              <w:t xml:space="preserve">Chez nous aujourd'hui</w:t>
            </w:r>
          </w:p>
        </w:tc>
        <w:tc>
          <w:tcPr>
            <w:tcW w:type="dxa" w:w="1950"/>
            <w:shd w:fill="0E6E57" w:val="clear"/>
          </w:tcPr>
          <w:p>
            <w:r>
              <w:rPr>
                <w:b/>
                <w:bCs/>
                <w:color w:val="FFFFFF"/>
                <w:sz w:val="19"/>
                <w:szCs w:val="19"/>
              </w:rPr>
              <w:t xml:space="preserve">Statut</w:t>
            </w:r>
          </w:p>
        </w:tc>
      </w:tr>
      <w:tr>
        <w:tc>
          <w:tcPr>
            <w:tcW w:type="dxa" w:w="5200"/>
          </w:tcPr>
          <w:p>
            <w:r>
              <w:rPr>
                <w:sz w:val="19"/>
                <w:szCs w:val="19"/>
              </w:rPr>
              <w:t xml:space="preserve">Cadre normatif (ISO 27001 / SOC 2 / NIS2)</w:t>
            </w:r>
          </w:p>
        </w:tc>
        <w:tc>
          <w:tcPr>
            <w:tcW w:type="dxa" w:w="2200"/>
          </w:tcPr>
          <w:p>
            <w:r>
              <w:rPr>
                <w:sz w:val="19"/>
                <w:szCs w:val="19"/>
              </w:rPr>
              <w:t xml:space="preserve">Revues périodiques, seuils propres à définir</w:t>
            </w:r>
          </w:p>
        </w:tc>
        <w:tc>
          <w:tcPr>
            <w:tcW w:type="dxa" w:w="1950"/>
          </w:tcPr>
          <w:p>
            <w:r>
              <w:rPr>
                <w:b/>
                <w:bCs/>
                <w:color w:val="0E6E57"/>
                <w:sz w:val="19"/>
                <w:szCs w:val="19"/>
              </w:rPr>
              <w:t xml:space="preserve">Aligné</w:t>
            </w:r>
          </w:p>
        </w:tc>
      </w:tr>
      <w:tr>
        <w:tc>
          <w:tcPr>
            <w:tcW w:type="dxa" w:w="5200"/>
            <w:shd w:fill="F3EEE1" w:val="clear"/>
          </w:tcPr>
          <w:p>
            <w:r>
              <w:rPr>
                <w:sz w:val="19"/>
                <w:szCs w:val="19"/>
              </w:rPr>
              <w:t xml:space="preserve">Rotation des mots de passe</w:t>
            </w:r>
          </w:p>
        </w:tc>
        <w:tc>
          <w:tcPr>
            <w:tcW w:type="dxa" w:w="2200"/>
            <w:shd w:fill="F3EEE1" w:val="clear"/>
          </w:tcPr>
          <w:p>
            <w:r>
              <w:rPr>
                <w:sz w:val="19"/>
                <w:szCs w:val="19"/>
              </w:rPr>
              <w:t xml:space="preserve">90 jours, tous comptes standards</w:t>
            </w:r>
          </w:p>
        </w:tc>
        <w:tc>
          <w:tcPr>
            <w:tcW w:type="dxa" w:w="1950"/>
            <w:shd w:fill="F3EEE1" w:val="clear"/>
          </w:tcPr>
          <w:p>
            <w:r>
              <w:rPr>
                <w:b/>
                <w:bCs/>
                <w:color w:val="A13D2E"/>
                <w:sz w:val="19"/>
                <w:szCs w:val="19"/>
              </w:rPr>
              <w:t xml:space="preserve">Écart documenté</w:t>
            </w:r>
          </w:p>
        </w:tc>
      </w:tr>
      <w:tr>
        <w:tc>
          <w:tcPr>
            <w:tcW w:type="dxa" w:w="5200"/>
          </w:tcPr>
          <w:p>
            <w:r>
              <w:rPr>
                <w:sz w:val="19"/>
                <w:szCs w:val="19"/>
              </w:rPr>
              <w:t xml:space="preserve">MFA sur comptes à privilèges</w:t>
            </w:r>
          </w:p>
        </w:tc>
        <w:tc>
          <w:tcPr>
            <w:tcW w:type="dxa" w:w="2200"/>
          </w:tcPr>
          <w:p>
            <w:r>
              <w:rPr>
                <w:sz w:val="19"/>
                <w:szCs w:val="19"/>
              </w:rPr>
              <w:t xml:space="preserve">Non couvert par l'outil (dépend des systèmes eux-mêmes)</w:t>
            </w:r>
          </w:p>
        </w:tc>
        <w:tc>
          <w:tcPr>
            <w:tcW w:type="dxa" w:w="1950"/>
          </w:tcPr>
          <w:p>
            <w:r>
              <w:rPr>
                <w:b/>
                <w:bCs/>
                <w:color w:val="A13D2E"/>
                <w:sz w:val="19"/>
                <w:szCs w:val="19"/>
              </w:rPr>
              <w:t xml:space="preserve">Hors périmètre outil</w:t>
            </w:r>
          </w:p>
        </w:tc>
      </w:tr>
      <w:tr>
        <w:tc>
          <w:tcPr>
            <w:tcW w:type="dxa" w:w="5200"/>
            <w:shd w:fill="F3EEE1" w:val="clear"/>
          </w:tcPr>
          <w:p>
            <w:r>
              <w:rPr>
                <w:sz w:val="19"/>
                <w:szCs w:val="19"/>
              </w:rPr>
              <w:t xml:space="preserve">Comptes à privilèges dormants / MDP n'expirant jamais</w:t>
            </w:r>
          </w:p>
        </w:tc>
        <w:tc>
          <w:tcPr>
            <w:tcW w:type="dxa" w:w="2200"/>
            <w:shd w:fill="F3EEE1" w:val="clear"/>
          </w:tcPr>
          <w:p>
            <w:r>
              <w:rPr>
                <w:sz w:val="19"/>
                <w:szCs w:val="19"/>
              </w:rPr>
              <w:t xml:space="preserve">Détecté automatiquement, risque Critique</w:t>
            </w:r>
          </w:p>
        </w:tc>
        <w:tc>
          <w:tcPr>
            <w:tcW w:type="dxa" w:w="1950"/>
            <w:shd w:fill="F3EEE1" w:val="clear"/>
          </w:tcPr>
          <w:p>
            <w:r>
              <w:rPr>
                <w:b/>
                <w:bCs/>
                <w:color w:val="0E6E57"/>
                <w:sz w:val="19"/>
                <w:szCs w:val="19"/>
              </w:rPr>
              <w:t xml:space="preserve">Aligné</w:t>
            </w:r>
          </w:p>
        </w:tc>
      </w:tr>
      <w:tr>
        <w:tc>
          <w:tcPr>
            <w:tcW w:type="dxa" w:w="5200"/>
          </w:tcPr>
          <w:p>
            <w:r>
              <w:rPr>
                <w:sz w:val="19"/>
                <w:szCs w:val="19"/>
              </w:rPr>
              <w:t xml:space="preserve">Accès juste-à-temps / Zero Standing Privilege</w:t>
            </w:r>
          </w:p>
        </w:tc>
        <w:tc>
          <w:tcPr>
            <w:tcW w:type="dxa" w:w="2200"/>
          </w:tcPr>
          <w:p>
            <w:r>
              <w:rPr>
                <w:sz w:val="19"/>
                <w:szCs w:val="19"/>
              </w:rPr>
              <w:t xml:space="preserve">Non applicable à un outil de revue périodique</w:t>
            </w:r>
          </w:p>
        </w:tc>
        <w:tc>
          <w:tcPr>
            <w:tcW w:type="dxa" w:w="1950"/>
          </w:tcPr>
          <w:p>
            <w:r>
              <w:rPr>
                <w:b/>
                <w:bCs/>
                <w:color w:val="A13D2E"/>
                <w:sz w:val="19"/>
                <w:szCs w:val="19"/>
              </w:rPr>
              <w:t xml:space="preserve">Évolution à moyen terme</w:t>
            </w:r>
          </w:p>
        </w:tc>
      </w:tr>
      <w:tr>
        <w:tc>
          <w:tcPr>
            <w:tcW w:type="dxa" w:w="5200"/>
            <w:shd w:fill="F3EEE1" w:val="clear"/>
          </w:tcPr>
          <w:p>
            <w:r>
              <w:rPr>
                <w:sz w:val="19"/>
                <w:szCs w:val="19"/>
              </w:rPr>
              <w:t xml:space="preserve">Comptes de service (identités non humaines)</w:t>
            </w:r>
          </w:p>
        </w:tc>
        <w:tc>
          <w:tcPr>
            <w:tcW w:type="dxa" w:w="2200"/>
            <w:shd w:fill="F3EEE1" w:val="clear"/>
          </w:tcPr>
          <w:p>
            <w:r>
              <w:rPr>
                <w:sz w:val="19"/>
                <w:szCs w:val="19"/>
              </w:rPr>
              <w:t xml:space="preserve">Détecté par convention de nommage</w:t>
            </w:r>
          </w:p>
        </w:tc>
        <w:tc>
          <w:tcPr>
            <w:tcW w:type="dxa" w:w="1950"/>
            <w:shd w:fill="F3EEE1" w:val="clear"/>
          </w:tcPr>
          <w:p>
            <w:r>
              <w:rPr>
                <w:b/>
                <w:bCs/>
                <w:color w:val="0E6E57"/>
                <w:sz w:val="19"/>
                <w:szCs w:val="19"/>
              </w:rPr>
              <w:t xml:space="preserve">Aligné</w:t>
            </w:r>
          </w:p>
        </w:tc>
      </w:tr>
      <w:tr>
        <w:tc>
          <w:tcPr>
            <w:tcW w:type="dxa" w:w="5200"/>
          </w:tcPr>
          <w:p>
            <w:r>
              <w:rPr>
                <w:sz w:val="19"/>
                <w:szCs w:val="19"/>
              </w:rPr>
              <w:t xml:space="preserve">Vérification continue (Zero Trust)</w:t>
            </w:r>
          </w:p>
        </w:tc>
        <w:tc>
          <w:tcPr>
            <w:tcW w:type="dxa" w:w="2200"/>
          </w:tcPr>
          <w:p>
            <w:r>
              <w:rPr>
                <w:sz w:val="19"/>
                <w:szCs w:val="19"/>
              </w:rPr>
              <w:t xml:space="preserve">Modèle non retenu (revue périodique)</w:t>
            </w:r>
          </w:p>
        </w:tc>
        <w:tc>
          <w:tcPr>
            <w:tcW w:type="dxa" w:w="1950"/>
          </w:tcPr>
          <w:p>
            <w:r>
              <w:rPr>
                <w:b/>
                <w:bCs/>
                <w:color w:val="A13D2E"/>
                <w:sz w:val="19"/>
                <w:szCs w:val="19"/>
              </w:rPr>
              <w:t xml:space="preserve">Évolution à moyen terme</w:t>
            </w:r>
          </w:p>
        </w:tc>
      </w:tr>
    </w:tbl>
    <w:p>
      <w:pPr>
        <w:spacing w:after="200"/>
      </w:pPr>
    </w:p>
    <w:p>
      <w:pPr>
        <w:pStyle w:val="Heading2"/>
      </w:pPr>
      <w:r>
        <w:t xml:space="preserve">9. Recommandation</w:t>
      </w:r>
    </w:p>
    <w:p>
      <w:pPr>
        <w:spacing w:after="140"/>
      </w:pPr>
      <w:r>
        <w:rPr>
          <w:sz w:val="21"/>
          <w:szCs w:val="21"/>
        </w:rPr>
        <w:t xml:space="preserve">Aucune action urgente ne découle de ce constat : notre processus reste conforme aux référentiels qui nous engagent contractuellement et réglementairement (ISO 27001, SOC 2, NIS2 selon le périmètre concerné). Deux sujets méritent cependant d'être suivis à moyen terme, sans urgence : la politique de rotation des mots de passe (note dédiée déjà transmise), et une réflexion progressive sur l'accès temporaire pour les comptes à privilèges les plus sensibles, dans la continuité de ce que l'outil détecte déjà.</w:t>
      </w:r>
    </w:p>
    <w:p>
      <w:pPr>
        <w:pStyle w:val="Heading2"/>
      </w:pPr>
      <w:r>
        <w:t xml:space="preserve">Sources</w:t>
      </w:r>
    </w:p>
    <w:p>
      <w:pPr>
        <w:pStyle w:val="ListParagraph"/>
        <w:numPr>
          <w:ilvl w:val="0"/>
          <w:numId w:val="2"/>
        </w:numPr>
        <w:spacing w:after="70"/>
      </w:pPr>
      <w:r>
        <w:t xml:space="preserve">ISO/IEC 27001:2022, Annexe A, contrôles A.5.18 et A.8.2.</w:t>
      </w:r>
    </w:p>
    <w:p>
      <w:pPr>
        <w:pStyle w:val="ListParagraph"/>
        <w:numPr>
          <w:ilvl w:val="0"/>
          <w:numId w:val="2"/>
        </w:numPr>
        <w:spacing w:after="70"/>
      </w:pPr>
      <w:r>
        <w:t xml:space="preserve">AICPA — SOC 2, Trust Services Criteria, Common Criteria CC6.1–CC6.3.</w:t>
      </w:r>
    </w:p>
    <w:p>
      <w:pPr>
        <w:pStyle w:val="ListParagraph"/>
        <w:numPr>
          <w:ilvl w:val="0"/>
          <w:numId w:val="2"/>
        </w:numPr>
        <w:spacing w:after="70"/>
      </w:pPr>
      <w:r>
        <w:t xml:space="preserve">Directive (UE) 2022/2555 (NIS2), Article 21.</w:t>
      </w:r>
    </w:p>
    <w:p>
      <w:pPr>
        <w:pStyle w:val="ListParagraph"/>
        <w:numPr>
          <w:ilvl w:val="0"/>
          <w:numId w:val="2"/>
        </w:numPr>
        <w:spacing w:after="70"/>
      </w:pPr>
      <w:r>
        <w:t xml:space="preserve">ANSSI — Recommandations relatives à l'authentification multifacteur et aux mots de passe (2021, MAJ 2024).</w:t>
      </w:r>
    </w:p>
    <w:p>
      <w:pPr>
        <w:pStyle w:val="ListParagraph"/>
        <w:numPr>
          <w:ilvl w:val="0"/>
          <w:numId w:val="2"/>
        </w:numPr>
        <w:spacing w:after="70"/>
      </w:pPr>
      <w:r>
        <w:t xml:space="preserve">NIST — Special Publication 800-63B, révisée 2024.</w:t>
      </w:r>
    </w:p>
    <w:p>
      <w:pPr>
        <w:pStyle w:val="ListParagraph"/>
        <w:numPr>
          <w:ilvl w:val="0"/>
          <w:numId w:val="2"/>
        </w:numPr>
        <w:spacing w:after="70"/>
      </w:pPr>
      <w:r>
        <w:t xml:space="preserve">Gartner Identity and Access Management Summit 2026 (Londres, 9–10 mars 2026).</w:t>
      </w:r>
    </w:p>
    <w:sectPr>
      <w:pgSz w:w="11905" w:h="16837"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2026-09-07T10:02:47.178Z</dcterms:created>
  <dcterms:modified xsi:type="dcterms:W3CDTF">2026-09-07T10:02:47.178Z</dcterms:modified>
</cp:coreProperties>
</file>

<file path=docProps/custom.xml><?xml version="1.0" encoding="utf-8"?>
<Properties xmlns="http://schemas.openxmlformats.org/officeDocument/2006/custom-properties" xmlns:vt="http://schemas.openxmlformats.org/officeDocument/2006/docPropsVTypes"/>
</file>