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left"/>
      </w:pPr>
      <w:r>
        <w:rPr>
          <w:rFonts w:ascii="Calibri" w:hAnsi="Calibri" w:eastAsia="Calibri"/>
          <w:b/>
          <w:i w:val="0"/>
          <w:color w:val="0B2545"/>
          <w:sz w:val="48"/>
        </w:rPr>
        <w:t>Guia Operacional de Abertura de Novo Curso</w:t>
      </w:r>
    </w:p>
    <w:p>
      <w:pPr>
        <w:spacing w:before="0" w:after="280" w:line="264" w:lineRule="auto"/>
      </w:pPr>
      <w:r>
        <w:rPr>
          <w:rFonts w:ascii="Calibri" w:hAnsi="Calibri" w:eastAsia="Calibri"/>
          <w:b w:val="0"/>
          <w:i/>
          <w:color w:val="4B5563"/>
          <w:sz w:val="24"/>
        </w:rPr>
        <w:t>Arquitetura multi-institucional e multicurso do Nexus Academy</w:t>
      </w:r>
    </w:p>
    <w:p>
      <w:pPr>
        <w:spacing w:before="0" w:after="200" w:line="288" w:lineRule="auto"/>
      </w:pPr>
      <w:r>
        <w:rPr>
          <w:rFonts w:ascii="Calibri" w:hAnsi="Calibri" w:eastAsia="Calibri"/>
          <w:b w:val="0"/>
          <w:i w:val="0"/>
          <w:sz w:val="22"/>
        </w:rPr>
        <w:t>Este guia orienta a abertura administrativa e a configuracao academica inicial de novos cursos, como Enfermagem, Nutricao, Biomedicina e Medicina, sem depender de SQL manual para as etapas operacionais principais.</w:t>
      </w:r>
    </w:p>
    <w:p>
      <w:pPr>
        <w:spacing w:before="0" w:after="240" w:line="276" w:lineRule="auto"/>
        <w:ind w:left="216" w:right="216"/>
        <w:shd w:fill="E8EEF5"/>
      </w:pPr>
      <w:r>
        <w:rPr>
          <w:rFonts w:ascii="Calibri" w:hAnsi="Calibri" w:eastAsia="Calibri"/>
          <w:b/>
          <w:i w:val="0"/>
          <w:color w:val="1F3A5F"/>
          <w:sz w:val="20"/>
        </w:rPr>
        <w:t>Uso recomendado: siga este roteiro sempre que um novo curso for preparado para entrar na estrutura institucional do sistema.</w:t>
      </w:r>
    </w:p>
    <w:p>
      <w:pPr>
        <w:spacing w:before="360" w:after="160" w:line="264" w:lineRule="auto"/>
      </w:pPr>
      <w:r>
        <w:rPr>
          <w:rFonts w:ascii="Calibri" w:hAnsi="Calibri" w:eastAsia="Calibri"/>
          <w:b/>
          <w:i w:val="0"/>
          <w:color w:val="2E74B5"/>
          <w:sz w:val="32"/>
        </w:rPr>
        <w:t>1. Visao geral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sz w:val="22"/>
        </w:rPr>
        <w:t>O Nexus Academy agora trabalha com camadas estruturais que se complementam e precisam estar coerentes antes da operacao academica do curso.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instituicao: organizacao mantenedora, como UNIP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unidade: campus ou polo fisico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curso: identidade academica do curso dentro da instituicao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oferta de curso na unidade: vinculo entre curso e unidade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configuracoes academicas por curso: modelos de avaliacao, grupos, criterios e documentos obrigatorios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contextos de usuario: papeis escopados por instituicao, curso e, quando necessario, oferta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sz w:val="22"/>
        </w:rPr>
        <w:t>Na pratica, um curso novo so deve entrar em operacao depois que essas camadas estiverem consistentes no cadastro e nos paineis administrativos.</w:t>
      </w:r>
    </w:p>
    <w:p>
      <w:pPr>
        <w:spacing w:before="360" w:after="160" w:line="264" w:lineRule="auto"/>
      </w:pPr>
      <w:r>
        <w:rPr>
          <w:rFonts w:ascii="Calibri" w:hAnsi="Calibri" w:eastAsia="Calibri"/>
          <w:b/>
          <w:i w:val="0"/>
          <w:color w:val="2E74B5"/>
          <w:sz w:val="32"/>
        </w:rPr>
        <w:t>2. Pre-requisitos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sz w:val="22"/>
        </w:rPr>
        <w:t>Antes de iniciar a abertura de um curso novo, valide estes itens: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instituicao ja cadastrada no sistema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unidades da instituicao ja cadastradas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acesso com perfil coordenador_master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Fisioterapia ja configurada como modelo-base na mesma instituicao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homologacao multicurso disponivel em docs/homologacao-multi-institucional-multicurso.md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consultas de validacao disponiveis em database/checks-validacao-multi-institucional.sql</w:t>
      </w:r>
    </w:p>
    <w:p>
      <w:pPr>
        <w:spacing w:before="360" w:after="160" w:line="264" w:lineRule="auto"/>
      </w:pPr>
      <w:r>
        <w:rPr>
          <w:rFonts w:ascii="Calibri" w:hAnsi="Calibri" w:eastAsia="Calibri"/>
          <w:b/>
          <w:i w:val="0"/>
          <w:color w:val="2E74B5"/>
          <w:sz w:val="32"/>
        </w:rPr>
        <w:t>3. Fluxo de abertura de curso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sz w:val="22"/>
        </w:rPr>
        <w:t>Use este passo a passo sempre que for abrir um curso novo: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Acessar /master/cursos.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Criar o curso dentro da instituicao correta.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Criar a oferta do curso na unidade desejada.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Acessar /master/cursos/configuracoes.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Copiar a configuracao-base da Fisioterapia para o novo curso.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Revisar o modelo de avaliacao do curso.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Revisar grupos de avaliacao.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Revisar criterios de avaliacao.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Revisar documentos obrigatorios do curso.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Conferir o diagnostico de pesos para grupos e criterios.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Validar o resultado no painel /master/contextos.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So depois avancar para semestres, turmas, usuarios e alunos do novo curso.</w:t>
      </w:r>
    </w:p>
    <w:p>
      <w:pPr>
        <w:spacing w:before="360" w:after="160" w:line="264" w:lineRule="auto"/>
      </w:pPr>
      <w:r>
        <w:rPr>
          <w:rFonts w:ascii="Calibri" w:hAnsi="Calibri" w:eastAsia="Calibri"/>
          <w:b/>
          <w:i w:val="0"/>
          <w:color w:val="2E74B5"/>
          <w:sz w:val="32"/>
        </w:rPr>
        <w:t>4. Cuidados importantes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sz w:val="22"/>
        </w:rPr>
        <w:t>Ao abrir um curso novo, observe estes alertas operacionais: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nao abrir turmas antes de configurar o curso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nao copiar a configuracao-base duas vezes para o mesmo curso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revisar pesos dos grupos para totalizar 100%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revisar pesos dos criterios dentro de cada grupo para totalizar 100%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revisar documentos obrigatorios antes de colocar o curso em operacao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evitar editar a Fisioterapia por engano ao preparar outro curso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nao alterar RLS ou policies manualmente fora da etapa propria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nao confundir coordenador_master com master_curso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sz w:val="22"/>
        </w:rPr>
        <w:t>Coordenador_master continua sendo o administrador global da plataforma. Master_curso representa a gestao transversal de um curso especifico dentro de uma instituicao.</w:t>
      </w:r>
    </w:p>
    <w:p>
      <w:pPr>
        <w:spacing w:before="360" w:after="160" w:line="264" w:lineRule="auto"/>
      </w:pPr>
      <w:r>
        <w:rPr>
          <w:rFonts w:ascii="Calibri" w:hAnsi="Calibri" w:eastAsia="Calibri"/>
          <w:b/>
          <w:i w:val="0"/>
          <w:color w:val="2E74B5"/>
          <w:sz w:val="32"/>
        </w:rPr>
        <w:t>5. Checklist final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sz w:val="22"/>
        </w:rPr>
        <w:t>Marque este checklist ao concluir a abertura:</w:t>
      </w:r>
    </w:p>
    <w:p>
      <w:pPr>
        <w:spacing w:before="0" w:after="80" w:line="276" w:lineRule="auto"/>
        <w:ind w:left="288" w:hanging="216"/>
      </w:pPr>
      <w:r>
        <w:rPr>
          <w:rFonts w:ascii="Calibri" w:hAnsi="Calibri" w:eastAsia="Calibri"/>
          <w:b w:val="0"/>
          <w:i w:val="0"/>
          <w:sz w:val="22"/>
        </w:rPr>
        <w:t xml:space="preserve">? </w:t>
      </w:r>
      <w:r>
        <w:rPr>
          <w:rFonts w:ascii="Calibri" w:hAnsi="Calibri" w:eastAsia="Calibri"/>
          <w:b w:val="0"/>
          <w:i w:val="0"/>
          <w:sz w:val="22"/>
        </w:rPr>
        <w:t>Curso criado</w:t>
      </w:r>
    </w:p>
    <w:p>
      <w:pPr>
        <w:spacing w:before="0" w:after="80" w:line="276" w:lineRule="auto"/>
        <w:ind w:left="288" w:hanging="216"/>
      </w:pPr>
      <w:r>
        <w:rPr>
          <w:rFonts w:ascii="Calibri" w:hAnsi="Calibri" w:eastAsia="Calibri"/>
          <w:b w:val="0"/>
          <w:i w:val="0"/>
          <w:sz w:val="22"/>
        </w:rPr>
        <w:t xml:space="preserve">? </w:t>
      </w:r>
      <w:r>
        <w:rPr>
          <w:rFonts w:ascii="Calibri" w:hAnsi="Calibri" w:eastAsia="Calibri"/>
          <w:b w:val="0"/>
          <w:i w:val="0"/>
          <w:sz w:val="22"/>
        </w:rPr>
        <w:t>Oferta criada</w:t>
      </w:r>
    </w:p>
    <w:p>
      <w:pPr>
        <w:spacing w:before="0" w:after="80" w:line="276" w:lineRule="auto"/>
        <w:ind w:left="288" w:hanging="216"/>
      </w:pPr>
      <w:r>
        <w:rPr>
          <w:rFonts w:ascii="Calibri" w:hAnsi="Calibri" w:eastAsia="Calibri"/>
          <w:b w:val="0"/>
          <w:i w:val="0"/>
          <w:sz w:val="22"/>
        </w:rPr>
        <w:t xml:space="preserve">? </w:t>
      </w:r>
      <w:r>
        <w:rPr>
          <w:rFonts w:ascii="Calibri" w:hAnsi="Calibri" w:eastAsia="Calibri"/>
          <w:b w:val="0"/>
          <w:i w:val="0"/>
          <w:sz w:val="22"/>
        </w:rPr>
        <w:t>Configuracao-base copiada</w:t>
      </w:r>
    </w:p>
    <w:p>
      <w:pPr>
        <w:spacing w:before="0" w:after="80" w:line="276" w:lineRule="auto"/>
        <w:ind w:left="288" w:hanging="216"/>
      </w:pPr>
      <w:r>
        <w:rPr>
          <w:rFonts w:ascii="Calibri" w:hAnsi="Calibri" w:eastAsia="Calibri"/>
          <w:b w:val="0"/>
          <w:i w:val="0"/>
          <w:sz w:val="22"/>
        </w:rPr>
        <w:t xml:space="preserve">? </w:t>
      </w:r>
      <w:r>
        <w:rPr>
          <w:rFonts w:ascii="Calibri" w:hAnsi="Calibri" w:eastAsia="Calibri"/>
          <w:b w:val="0"/>
          <w:i w:val="0"/>
          <w:sz w:val="22"/>
        </w:rPr>
        <w:t>Modelo revisado</w:t>
      </w:r>
    </w:p>
    <w:p>
      <w:pPr>
        <w:spacing w:before="0" w:after="80" w:line="276" w:lineRule="auto"/>
        <w:ind w:left="288" w:hanging="216"/>
      </w:pPr>
      <w:r>
        <w:rPr>
          <w:rFonts w:ascii="Calibri" w:hAnsi="Calibri" w:eastAsia="Calibri"/>
          <w:b w:val="0"/>
          <w:i w:val="0"/>
          <w:sz w:val="22"/>
        </w:rPr>
        <w:t xml:space="preserve">? </w:t>
      </w:r>
      <w:r>
        <w:rPr>
          <w:rFonts w:ascii="Calibri" w:hAnsi="Calibri" w:eastAsia="Calibri"/>
          <w:b w:val="0"/>
          <w:i w:val="0"/>
          <w:sz w:val="22"/>
        </w:rPr>
        <w:t>Grupos revisados</w:t>
      </w:r>
    </w:p>
    <w:p>
      <w:pPr>
        <w:spacing w:before="0" w:after="80" w:line="276" w:lineRule="auto"/>
        <w:ind w:left="288" w:hanging="216"/>
      </w:pPr>
      <w:r>
        <w:rPr>
          <w:rFonts w:ascii="Calibri" w:hAnsi="Calibri" w:eastAsia="Calibri"/>
          <w:b w:val="0"/>
          <w:i w:val="0"/>
          <w:sz w:val="22"/>
        </w:rPr>
        <w:t xml:space="preserve">? </w:t>
      </w:r>
      <w:r>
        <w:rPr>
          <w:rFonts w:ascii="Calibri" w:hAnsi="Calibri" w:eastAsia="Calibri"/>
          <w:b w:val="0"/>
          <w:i w:val="0"/>
          <w:sz w:val="22"/>
        </w:rPr>
        <w:t>Criterios revisados</w:t>
      </w:r>
    </w:p>
    <w:p>
      <w:pPr>
        <w:spacing w:before="0" w:after="80" w:line="276" w:lineRule="auto"/>
        <w:ind w:left="288" w:hanging="216"/>
      </w:pPr>
      <w:r>
        <w:rPr>
          <w:rFonts w:ascii="Calibri" w:hAnsi="Calibri" w:eastAsia="Calibri"/>
          <w:b w:val="0"/>
          <w:i w:val="0"/>
          <w:sz w:val="22"/>
        </w:rPr>
        <w:t xml:space="preserve">? </w:t>
      </w:r>
      <w:r>
        <w:rPr>
          <w:rFonts w:ascii="Calibri" w:hAnsi="Calibri" w:eastAsia="Calibri"/>
          <w:b w:val="0"/>
          <w:i w:val="0"/>
          <w:sz w:val="22"/>
        </w:rPr>
        <w:t>Documentos revisados</w:t>
      </w:r>
    </w:p>
    <w:p>
      <w:pPr>
        <w:spacing w:before="0" w:after="80" w:line="276" w:lineRule="auto"/>
        <w:ind w:left="288" w:hanging="216"/>
      </w:pPr>
      <w:r>
        <w:rPr>
          <w:rFonts w:ascii="Calibri" w:hAnsi="Calibri" w:eastAsia="Calibri"/>
          <w:b w:val="0"/>
          <w:i w:val="0"/>
          <w:sz w:val="22"/>
        </w:rPr>
        <w:t xml:space="preserve">? </w:t>
      </w:r>
      <w:r>
        <w:rPr>
          <w:rFonts w:ascii="Calibri" w:hAnsi="Calibri" w:eastAsia="Calibri"/>
          <w:b w:val="0"/>
          <w:i w:val="0"/>
          <w:sz w:val="22"/>
        </w:rPr>
        <w:t>Pesos dos grupos OK</w:t>
      </w:r>
    </w:p>
    <w:p>
      <w:pPr>
        <w:spacing w:before="0" w:after="80" w:line="276" w:lineRule="auto"/>
        <w:ind w:left="288" w:hanging="216"/>
      </w:pPr>
      <w:r>
        <w:rPr>
          <w:rFonts w:ascii="Calibri" w:hAnsi="Calibri" w:eastAsia="Calibri"/>
          <w:b w:val="0"/>
          <w:i w:val="0"/>
          <w:sz w:val="22"/>
        </w:rPr>
        <w:t xml:space="preserve">? </w:t>
      </w:r>
      <w:r>
        <w:rPr>
          <w:rFonts w:ascii="Calibri" w:hAnsi="Calibri" w:eastAsia="Calibri"/>
          <w:b w:val="0"/>
          <w:i w:val="0"/>
          <w:sz w:val="22"/>
        </w:rPr>
        <w:t>Pesos dos criterios OK</w:t>
      </w:r>
    </w:p>
    <w:p>
      <w:pPr>
        <w:spacing w:before="0" w:after="80" w:line="276" w:lineRule="auto"/>
        <w:ind w:left="288" w:hanging="216"/>
      </w:pPr>
      <w:r>
        <w:rPr>
          <w:rFonts w:ascii="Calibri" w:hAnsi="Calibri" w:eastAsia="Calibri"/>
          <w:b w:val="0"/>
          <w:i w:val="0"/>
          <w:sz w:val="22"/>
        </w:rPr>
        <w:t xml:space="preserve">? </w:t>
      </w:r>
      <w:r>
        <w:rPr>
          <w:rFonts w:ascii="Calibri" w:hAnsi="Calibri" w:eastAsia="Calibri"/>
          <w:b w:val="0"/>
          <w:i w:val="0"/>
          <w:sz w:val="22"/>
        </w:rPr>
        <w:t>Curso aparece nos paineis administrativos</w:t>
      </w:r>
    </w:p>
    <w:p>
      <w:pPr>
        <w:spacing w:before="0" w:after="80" w:line="276" w:lineRule="auto"/>
        <w:ind w:left="288" w:hanging="216"/>
      </w:pPr>
      <w:r>
        <w:rPr>
          <w:rFonts w:ascii="Calibri" w:hAnsi="Calibri" w:eastAsia="Calibri"/>
          <w:b w:val="0"/>
          <w:i w:val="0"/>
          <w:sz w:val="22"/>
        </w:rPr>
        <w:t xml:space="preserve">? </w:t>
      </w:r>
      <w:r>
        <w:rPr>
          <w:rFonts w:ascii="Calibri" w:hAnsi="Calibri" w:eastAsia="Calibri"/>
          <w:b w:val="0"/>
          <w:i w:val="0"/>
          <w:sz w:val="22"/>
        </w:rPr>
        <w:t>Fluxo legado da Fisioterapia preservado</w:t>
      </w:r>
    </w:p>
    <w:p>
      <w:pPr>
        <w:spacing w:before="360" w:after="160" w:line="264" w:lineRule="auto"/>
      </w:pPr>
      <w:r>
        <w:rPr>
          <w:rFonts w:ascii="Calibri" w:hAnsi="Calibri" w:eastAsia="Calibri"/>
          <w:b/>
          <w:i w:val="0"/>
          <w:color w:val="2E74B5"/>
          <w:sz w:val="32"/>
        </w:rPr>
        <w:t>6. Proximas fases futuras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sz w:val="22"/>
        </w:rPr>
        <w:t>Depois que a abertura administrativa estiver pronta, as proximas fases esperadas sao: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criacao de semestres por oferta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criacao de turmas por oferta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vinculacao de coordenadores, professores e alunos ao novo curso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liberacao gradual de operacao para master_curso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migracao de RLS e policies compativeis com a arquitetura multicurso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CRUD mais avancado de documentos, grupos e criterios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ajustes especificos por curso conforme a regra academica real</w:t>
      </w:r>
    </w:p>
    <w:p>
      <w:pPr>
        <w:spacing w:before="360" w:after="160" w:line="264" w:lineRule="auto"/>
      </w:pPr>
      <w:r>
        <w:rPr>
          <w:rFonts w:ascii="Calibri" w:hAnsi="Calibri" w:eastAsia="Calibri"/>
          <w:b/>
          <w:i w:val="0"/>
          <w:color w:val="2E74B5"/>
          <w:sz w:val="32"/>
        </w:rPr>
        <w:t>7. Sequencia recomendada de validacao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confirmar curso e oferta em /master/cursos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confirmar configuracao academica em /master/cursos/configuracoes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conferir pesos e documentos obrigatorios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conferir estrutura e contextos em /master/contextos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rodar os checks SQL de leitura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so depois iniciar o preparo academico do novo curso</w:t>
      </w:r>
    </w:p>
    <w:p>
      <w:pPr>
        <w:spacing w:before="360" w:after="160" w:line="264" w:lineRule="auto"/>
      </w:pPr>
      <w:r>
        <w:rPr>
          <w:rFonts w:ascii="Calibri" w:hAnsi="Calibri" w:eastAsia="Calibri"/>
          <w:b/>
          <w:i w:val="0"/>
          <w:color w:val="2E74B5"/>
          <w:sz w:val="32"/>
        </w:rPr>
        <w:t>8. Pendencias que ainda nao fazem parte desta abertura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sz w:val="22"/>
        </w:rPr>
        <w:t>Este guia cobre apenas a abertura administrativa e a preparacao academica base. Ainda ficam fora deste passo: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RLS e policies novas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seletor avancado de escopo administrativo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liberacao total de navegacao por master_curso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abertura automatica de semestres e turmas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fluxos especificos de clinica supervisionada por curso</w:t>
      </w:r>
    </w:p>
    <w:p>
      <w:pPr>
        <w:spacing w:before="360" w:after="160" w:line="264" w:lineRule="auto"/>
      </w:pPr>
      <w:r>
        <w:rPr>
          <w:rFonts w:ascii="Calibri" w:hAnsi="Calibri" w:eastAsia="Calibri"/>
          <w:b/>
          <w:i w:val="0"/>
          <w:color w:val="2E74B5"/>
          <w:sz w:val="32"/>
        </w:rPr>
        <w:t>9. Referencias uteis</w:t>
      </w:r>
    </w:p>
    <w:p>
      <w:pPr>
        <w:pStyle w:val="ListBullet"/>
        <w:spacing w:before="0" w:after="80" w:line="276" w:lineRule="auto"/>
      </w:pPr>
      <w:hyperlink r:id="rId10">
        <w:r>
          <w:rPr>
            <w:color w:val="2E74B5"/>
            <w:u w:val="single"/>
          </w:rPr>
          <w:t>Checklist de homologacao multicurso</w:t>
        </w:r>
      </w:hyperlink>
      <w:r/>
    </w:p>
    <w:p>
      <w:pPr>
        <w:pStyle w:val="ListBullet"/>
        <w:spacing w:before="0" w:after="80" w:line="276" w:lineRule="auto"/>
      </w:pPr>
      <w:hyperlink r:id="rId11">
        <w:r>
          <w:rPr>
            <w:color w:val="2E74B5"/>
            <w:u w:val="single"/>
          </w:rPr>
          <w:t>Checks SQL de validacao</w:t>
        </w:r>
      </w:hyperlink>
      <w:r/>
    </w:p>
    <w:p>
      <w:pPr>
        <w:pStyle w:val="ListBullet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Rota /master/cursos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Rota /master/cursos/configuracoes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Rota /master/contextos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Calibri"/>
        <w:b w:val="0"/>
        <w:i w:val="0"/>
        <w:color w:val="6B7280"/>
        <w:sz w:val="18"/>
      </w:rPr>
      <w:t>Nexus Academy  |  Guia operacional de abertura de novo curso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C:\Users\guibe\Documents\Codex\2026-04-20-atue-como-um-engenheiro-de-software\docs\homologacao-multi-institucional-multicurso.md" TargetMode="External"/><Relationship Id="rId11" Type="http://schemas.openxmlformats.org/officeDocument/2006/relationships/hyperlink" Target="C:\Users\guibe\Documents\Codex\2026-04-20-atue-como-um-engenheiro-de-software\database\checks-validacao-multi-institucional.sq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