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85CD" w14:textId="4A8BDAAD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SCIM provisioning using 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 ID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(formerly known as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Active Directory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) for your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Databricks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account. I'll provide an introduction, steps for configuration, and a conclusion.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E4BFF7C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5366"/>
        </w:rPr>
        <w:t xml:space="preserve">Configure SCIM Provisioning Using 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536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5366"/>
        </w:rPr>
        <w:t xml:space="preserve"> ID (Azure Databricks)</w:t>
      </w:r>
      <w:r>
        <w:rPr>
          <w:rStyle w:val="eop"/>
          <w:rFonts w:ascii="Segoe UI" w:hAnsi="Segoe UI" w:cs="Segoe UI"/>
          <w:b/>
          <w:bCs/>
          <w:color w:val="005366"/>
        </w:rPr>
        <w:t> </w:t>
      </w:r>
    </w:p>
    <w:p w14:paraId="3495151C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Introduction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56579D93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(System for Cross-domain Identity Management)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is a standard protocol that enables automated user provisioning and de-provisioning across different applications. In this guide, we'll set up SCIM provisioning for your Azure Databricks account using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ID. This allows you to synchronize users and groups seamlessly.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A44F866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Steps for Configuration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42FA65C1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>Step 1: Prerequisites</w:t>
      </w:r>
      <w:r>
        <w:rPr>
          <w:rStyle w:val="eop"/>
          <w:rFonts w:ascii="Calibri" w:hAnsi="Calibri" w:cs="Calibri"/>
          <w:color w:val="1F4D78"/>
        </w:rPr>
        <w:t> </w:t>
      </w:r>
    </w:p>
    <w:p w14:paraId="1B1E6AF7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Before you begin, ensure the following: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8FA5500" w14:textId="77777777" w:rsidR="0086419A" w:rsidRDefault="0086419A" w:rsidP="0086419A">
      <w:pPr>
        <w:pStyle w:val="paragraph"/>
        <w:numPr>
          <w:ilvl w:val="0"/>
          <w:numId w:val="7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Your Azure Databricks account is on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Premium plan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69BE7F2" w14:textId="77777777" w:rsidR="0086419A" w:rsidRDefault="0086419A" w:rsidP="0086419A">
      <w:pPr>
        <w:pStyle w:val="paragraph"/>
        <w:numPr>
          <w:ilvl w:val="0"/>
          <w:numId w:val="8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 have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Cloud Application Administrator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role in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61E0E00" w14:textId="77777777" w:rsidR="0086419A" w:rsidRDefault="0086419A" w:rsidP="0086419A">
      <w:pPr>
        <w:pStyle w:val="paragraph"/>
        <w:numPr>
          <w:ilvl w:val="0"/>
          <w:numId w:val="9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Your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account is a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Premium edition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account (for provisioning groups).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A0BDCBC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>Step 2: Configure Azure Databricks</w:t>
      </w:r>
      <w:r>
        <w:rPr>
          <w:rStyle w:val="eop"/>
          <w:rFonts w:ascii="Calibri" w:hAnsi="Calibri" w:cs="Calibri"/>
          <w:color w:val="1F4D78"/>
        </w:rPr>
        <w:t> </w:t>
      </w:r>
    </w:p>
    <w:p w14:paraId="541FDDC1" w14:textId="77777777" w:rsidR="0086419A" w:rsidRDefault="0086419A" w:rsidP="0086419A">
      <w:pPr>
        <w:pStyle w:val="paragraph"/>
        <w:numPr>
          <w:ilvl w:val="0"/>
          <w:numId w:val="10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Log in to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Databricks account console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as an account admin.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58B1D90" w14:textId="77777777" w:rsidR="0086419A" w:rsidRDefault="0086419A" w:rsidP="0086419A">
      <w:pPr>
        <w:pStyle w:val="paragraph"/>
        <w:numPr>
          <w:ilvl w:val="0"/>
          <w:numId w:val="11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Click on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Settings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4F9FF19" w14:textId="77777777" w:rsidR="0086419A" w:rsidRDefault="0086419A" w:rsidP="0086419A">
      <w:pPr>
        <w:pStyle w:val="paragraph"/>
        <w:numPr>
          <w:ilvl w:val="0"/>
          <w:numId w:val="12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Navigate to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User Provisioning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5BC1722" w14:textId="77777777" w:rsidR="0086419A" w:rsidRDefault="0086419A" w:rsidP="0086419A">
      <w:pPr>
        <w:pStyle w:val="paragraph"/>
        <w:numPr>
          <w:ilvl w:val="0"/>
          <w:numId w:val="13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Click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Enable user provisioning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BD03DE8" w14:textId="77777777" w:rsidR="0086419A" w:rsidRDefault="0086419A" w:rsidP="0086419A">
      <w:pPr>
        <w:pStyle w:val="paragraph"/>
        <w:numPr>
          <w:ilvl w:val="0"/>
          <w:numId w:val="14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Copy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token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and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Account SCIM URL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. You'll need these to configure your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application.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EE3BCDB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 xml:space="preserve">Step 3: Configure Microsoft </w:t>
      </w:r>
      <w:proofErr w:type="spellStart"/>
      <w:r>
        <w:rPr>
          <w:rStyle w:val="normaltextrun"/>
          <w:rFonts w:ascii="Calibri" w:hAnsi="Calibri" w:cs="Calibri"/>
          <w:color w:val="1F4D78"/>
        </w:rPr>
        <w:t>Entra</w:t>
      </w:r>
      <w:proofErr w:type="spellEnd"/>
      <w:r>
        <w:rPr>
          <w:rStyle w:val="normaltextrun"/>
          <w:rFonts w:ascii="Calibri" w:hAnsi="Calibri" w:cs="Calibri"/>
          <w:color w:val="1F4D78"/>
        </w:rPr>
        <w:t xml:space="preserve"> ID</w:t>
      </w:r>
      <w:r>
        <w:rPr>
          <w:rStyle w:val="eop"/>
          <w:rFonts w:ascii="Calibri" w:hAnsi="Calibri" w:cs="Calibri"/>
          <w:color w:val="1F4D78"/>
        </w:rPr>
        <w:t> </w:t>
      </w:r>
    </w:p>
    <w:p w14:paraId="41D0F3A7" w14:textId="77777777" w:rsidR="0086419A" w:rsidRDefault="0086419A" w:rsidP="0086419A">
      <w:pPr>
        <w:pStyle w:val="paragraph"/>
        <w:numPr>
          <w:ilvl w:val="0"/>
          <w:numId w:val="15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In your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portal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, go to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 ID &gt; Enterprise Applications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8201C32" w14:textId="77777777" w:rsidR="0086419A" w:rsidRDefault="0086419A" w:rsidP="0086419A">
      <w:pPr>
        <w:pStyle w:val="paragraph"/>
        <w:numPr>
          <w:ilvl w:val="0"/>
          <w:numId w:val="16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Set up a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provisioning connector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using the copied token and URL.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2E66B6D" w14:textId="77777777" w:rsidR="0086419A" w:rsidRDefault="0086419A" w:rsidP="0086419A">
      <w:pPr>
        <w:pStyle w:val="paragraph"/>
        <w:numPr>
          <w:ilvl w:val="0"/>
          <w:numId w:val="17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Ensure that any existing SCIM connectors that sync identities directly to your workspaces are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disabled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when enabling the account-level SCIM connector.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CB41674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Conclusion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53CE4285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By following these steps, you'll be able to provision users and groups from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to your Azure Databricks account. Remember that provisioning is separate from authentication and conditional access configurations. Authentication is handled automatically by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using the OpenID Connect protocol flow.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ADAD530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For more details, refer to the official </w:t>
      </w:r>
      <w:hyperlink r:id="rId5" w:tgtFrame="_blank" w:history="1">
        <w:r>
          <w:rPr>
            <w:rStyle w:val="normaltextrun"/>
            <w:rFonts w:ascii="Segoe UI" w:hAnsi="Segoe UI" w:cs="Segoe UI"/>
            <w:color w:val="0563C1"/>
            <w:sz w:val="26"/>
            <w:szCs w:val="26"/>
            <w:u w:val="single"/>
          </w:rPr>
          <w:t>Azure Databricks documentation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831695B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Happy provisioning!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🚀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B9487BA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Certainly! Below is a guide on configuring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SCIM provisioning using 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 ID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(formerly known as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Active Directory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) for your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Databricks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account and workspace. I'll provide an introduction, steps for configuration, and a conclusion.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C27AB88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5366"/>
        </w:rPr>
        <w:t xml:space="preserve">Configure SCIM Provisioning Using 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536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5366"/>
        </w:rPr>
        <w:t xml:space="preserve"> ID (Azure Databricks)</w:t>
      </w:r>
      <w:r>
        <w:rPr>
          <w:rStyle w:val="eop"/>
          <w:rFonts w:ascii="Segoe UI" w:hAnsi="Segoe UI" w:cs="Segoe UI"/>
          <w:b/>
          <w:bCs/>
          <w:color w:val="005366"/>
        </w:rPr>
        <w:t> </w:t>
      </w:r>
    </w:p>
    <w:p w14:paraId="78EC6CC0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Introduction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2114F49E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(System for Cross-domain Identity Management)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is a standard protocol that enables automated user provisioning and de-provisioning across different applications. In this guide, we'll set up SCIM provisioning for both your Azure Databricks account and individual workspaces using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ID. This allows you to synchronize users and groups seamlessly.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BF91668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Steps for Configuration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5DDD78C8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>Step 1: Prerequisites</w:t>
      </w:r>
      <w:r>
        <w:rPr>
          <w:rStyle w:val="eop"/>
          <w:rFonts w:ascii="Calibri" w:hAnsi="Calibri" w:cs="Calibri"/>
          <w:color w:val="1F4D78"/>
        </w:rPr>
        <w:t> </w:t>
      </w:r>
    </w:p>
    <w:p w14:paraId="146F8B2B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Before you begin, ensure the following: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63AA36D" w14:textId="77777777" w:rsidR="0086419A" w:rsidRDefault="0086419A" w:rsidP="0086419A">
      <w:pPr>
        <w:pStyle w:val="paragraph"/>
        <w:numPr>
          <w:ilvl w:val="0"/>
          <w:numId w:val="18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Your Azure Databricks account is on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Premium plan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29C45EB" w14:textId="77777777" w:rsidR="0086419A" w:rsidRDefault="0086419A" w:rsidP="0086419A">
      <w:pPr>
        <w:pStyle w:val="paragraph"/>
        <w:numPr>
          <w:ilvl w:val="0"/>
          <w:numId w:val="19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 have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Cloud Application Administrator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role in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033207D" w14:textId="77777777" w:rsidR="0086419A" w:rsidRDefault="0086419A" w:rsidP="0086419A">
      <w:pPr>
        <w:pStyle w:val="paragraph"/>
        <w:numPr>
          <w:ilvl w:val="0"/>
          <w:numId w:val="20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Your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account must be a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Premium edition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account to provision groups. Provisioning users is available for any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edition.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4722643" w14:textId="77777777" w:rsidR="0086419A" w:rsidRDefault="0086419A" w:rsidP="0086419A">
      <w:pPr>
        <w:pStyle w:val="paragraph"/>
        <w:numPr>
          <w:ilvl w:val="0"/>
          <w:numId w:val="21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You must be an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Databricks account admin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A32C3CA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>Step 2: Configure Azure Databricks</w:t>
      </w:r>
      <w:r>
        <w:rPr>
          <w:rStyle w:val="eop"/>
          <w:rFonts w:ascii="Calibri" w:hAnsi="Calibri" w:cs="Calibri"/>
          <w:color w:val="1F4D78"/>
        </w:rPr>
        <w:t> </w:t>
      </w:r>
    </w:p>
    <w:p w14:paraId="588DE1FD" w14:textId="77777777" w:rsidR="0086419A" w:rsidRDefault="0086419A" w:rsidP="0086419A">
      <w:pPr>
        <w:pStyle w:val="paragraph"/>
        <w:numPr>
          <w:ilvl w:val="0"/>
          <w:numId w:val="22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Log in to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Databricks account console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as an account admin.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6239D4C" w14:textId="77777777" w:rsidR="0086419A" w:rsidRDefault="0086419A" w:rsidP="0086419A">
      <w:pPr>
        <w:pStyle w:val="paragraph"/>
        <w:numPr>
          <w:ilvl w:val="0"/>
          <w:numId w:val="23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Click on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Settings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F564626" w14:textId="77777777" w:rsidR="0086419A" w:rsidRDefault="0086419A" w:rsidP="0086419A">
      <w:pPr>
        <w:pStyle w:val="paragraph"/>
        <w:numPr>
          <w:ilvl w:val="0"/>
          <w:numId w:val="24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Navigate to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User Provisioning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BCDFBF8" w14:textId="77777777" w:rsidR="0086419A" w:rsidRDefault="0086419A" w:rsidP="0086419A">
      <w:pPr>
        <w:pStyle w:val="paragraph"/>
        <w:numPr>
          <w:ilvl w:val="0"/>
          <w:numId w:val="25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Click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Enable user provisioning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8481C9B" w14:textId="77777777" w:rsidR="0086419A" w:rsidRDefault="0086419A" w:rsidP="0086419A">
      <w:pPr>
        <w:pStyle w:val="paragraph"/>
        <w:numPr>
          <w:ilvl w:val="0"/>
          <w:numId w:val="26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Copy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token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and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Account SCIM URL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. You will use these to configure your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application.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17E330A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" w:hAnsi="Calibri" w:cs="Calibri"/>
          <w:color w:val="1F4D78"/>
        </w:rPr>
        <w:t xml:space="preserve">Step 3: Configure Microsoft </w:t>
      </w:r>
      <w:proofErr w:type="spellStart"/>
      <w:r>
        <w:rPr>
          <w:rStyle w:val="normaltextrun"/>
          <w:rFonts w:ascii="Calibri" w:hAnsi="Calibri" w:cs="Calibri"/>
          <w:color w:val="1F4D78"/>
        </w:rPr>
        <w:t>Entra</w:t>
      </w:r>
      <w:proofErr w:type="spellEnd"/>
      <w:r>
        <w:rPr>
          <w:rStyle w:val="normaltextrun"/>
          <w:rFonts w:ascii="Calibri" w:hAnsi="Calibri" w:cs="Calibri"/>
          <w:color w:val="1F4D78"/>
        </w:rPr>
        <w:t xml:space="preserve"> ID</w:t>
      </w:r>
      <w:r>
        <w:rPr>
          <w:rStyle w:val="eop"/>
          <w:rFonts w:ascii="Calibri" w:hAnsi="Calibri" w:cs="Calibri"/>
          <w:color w:val="1F4D78"/>
        </w:rPr>
        <w:t> </w:t>
      </w:r>
    </w:p>
    <w:p w14:paraId="3178BA1C" w14:textId="77777777" w:rsidR="0086419A" w:rsidRDefault="0086419A" w:rsidP="0086419A">
      <w:pPr>
        <w:pStyle w:val="paragraph"/>
        <w:numPr>
          <w:ilvl w:val="0"/>
          <w:numId w:val="27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In your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Azure portal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, go to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Microsoft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 xml:space="preserve"> ID &gt; Enterprise Applications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F8895D7" w14:textId="77777777" w:rsidR="0086419A" w:rsidRDefault="0086419A" w:rsidP="0086419A">
      <w:pPr>
        <w:pStyle w:val="paragraph"/>
        <w:numPr>
          <w:ilvl w:val="0"/>
          <w:numId w:val="28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Set up a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SCIM provisioning connector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using the copied token and URL.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5E958DC" w14:textId="77777777" w:rsidR="0086419A" w:rsidRDefault="0086419A" w:rsidP="0086419A">
      <w:pPr>
        <w:pStyle w:val="paragraph"/>
        <w:numPr>
          <w:ilvl w:val="0"/>
          <w:numId w:val="29"/>
        </w:numPr>
        <w:spacing w:before="0" w:beforeAutospacing="0" w:after="0" w:afterAutospacing="0"/>
        <w:ind w:left="46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Ensure that any existing SCIM connectors that sync identities directly to your workspaces are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disabled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when enabling the account-level SCIM connector.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402BE39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Conclusion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14:paraId="0848636E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By following these steps, you'll be able to provision users and groups from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to both your Azure Databricks account and individual workspaces. Remember that provisioning is separate from authentication and conditional access configurations. Authentication for Azure Databricks is 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handled automatically by Microsoft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Entra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ID using the OpenID Connect protocol flow.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C1B3AD1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For more details, refer to the official </w:t>
      </w:r>
      <w:hyperlink r:id="rId6" w:tgtFrame="_blank" w:history="1">
        <w:r>
          <w:rPr>
            <w:rStyle w:val="normaltextrun"/>
            <w:rFonts w:ascii="Segoe UI" w:hAnsi="Segoe UI" w:cs="Segoe UI"/>
            <w:color w:val="0563C1"/>
            <w:sz w:val="26"/>
            <w:szCs w:val="26"/>
            <w:u w:val="single"/>
          </w:rPr>
          <w:t>Azure Databricks documentation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BAC452F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Happy provisioning!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🚀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AE6ED13" w14:textId="77777777" w:rsidR="0086419A" w:rsidRDefault="0086419A" w:rsidP="0086419A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821B2F1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Configure SCIM provisioning using Microsoft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Entra</w:t>
        </w:r>
        <w:proofErr w:type="spellEnd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ID (formerly Azure ...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FDA9480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Sync users and groups from your identity provider - Databricks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F7FE13F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Sync users and groups from your identity provider - Databricks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7F0F332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10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Sync users and groups from your identity provider - Databricks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1AE9FAE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11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Microsoft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Entra</w:t>
        </w:r>
        <w:proofErr w:type="spellEnd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on-premises app provisioning to Azure Databricks with ...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133099E0" w14:textId="77777777" w:rsidR="0086419A" w:rsidRDefault="0086419A" w:rsidP="008641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BB72775" w14:textId="77777777" w:rsidR="0086419A" w:rsidRPr="0086419A" w:rsidRDefault="0086419A" w:rsidP="0086419A"/>
    <w:sectPr w:rsidR="0086419A" w:rsidRPr="0086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DD6"/>
    <w:multiLevelType w:val="multilevel"/>
    <w:tmpl w:val="3F6C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833C0"/>
    <w:multiLevelType w:val="multilevel"/>
    <w:tmpl w:val="FBD0E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C4A70"/>
    <w:multiLevelType w:val="multilevel"/>
    <w:tmpl w:val="CF4412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1D50"/>
    <w:multiLevelType w:val="multilevel"/>
    <w:tmpl w:val="93164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E2742"/>
    <w:multiLevelType w:val="multilevel"/>
    <w:tmpl w:val="A8680B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2301E1"/>
    <w:multiLevelType w:val="multilevel"/>
    <w:tmpl w:val="76EE0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960950"/>
    <w:multiLevelType w:val="multilevel"/>
    <w:tmpl w:val="DB981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EF9"/>
    <w:multiLevelType w:val="multilevel"/>
    <w:tmpl w:val="EB523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E3067"/>
    <w:multiLevelType w:val="multilevel"/>
    <w:tmpl w:val="1E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755B0"/>
    <w:multiLevelType w:val="multilevel"/>
    <w:tmpl w:val="F0C08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B54528A"/>
    <w:multiLevelType w:val="multilevel"/>
    <w:tmpl w:val="A47CC8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8077F"/>
    <w:multiLevelType w:val="multilevel"/>
    <w:tmpl w:val="96D03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F049B"/>
    <w:multiLevelType w:val="multilevel"/>
    <w:tmpl w:val="9C584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6C2815"/>
    <w:multiLevelType w:val="multilevel"/>
    <w:tmpl w:val="B9D6B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549BB"/>
    <w:multiLevelType w:val="multilevel"/>
    <w:tmpl w:val="AC4443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77C11"/>
    <w:multiLevelType w:val="multilevel"/>
    <w:tmpl w:val="FB160E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0107C"/>
    <w:multiLevelType w:val="multilevel"/>
    <w:tmpl w:val="315A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307B7"/>
    <w:multiLevelType w:val="multilevel"/>
    <w:tmpl w:val="5F3C17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F5F38"/>
    <w:multiLevelType w:val="multilevel"/>
    <w:tmpl w:val="792029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7633C"/>
    <w:multiLevelType w:val="multilevel"/>
    <w:tmpl w:val="8BCEF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374D"/>
    <w:multiLevelType w:val="multilevel"/>
    <w:tmpl w:val="62DAC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C281F"/>
    <w:multiLevelType w:val="multilevel"/>
    <w:tmpl w:val="B0962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A6A9E"/>
    <w:multiLevelType w:val="multilevel"/>
    <w:tmpl w:val="D95E7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22F67"/>
    <w:multiLevelType w:val="multilevel"/>
    <w:tmpl w:val="6E0AE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7458D"/>
    <w:multiLevelType w:val="multilevel"/>
    <w:tmpl w:val="CDB891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44C88"/>
    <w:multiLevelType w:val="multilevel"/>
    <w:tmpl w:val="66BE1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A7931"/>
    <w:multiLevelType w:val="multilevel"/>
    <w:tmpl w:val="5DAE3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148B6"/>
    <w:multiLevelType w:val="multilevel"/>
    <w:tmpl w:val="5F3CFB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8A40B3"/>
    <w:multiLevelType w:val="multilevel"/>
    <w:tmpl w:val="A4A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0"/>
  </w:num>
  <w:num w:numId="3">
    <w:abstractNumId w:val="9"/>
  </w:num>
  <w:num w:numId="4">
    <w:abstractNumId w:val="2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7"/>
  </w:num>
  <w:num w:numId="10">
    <w:abstractNumId w:val="23"/>
  </w:num>
  <w:num w:numId="11">
    <w:abstractNumId w:val="27"/>
  </w:num>
  <w:num w:numId="12">
    <w:abstractNumId w:val="13"/>
  </w:num>
  <w:num w:numId="13">
    <w:abstractNumId w:val="26"/>
  </w:num>
  <w:num w:numId="14">
    <w:abstractNumId w:val="2"/>
  </w:num>
  <w:num w:numId="15">
    <w:abstractNumId w:val="10"/>
  </w:num>
  <w:num w:numId="16">
    <w:abstractNumId w:val="24"/>
  </w:num>
  <w:num w:numId="17">
    <w:abstractNumId w:val="20"/>
  </w:num>
  <w:num w:numId="18">
    <w:abstractNumId w:val="8"/>
  </w:num>
  <w:num w:numId="19">
    <w:abstractNumId w:val="25"/>
  </w:num>
  <w:num w:numId="20">
    <w:abstractNumId w:val="19"/>
  </w:num>
  <w:num w:numId="21">
    <w:abstractNumId w:val="3"/>
  </w:num>
  <w:num w:numId="22">
    <w:abstractNumId w:val="22"/>
  </w:num>
  <w:num w:numId="23">
    <w:abstractNumId w:val="11"/>
  </w:num>
  <w:num w:numId="24">
    <w:abstractNumId w:val="12"/>
  </w:num>
  <w:num w:numId="25">
    <w:abstractNumId w:val="18"/>
  </w:num>
  <w:num w:numId="26">
    <w:abstractNumId w:val="1"/>
  </w:num>
  <w:num w:numId="27">
    <w:abstractNumId w:val="17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78"/>
    <w:rsid w:val="001D2402"/>
    <w:rsid w:val="00694378"/>
    <w:rsid w:val="0086419A"/>
    <w:rsid w:val="00C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5522"/>
  <w15:chartTrackingRefBased/>
  <w15:docId w15:val="{4C4CC925-3857-4961-A191-D96954DE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2E5F"/>
  </w:style>
  <w:style w:type="character" w:customStyle="1" w:styleId="eop">
    <w:name w:val="eop"/>
    <w:basedOn w:val="DefaultParagraphFont"/>
    <w:rsid w:val="00CA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.com/search?q=Configure+SCIM+provisioning+using+Microsoft+Entra+ID+for+Azure+Databricks+account+and+worksp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atabricks/administration-guide/users-groups/scim/a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bricks/administration-guide/users-groups/scim/aad" TargetMode="External"/><Relationship Id="rId11" Type="http://schemas.openxmlformats.org/officeDocument/2006/relationships/hyperlink" Target="https://learn.microsoft.com/en-us/entra/identity/saas-apps/azure-databricks-with-private-link-workspace-provisioning-tutorial" TargetMode="External"/><Relationship Id="rId5" Type="http://schemas.openxmlformats.org/officeDocument/2006/relationships/hyperlink" Target="https://learn.microsoft.com/en-us/azure/databricks/administration-guide/users-groups/scim/aad" TargetMode="External"/><Relationship Id="rId10" Type="http://schemas.openxmlformats.org/officeDocument/2006/relationships/hyperlink" Target="https://docs.gcp.databricks.com/en/administration-guide/users-groups/sci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bricks.com/en/administration-guide/users-groups/sci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2024-03-13T08:53:00Z</dcterms:created>
  <dcterms:modified xsi:type="dcterms:W3CDTF">2024-03-13T08:53:00Z</dcterms:modified>
</cp:coreProperties>
</file>