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Snowflake CI/CD Pipeline and Snowchange</w:t>
      </w:r>
    </w:p>
    <w:p>
      <w:r>
        <w:rPr>
          <w:i/>
          <w:color w:val="5A5A5A"/>
        </w:rPr>
        <w:t>EDW deployment workflow | Azure DevOps YAML and Python implementation</w:t>
      </w:r>
    </w:p>
    <w:p>
      <w:pPr>
        <w:pStyle w:val="Heading1"/>
      </w:pPr>
      <w:r>
        <w:t>1. Purpose</w:t>
      </w:r>
    </w:p>
    <w:p>
      <w:r>
        <w:t>This document describes the Snowflake CI/CD process using the supplied Azure DevOps YAML and the two provided portions of the Snowchange Python implementation. It distinguishes configured environment choices from deployment commands that are currently active, and documents how changed SQL files are selected, ordered, executed, and recorded.</w:t>
      </w:r>
    </w:p>
    <w:p>
      <w:pPr>
        <w:pStyle w:val="Heading1"/>
      </w:pPr>
      <w:r>
        <w:t>2. Pipeline configuration</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F3F69"/>
          </w:tcPr>
          <w:p>
            <w:pPr>
              <w:spacing w:after="0"/>
            </w:pPr>
            <w:r/>
            <w:r>
              <w:rPr>
                <w:rFonts w:ascii="Aptos" w:hAnsi="Aptos"/>
                <w:b/>
                <w:color w:val="FFFFFF"/>
                <w:sz w:val="16"/>
              </w:rPr>
              <w:t>Setting</w:t>
            </w:r>
          </w:p>
        </w:tc>
        <w:tc>
          <w:tcPr>
            <w:tcW w:type="dxa" w:w="5083"/>
            <w:vAlign w:val="center"/>
            <w:shd w:fill="1F3F69"/>
          </w:tcPr>
          <w:p>
            <w:pPr>
              <w:spacing w:after="0"/>
            </w:pPr>
            <w:r/>
            <w:r>
              <w:rPr>
                <w:rFonts w:ascii="Aptos" w:hAnsi="Aptos"/>
                <w:b/>
                <w:color w:val="FFFFFF"/>
                <w:sz w:val="16"/>
              </w:rPr>
              <w:t>Configured behavior</w:t>
            </w:r>
          </w:p>
        </w:tc>
      </w:tr>
      <w:tr>
        <w:tc>
          <w:tcPr>
            <w:tcW w:type="dxa" w:w="5083"/>
            <w:vAlign w:val="center"/>
          </w:tcPr>
          <w:p>
            <w:pPr>
              <w:spacing w:after="0"/>
            </w:pPr>
            <w:r/>
            <w:r>
              <w:rPr>
                <w:rFonts w:ascii="Aptos" w:hAnsi="Aptos"/>
                <w:b w:val="0"/>
                <w:sz w:val="16"/>
              </w:rPr>
              <w:t>Variable group</w:t>
            </w:r>
          </w:p>
        </w:tc>
        <w:tc>
          <w:tcPr>
            <w:tcW w:type="dxa" w:w="5083"/>
            <w:vAlign w:val="center"/>
          </w:tcPr>
          <w:p>
            <w:pPr>
              <w:spacing w:after="0"/>
            </w:pPr>
            <w:r/>
            <w:r>
              <w:rPr>
                <w:rFonts w:ascii="Aptos" w:hAnsi="Aptos"/>
                <w:b w:val="0"/>
                <w:sz w:val="16"/>
              </w:rPr>
              <w:t>coEDW_Analytics_lib</w:t>
            </w:r>
          </w:p>
        </w:tc>
      </w:tr>
      <w:tr>
        <w:tc>
          <w:tcPr>
            <w:tcW w:type="dxa" w:w="5083"/>
            <w:vAlign w:val="center"/>
            <w:shd w:fill="F2F6FB"/>
          </w:tcPr>
          <w:p>
            <w:pPr>
              <w:spacing w:after="0"/>
            </w:pPr>
            <w:r/>
            <w:r>
              <w:rPr>
                <w:rFonts w:ascii="Aptos" w:hAnsi="Aptos"/>
                <w:b w:val="0"/>
                <w:sz w:val="16"/>
              </w:rPr>
              <w:t>Run name</w:t>
            </w:r>
          </w:p>
        </w:tc>
        <w:tc>
          <w:tcPr>
            <w:tcW w:type="dxa" w:w="5083"/>
            <w:vAlign w:val="center"/>
            <w:shd w:fill="F2F6FB"/>
          </w:tcPr>
          <w:p>
            <w:pPr>
              <w:spacing w:after="0"/>
            </w:pPr>
            <w:r/>
            <w:r>
              <w:rPr>
                <w:rFonts w:ascii="Aptos" w:hAnsi="Aptos"/>
                <w:b w:val="0"/>
                <w:sz w:val="16"/>
              </w:rPr>
              <w:t>coedw_pipeline_$(date:yyyyMMdd)$(rev:.r)</w:t>
            </w:r>
          </w:p>
        </w:tc>
      </w:tr>
      <w:tr>
        <w:tc>
          <w:tcPr>
            <w:tcW w:type="dxa" w:w="5083"/>
            <w:vAlign w:val="center"/>
          </w:tcPr>
          <w:p>
            <w:pPr>
              <w:spacing w:after="0"/>
            </w:pPr>
            <w:r/>
            <w:r>
              <w:rPr>
                <w:rFonts w:ascii="Aptos" w:hAnsi="Aptos"/>
                <w:b w:val="0"/>
                <w:sz w:val="16"/>
              </w:rPr>
              <w:t>Trigger</w:t>
            </w:r>
          </w:p>
        </w:tc>
        <w:tc>
          <w:tcPr>
            <w:tcW w:type="dxa" w:w="5083"/>
            <w:vAlign w:val="center"/>
          </w:tcPr>
          <w:p>
            <w:pPr>
              <w:spacing w:after="0"/>
            </w:pPr>
            <w:r/>
            <w:r>
              <w:rPr>
                <w:rFonts w:ascii="Aptos" w:hAnsi="Aptos"/>
                <w:b w:val="0"/>
                <w:sz w:val="16"/>
              </w:rPr>
              <w:t>trigger: none; the YAML does not define an automatic CI trigger.</w:t>
            </w:r>
          </w:p>
        </w:tc>
      </w:tr>
      <w:tr>
        <w:tc>
          <w:tcPr>
            <w:tcW w:type="dxa" w:w="5083"/>
            <w:vAlign w:val="center"/>
            <w:shd w:fill="F2F6FB"/>
          </w:tcPr>
          <w:p>
            <w:pPr>
              <w:spacing w:after="0"/>
            </w:pPr>
            <w:r/>
            <w:r>
              <w:rPr>
                <w:rFonts w:ascii="Aptos" w:hAnsi="Aptos"/>
                <w:b w:val="0"/>
                <w:sz w:val="16"/>
              </w:rPr>
              <w:t>Agent</w:t>
            </w:r>
          </w:p>
        </w:tc>
        <w:tc>
          <w:tcPr>
            <w:tcW w:type="dxa" w:w="5083"/>
            <w:vAlign w:val="center"/>
            <w:shd w:fill="F2F6FB"/>
          </w:tcPr>
          <w:p>
            <w:pPr>
              <w:spacing w:after="0"/>
            </w:pPr>
            <w:r/>
            <w:r>
              <w:rPr>
                <w:rFonts w:ascii="Aptos" w:hAnsi="Aptos"/>
                <w:b w:val="0"/>
                <w:sz w:val="16"/>
              </w:rPr>
              <w:t>ubuntu-latest</w:t>
            </w:r>
          </w:p>
        </w:tc>
      </w:tr>
      <w:tr>
        <w:tc>
          <w:tcPr>
            <w:tcW w:type="dxa" w:w="5083"/>
            <w:vAlign w:val="center"/>
          </w:tcPr>
          <w:p>
            <w:pPr>
              <w:spacing w:after="0"/>
            </w:pPr>
            <w:r/>
            <w:r>
              <w:rPr>
                <w:rFonts w:ascii="Aptos" w:hAnsi="Aptos"/>
                <w:b w:val="0"/>
                <w:sz w:val="16"/>
              </w:rPr>
              <w:t>Job timeout</w:t>
            </w:r>
          </w:p>
        </w:tc>
        <w:tc>
          <w:tcPr>
            <w:tcW w:type="dxa" w:w="5083"/>
            <w:vAlign w:val="center"/>
          </w:tcPr>
          <w:p>
            <w:pPr>
              <w:spacing w:after="0"/>
            </w:pPr>
            <w:r/>
            <w:r>
              <w:rPr>
                <w:rFonts w:ascii="Aptos" w:hAnsi="Aptos"/>
                <w:b w:val="0"/>
                <w:sz w:val="16"/>
              </w:rPr>
              <w:t>600 minutes</w:t>
            </w:r>
          </w:p>
        </w:tc>
      </w:tr>
      <w:tr>
        <w:tc>
          <w:tcPr>
            <w:tcW w:type="dxa" w:w="5083"/>
            <w:vAlign w:val="center"/>
            <w:shd w:fill="F2F6FB"/>
          </w:tcPr>
          <w:p>
            <w:pPr>
              <w:spacing w:after="0"/>
            </w:pPr>
            <w:r/>
            <w:r>
              <w:rPr>
                <w:rFonts w:ascii="Aptos" w:hAnsi="Aptos"/>
                <w:b w:val="0"/>
                <w:sz w:val="16"/>
              </w:rPr>
              <w:t>Python version</w:t>
            </w:r>
          </w:p>
        </w:tc>
        <w:tc>
          <w:tcPr>
            <w:tcW w:type="dxa" w:w="5083"/>
            <w:vAlign w:val="center"/>
            <w:shd w:fill="F2F6FB"/>
          </w:tcPr>
          <w:p>
            <w:pPr>
              <w:spacing w:after="0"/>
            </w:pPr>
            <w:r/>
            <w:r>
              <w:rPr>
                <w:rFonts w:ascii="Aptos" w:hAnsi="Aptos"/>
                <w:b w:val="0"/>
                <w:sz w:val="16"/>
              </w:rPr>
              <w:t>3.8</w:t>
            </w:r>
          </w:p>
        </w:tc>
      </w:tr>
      <w:tr>
        <w:tc>
          <w:tcPr>
            <w:tcW w:type="dxa" w:w="5083"/>
            <w:vAlign w:val="center"/>
          </w:tcPr>
          <w:p>
            <w:pPr>
              <w:spacing w:after="0"/>
            </w:pPr>
            <w:r/>
            <w:r>
              <w:rPr>
                <w:rFonts w:ascii="Aptos" w:hAnsi="Aptos"/>
                <w:b w:val="0"/>
                <w:sz w:val="16"/>
              </w:rPr>
              <w:t>Deployment entry point</w:t>
            </w:r>
          </w:p>
        </w:tc>
        <w:tc>
          <w:tcPr>
            <w:tcW w:type="dxa" w:w="5083"/>
            <w:vAlign w:val="center"/>
          </w:tcPr>
          <w:p>
            <w:pPr>
              <w:spacing w:after="0"/>
            </w:pPr>
            <w:r/>
            <w:r>
              <w:rPr>
                <w:rFonts w:ascii="Aptos" w:hAnsi="Aptos"/>
                <w:b w:val="0"/>
                <w:sz w:val="16"/>
              </w:rPr>
              <w:t>$(PROJECT_FOLDER)/scripts/snowdeploy.py</w:t>
            </w:r>
          </w:p>
        </w:tc>
      </w:tr>
    </w:tbl>
    <w:p>
      <w:pPr>
        <w:spacing w:after="20"/>
      </w:pPr>
    </w:p>
    <w:p>
      <w:pPr>
        <w:pStyle w:val="Heading1"/>
      </w:pPr>
      <w:r>
        <w:t>3. Run parameters and branch policy</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F3F69"/>
          </w:tcPr>
          <w:p>
            <w:pPr>
              <w:spacing w:after="0"/>
            </w:pPr>
            <w:r/>
            <w:r>
              <w:rPr>
                <w:rFonts w:ascii="Aptos" w:hAnsi="Aptos"/>
                <w:b/>
                <w:color w:val="FFFFFF"/>
                <w:sz w:val="16"/>
              </w:rPr>
              <w:t>Parameter</w:t>
            </w:r>
          </w:p>
        </w:tc>
        <w:tc>
          <w:tcPr>
            <w:tcW w:type="dxa" w:w="3389"/>
            <w:vAlign w:val="center"/>
            <w:shd w:fill="1F3F69"/>
          </w:tcPr>
          <w:p>
            <w:pPr>
              <w:spacing w:after="0"/>
            </w:pPr>
            <w:r/>
            <w:r>
              <w:rPr>
                <w:rFonts w:ascii="Aptos" w:hAnsi="Aptos"/>
                <w:b/>
                <w:color w:val="FFFFFF"/>
                <w:sz w:val="16"/>
              </w:rPr>
              <w:t>Values / default</w:t>
            </w:r>
          </w:p>
        </w:tc>
        <w:tc>
          <w:tcPr>
            <w:tcW w:type="dxa" w:w="3389"/>
            <w:vAlign w:val="center"/>
            <w:shd w:fill="1F3F69"/>
          </w:tcPr>
          <w:p>
            <w:pPr>
              <w:spacing w:after="0"/>
            </w:pPr>
            <w:r/>
            <w:r>
              <w:rPr>
                <w:rFonts w:ascii="Aptos" w:hAnsi="Aptos"/>
                <w:b/>
                <w:color w:val="FFFFFF"/>
                <w:sz w:val="16"/>
              </w:rPr>
              <w:t>Purpose</w:t>
            </w:r>
          </w:p>
        </w:tc>
      </w:tr>
      <w:tr>
        <w:tc>
          <w:tcPr>
            <w:tcW w:type="dxa" w:w="3389"/>
            <w:vAlign w:val="center"/>
          </w:tcPr>
          <w:p>
            <w:pPr>
              <w:spacing w:after="0"/>
            </w:pPr>
            <w:r/>
            <w:r>
              <w:rPr>
                <w:rFonts w:ascii="Aptos" w:hAnsi="Aptos"/>
                <w:b w:val="0"/>
                <w:sz w:val="16"/>
              </w:rPr>
              <w:t>target_environment</w:t>
            </w:r>
          </w:p>
        </w:tc>
        <w:tc>
          <w:tcPr>
            <w:tcW w:type="dxa" w:w="3389"/>
            <w:vAlign w:val="center"/>
          </w:tcPr>
          <w:p>
            <w:pPr>
              <w:spacing w:after="0"/>
            </w:pPr>
            <w:r/>
            <w:r>
              <w:rPr>
                <w:rFonts w:ascii="Aptos" w:hAnsi="Aptos"/>
                <w:b w:val="0"/>
                <w:sz w:val="16"/>
              </w:rPr>
              <w:t>DEV_TEST (default), PROD, PREPROD</w:t>
            </w:r>
          </w:p>
        </w:tc>
        <w:tc>
          <w:tcPr>
            <w:tcW w:type="dxa" w:w="3389"/>
            <w:vAlign w:val="center"/>
          </w:tcPr>
          <w:p>
            <w:pPr>
              <w:spacing w:after="0"/>
            </w:pPr>
            <w:r/>
            <w:r>
              <w:rPr>
                <w:rFonts w:ascii="Aptos" w:hAnsi="Aptos"/>
                <w:b w:val="0"/>
                <w:sz w:val="16"/>
              </w:rPr>
              <w:t>Selects the environment branch in the deployment script.</w:t>
            </w:r>
          </w:p>
        </w:tc>
      </w:tr>
      <w:tr>
        <w:tc>
          <w:tcPr>
            <w:tcW w:type="dxa" w:w="3389"/>
            <w:vAlign w:val="center"/>
            <w:shd w:fill="F2F6FB"/>
          </w:tcPr>
          <w:p>
            <w:pPr>
              <w:spacing w:after="0"/>
            </w:pPr>
            <w:r/>
            <w:r>
              <w:rPr>
                <w:rFonts w:ascii="Aptos" w:hAnsi="Aptos"/>
                <w:b w:val="0"/>
                <w:sz w:val="16"/>
              </w:rPr>
              <w:t>apply_post_deployment_steps</w:t>
            </w:r>
          </w:p>
        </w:tc>
        <w:tc>
          <w:tcPr>
            <w:tcW w:type="dxa" w:w="3389"/>
            <w:vAlign w:val="center"/>
            <w:shd w:fill="F2F6FB"/>
          </w:tcPr>
          <w:p>
            <w:pPr>
              <w:spacing w:after="0"/>
            </w:pPr>
            <w:r/>
            <w:r>
              <w:rPr>
                <w:rFonts w:ascii="Aptos" w:hAnsi="Aptos"/>
                <w:b w:val="0"/>
                <w:sz w:val="16"/>
              </w:rPr>
              <w:t>NO (default), YES</w:t>
            </w:r>
          </w:p>
        </w:tc>
        <w:tc>
          <w:tcPr>
            <w:tcW w:type="dxa" w:w="3389"/>
            <w:vAlign w:val="center"/>
            <w:shd w:fill="F2F6FB"/>
          </w:tcPr>
          <w:p>
            <w:pPr>
              <w:spacing w:after="0"/>
            </w:pPr>
            <w:r/>
            <w:r>
              <w:rPr>
                <w:rFonts w:ascii="Aptos" w:hAnsi="Aptos"/>
                <w:b w:val="0"/>
                <w:sz w:val="16"/>
              </w:rPr>
              <w:t>Controls the optional post-production block.</w:t>
            </w:r>
          </w:p>
        </w:tc>
      </w:tr>
    </w:tbl>
    <w:p>
      <w:pPr>
        <w:spacing w:after="20"/>
      </w:pPr>
    </w:p>
    <w:p>
      <w:r>
        <w:t>The initial Bash step reads Build.SourceBranch, derives CURRENT_BRANCH_NAME, and compares it with the configured branch variables. The intended mapping is: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F3F69"/>
          </w:tcPr>
          <w:p>
            <w:pPr>
              <w:spacing w:after="0"/>
            </w:pPr>
            <w:r/>
            <w:r>
              <w:rPr>
                <w:rFonts w:ascii="Aptos" w:hAnsi="Aptos"/>
                <w:b/>
                <w:color w:val="FFFFFF"/>
                <w:sz w:val="16"/>
              </w:rPr>
              <w:t>Target</w:t>
            </w:r>
          </w:p>
        </w:tc>
        <w:tc>
          <w:tcPr>
            <w:tcW w:type="dxa" w:w="3389"/>
            <w:vAlign w:val="center"/>
            <w:shd w:fill="1F3F69"/>
          </w:tcPr>
          <w:p>
            <w:pPr>
              <w:spacing w:after="0"/>
            </w:pPr>
            <w:r/>
            <w:r>
              <w:rPr>
                <w:rFonts w:ascii="Aptos" w:hAnsi="Aptos"/>
                <w:b/>
                <w:color w:val="FFFFFF"/>
                <w:sz w:val="16"/>
              </w:rPr>
              <w:t>Expected branch variable</w:t>
            </w:r>
          </w:p>
        </w:tc>
        <w:tc>
          <w:tcPr>
            <w:tcW w:type="dxa" w:w="3389"/>
            <w:vAlign w:val="center"/>
            <w:shd w:fill="1F3F69"/>
          </w:tcPr>
          <w:p>
            <w:pPr>
              <w:spacing w:after="0"/>
            </w:pPr>
            <w:r/>
            <w:r>
              <w:rPr>
                <w:rFonts w:ascii="Aptos" w:hAnsi="Aptos"/>
                <w:b/>
                <w:color w:val="FFFFFF"/>
                <w:sz w:val="16"/>
              </w:rPr>
              <w:t>Current caveat</w:t>
            </w:r>
          </w:p>
        </w:tc>
      </w:tr>
      <w:tr>
        <w:tc>
          <w:tcPr>
            <w:tcW w:type="dxa" w:w="3389"/>
            <w:vAlign w:val="center"/>
          </w:tcPr>
          <w:p>
            <w:pPr>
              <w:spacing w:after="0"/>
            </w:pPr>
            <w:r/>
            <w:r>
              <w:rPr>
                <w:rFonts w:ascii="Aptos" w:hAnsi="Aptos"/>
                <w:b w:val="0"/>
                <w:sz w:val="16"/>
              </w:rPr>
              <w:t>DEV_TEST</w:t>
            </w:r>
          </w:p>
        </w:tc>
        <w:tc>
          <w:tcPr>
            <w:tcW w:type="dxa" w:w="3389"/>
            <w:vAlign w:val="center"/>
          </w:tcPr>
          <w:p>
            <w:pPr>
              <w:spacing w:after="0"/>
            </w:pPr>
            <w:r/>
            <w:r>
              <w:rPr>
                <w:rFonts w:ascii="Aptos" w:hAnsi="Aptos"/>
                <w:b w:val="0"/>
                <w:sz w:val="16"/>
              </w:rPr>
              <w:t>TEAM_BRANCH_NAME</w:t>
            </w:r>
          </w:p>
        </w:tc>
        <w:tc>
          <w:tcPr>
            <w:tcW w:type="dxa" w:w="3389"/>
            <w:vAlign w:val="center"/>
          </w:tcPr>
          <w:p>
            <w:pPr>
              <w:spacing w:after="0"/>
            </w:pPr>
            <w:r/>
            <w:r>
              <w:rPr>
                <w:rFonts w:ascii="Aptos" w:hAnsi="Aptos"/>
                <w:b w:val="0"/>
                <w:sz w:val="16"/>
              </w:rPr>
              <w:t>Intended for the team integration branch.</w:t>
            </w:r>
          </w:p>
        </w:tc>
      </w:tr>
      <w:tr>
        <w:tc>
          <w:tcPr>
            <w:tcW w:type="dxa" w:w="3389"/>
            <w:vAlign w:val="center"/>
            <w:shd w:fill="F2F6FB"/>
          </w:tcPr>
          <w:p>
            <w:pPr>
              <w:spacing w:after="0"/>
            </w:pPr>
            <w:r/>
            <w:r>
              <w:rPr>
                <w:rFonts w:ascii="Aptos" w:hAnsi="Aptos"/>
                <w:b w:val="0"/>
                <w:sz w:val="16"/>
              </w:rPr>
              <w:t>PROD</w:t>
            </w:r>
          </w:p>
        </w:tc>
        <w:tc>
          <w:tcPr>
            <w:tcW w:type="dxa" w:w="3389"/>
            <w:vAlign w:val="center"/>
            <w:shd w:fill="F2F6FB"/>
          </w:tcPr>
          <w:p>
            <w:pPr>
              <w:spacing w:after="0"/>
            </w:pPr>
            <w:r/>
            <w:r>
              <w:rPr>
                <w:rFonts w:ascii="Aptos" w:hAnsi="Aptos"/>
                <w:b w:val="0"/>
                <w:sz w:val="16"/>
              </w:rPr>
              <w:t>MASTER_BRANCH_NAME</w:t>
            </w:r>
          </w:p>
        </w:tc>
        <w:tc>
          <w:tcPr>
            <w:tcW w:type="dxa" w:w="3389"/>
            <w:vAlign w:val="center"/>
            <w:shd w:fill="F2F6FB"/>
          </w:tcPr>
          <w:p>
            <w:pPr>
              <w:spacing w:after="0"/>
            </w:pPr>
            <w:r/>
            <w:r>
              <w:rPr>
                <w:rFonts w:ascii="Aptos" w:hAnsi="Aptos"/>
                <w:b w:val="0"/>
                <w:sz w:val="16"/>
              </w:rPr>
              <w:t>Intended for the production branch.</w:t>
            </w:r>
          </w:p>
        </w:tc>
      </w:tr>
      <w:tr>
        <w:tc>
          <w:tcPr>
            <w:tcW w:type="dxa" w:w="3389"/>
            <w:vAlign w:val="center"/>
          </w:tcPr>
          <w:p>
            <w:pPr>
              <w:spacing w:after="0"/>
            </w:pPr>
            <w:r/>
            <w:r>
              <w:rPr>
                <w:rFonts w:ascii="Aptos" w:hAnsi="Aptos"/>
                <w:b w:val="0"/>
                <w:sz w:val="16"/>
              </w:rPr>
              <w:t>PREPROD</w:t>
            </w:r>
          </w:p>
        </w:tc>
        <w:tc>
          <w:tcPr>
            <w:tcW w:type="dxa" w:w="3389"/>
            <w:vAlign w:val="center"/>
          </w:tcPr>
          <w:p>
            <w:pPr>
              <w:spacing w:after="0"/>
            </w:pPr>
            <w:r/>
            <w:r>
              <w:rPr>
                <w:rFonts w:ascii="Aptos" w:hAnsi="Aptos"/>
                <w:b w:val="0"/>
                <w:sz w:val="16"/>
              </w:rPr>
              <w:t>UAT_BRANCH_NAME</w:t>
            </w:r>
          </w:p>
        </w:tc>
        <w:tc>
          <w:tcPr>
            <w:tcW w:type="dxa" w:w="3389"/>
            <w:vAlign w:val="center"/>
          </w:tcPr>
          <w:p>
            <w:pPr>
              <w:spacing w:after="0"/>
            </w:pPr>
            <w:r/>
            <w:r>
              <w:rPr>
                <w:rFonts w:ascii="Aptos" w:hAnsi="Aptos"/>
                <w:b w:val="0"/>
                <w:sz w:val="16"/>
              </w:rPr>
              <w:t>The script checks TARGET_ENV_UAT even though the declared parameter value is PREPROD; align these names.</w:t>
            </w:r>
          </w:p>
        </w:tc>
      </w:tr>
    </w:tbl>
    <w:p>
      <w:pPr>
        <w:spacing w:after="20"/>
      </w:pPr>
    </w:p>
    <w:p>
      <w:r>
        <w:t>The branch-mismatch `exit 1` commands are commented out. As currently written, a mismatch prints a warning but does not fail the job. Enable explicit failure if branch restrictions must be enforced.</w:t>
      </w:r>
    </w:p>
    <w:p>
      <w:pPr>
        <w:pStyle w:val="Heading1"/>
      </w:pPr>
      <w:r>
        <w:t>4. Azure DevOps pipeline execution</w:t>
      </w:r>
    </w:p>
    <w:p>
      <w:pPr>
        <w:pStyle w:val="ListNumber"/>
      </w:pPr>
      <w:r>
        <w:rPr>
          <w:b/>
        </w:rPr>
        <w:t xml:space="preserve">Checkout repository: </w:t>
      </w:r>
      <w:r>
        <w:t>Checks out the source and persists Git credentials.</w:t>
      </w:r>
    </w:p>
    <w:p>
      <w:pPr>
        <w:pStyle w:val="ListNumber"/>
      </w:pPr>
      <w:r>
        <w:rPr>
          <w:b/>
        </w:rPr>
        <w:t xml:space="preserve">Check branch and target: </w:t>
      </w:r>
      <w:r>
        <w:t>Prints the selected environment and source branch, sets CURRENT_BRANCH_NAME, and evaluates the intended branch policy.</w:t>
      </w:r>
    </w:p>
    <w:p>
      <w:pPr>
        <w:pStyle w:val="ListNumber"/>
      </w:pPr>
      <w:r>
        <w:rPr>
          <w:b/>
        </w:rPr>
        <w:t xml:space="preserve">Prepare tooling: </w:t>
      </w:r>
      <w:r>
        <w:t>Selects Python 3.8, upgrades pip and Azure CLI, installs the Azure DevOps extension, authenticates using System.AccessToken, and sets organization/project defaults.</w:t>
      </w:r>
    </w:p>
    <w:p>
      <w:pPr>
        <w:pStyle w:val="ListNumber"/>
      </w:pPr>
      <w:r>
        <w:rPr>
          <w:b/>
        </w:rPr>
        <w:t xml:space="preserve">Find the baseline commit: </w:t>
      </w:r>
      <w:r>
        <w:t>Queries successful builds on the current branch whose build number starts with coedw_pipeline_; uses the latest sourceVersion as LAST_SUCCESSFUL_BUILD_COMMIT.</w:t>
      </w:r>
    </w:p>
    <w:p>
      <w:pPr>
        <w:pStyle w:val="ListNumber"/>
      </w:pPr>
      <w:r>
        <w:rPr>
          <w:b/>
        </w:rPr>
        <w:t xml:space="preserve">Set commit range and timestamp: </w:t>
      </w:r>
      <w:r>
        <w:t>Uses git rev-parse HEAD for CURRENT_GIT_BRANCH_HEAD and records BUILD_START_TIME.</w:t>
      </w:r>
    </w:p>
    <w:p>
      <w:pPr>
        <w:pStyle w:val="ListNumber"/>
      </w:pPr>
      <w:r>
        <w:rPr>
          <w:b/>
        </w:rPr>
        <w:t xml:space="preserve">Install dependencies: </w:t>
      </w:r>
      <w:r>
        <w:t>Installs certifi==2020.12.5 and snowflake-connector-python==3.12.4.</w:t>
      </w:r>
    </w:p>
    <w:p>
      <w:pPr>
        <w:pStyle w:val="ListNumber"/>
      </w:pPr>
      <w:r>
        <w:rPr>
          <w:b/>
        </w:rPr>
        <w:t xml:space="preserve">Invoke Snowdeploy: </w:t>
      </w:r>
      <w:r>
        <w:t>Passes Snowflake account/user/role/warehouse/database, metadata tables, build details, Git commit range, access token, repository ID, environment label, and warehouse-size mapping.</w:t>
      </w:r>
    </w:p>
    <w:p>
      <w:pPr>
        <w:pStyle w:val="Heading1"/>
      </w:pPr>
      <w:r>
        <w:t>5. Environment deployment status in the supplied YAML</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F3F69"/>
          </w:tcPr>
          <w:p>
            <w:pPr>
              <w:spacing w:after="0"/>
            </w:pPr>
            <w:r/>
            <w:r>
              <w:rPr>
                <w:rFonts w:ascii="Aptos" w:hAnsi="Aptos"/>
                <w:b/>
                <w:color w:val="FFFFFF"/>
                <w:sz w:val="16"/>
              </w:rPr>
              <w:t>Parameter</w:t>
            </w:r>
          </w:p>
        </w:tc>
        <w:tc>
          <w:tcPr>
            <w:tcW w:type="dxa" w:w="3389"/>
            <w:vAlign w:val="center"/>
            <w:shd w:fill="1F3F69"/>
          </w:tcPr>
          <w:p>
            <w:pPr>
              <w:spacing w:after="0"/>
            </w:pPr>
            <w:r/>
            <w:r>
              <w:rPr>
                <w:rFonts w:ascii="Aptos" w:hAnsi="Aptos"/>
                <w:b/>
                <w:color w:val="FFFFFF"/>
                <w:sz w:val="16"/>
              </w:rPr>
              <w:t>Code path</w:t>
            </w:r>
          </w:p>
        </w:tc>
        <w:tc>
          <w:tcPr>
            <w:tcW w:type="dxa" w:w="3389"/>
            <w:vAlign w:val="center"/>
            <w:shd w:fill="1F3F69"/>
          </w:tcPr>
          <w:p>
            <w:pPr>
              <w:spacing w:after="0"/>
            </w:pPr>
            <w:r/>
            <w:r>
              <w:rPr>
                <w:rFonts w:ascii="Aptos" w:hAnsi="Aptos"/>
                <w:b/>
                <w:color w:val="FFFFFF"/>
                <w:sz w:val="16"/>
              </w:rPr>
              <w:t>Status</w:t>
            </w:r>
          </w:p>
        </w:tc>
      </w:tr>
      <w:tr>
        <w:tc>
          <w:tcPr>
            <w:tcW w:type="dxa" w:w="3389"/>
            <w:vAlign w:val="center"/>
          </w:tcPr>
          <w:p>
            <w:pPr>
              <w:spacing w:after="0"/>
            </w:pPr>
            <w:r/>
            <w:r>
              <w:rPr>
                <w:rFonts w:ascii="Aptos" w:hAnsi="Aptos"/>
                <w:b w:val="0"/>
                <w:sz w:val="16"/>
              </w:rPr>
              <w:t>DEV_TEST</w:t>
            </w:r>
          </w:p>
        </w:tc>
        <w:tc>
          <w:tcPr>
            <w:tcW w:type="dxa" w:w="3389"/>
            <w:vAlign w:val="center"/>
          </w:tcPr>
          <w:p>
            <w:pPr>
              <w:spacing w:after="0"/>
            </w:pPr>
            <w:r/>
            <w:r>
              <w:rPr>
                <w:rFonts w:ascii="Aptos" w:hAnsi="Aptos"/>
                <w:b w:val="0"/>
                <w:sz w:val="16"/>
              </w:rPr>
              <w:t>Calls run_snowdeploy for the development database with the dev label.</w:t>
            </w:r>
          </w:p>
        </w:tc>
        <w:tc>
          <w:tcPr>
            <w:tcW w:type="dxa" w:w="3389"/>
            <w:vAlign w:val="center"/>
          </w:tcPr>
          <w:p>
            <w:pPr>
              <w:spacing w:after="0"/>
            </w:pPr>
            <w:r/>
            <w:r>
              <w:rPr>
                <w:rFonts w:ascii="Aptos" w:hAnsi="Aptos"/>
                <w:b w:val="0"/>
                <w:sz w:val="16"/>
              </w:rPr>
              <w:t>DEV invocation enabled; the separate TEST call is commented out.</w:t>
            </w:r>
          </w:p>
        </w:tc>
      </w:tr>
      <w:tr>
        <w:tc>
          <w:tcPr>
            <w:tcW w:type="dxa" w:w="3389"/>
            <w:vAlign w:val="center"/>
            <w:shd w:fill="F2F6FB"/>
          </w:tcPr>
          <w:p>
            <w:pPr>
              <w:spacing w:after="0"/>
            </w:pPr>
            <w:r/>
            <w:r>
              <w:rPr>
                <w:rFonts w:ascii="Aptos" w:hAnsi="Aptos"/>
                <w:b w:val="0"/>
                <w:sz w:val="16"/>
              </w:rPr>
              <w:t>PREPROD</w:t>
            </w:r>
          </w:p>
        </w:tc>
        <w:tc>
          <w:tcPr>
            <w:tcW w:type="dxa" w:w="3389"/>
            <w:vAlign w:val="center"/>
            <w:shd w:fill="F2F6FB"/>
          </w:tcPr>
          <w:p>
            <w:pPr>
              <w:spacing w:after="0"/>
            </w:pPr>
            <w:r/>
            <w:r>
              <w:rPr>
                <w:rFonts w:ascii="Aptos" w:hAnsi="Aptos"/>
                <w:b w:val="0"/>
                <w:sz w:val="16"/>
              </w:rPr>
              <w:t>The UAT/Pre-PROD run_snowdeploy call is commented out.</w:t>
            </w:r>
          </w:p>
        </w:tc>
        <w:tc>
          <w:tcPr>
            <w:tcW w:type="dxa" w:w="3389"/>
            <w:vAlign w:val="center"/>
            <w:shd w:fill="F2F6FB"/>
          </w:tcPr>
          <w:p>
            <w:pPr>
              <w:spacing w:after="0"/>
            </w:pPr>
            <w:r/>
            <w:r>
              <w:rPr>
                <w:rFonts w:ascii="Aptos" w:hAnsi="Aptos"/>
                <w:b w:val="0"/>
                <w:sz w:val="16"/>
              </w:rPr>
              <w:t>No PREPROD deployment is executed.</w:t>
            </w:r>
          </w:p>
        </w:tc>
      </w:tr>
      <w:tr>
        <w:tc>
          <w:tcPr>
            <w:tcW w:type="dxa" w:w="3389"/>
            <w:vAlign w:val="center"/>
          </w:tcPr>
          <w:p>
            <w:pPr>
              <w:spacing w:after="0"/>
            </w:pPr>
            <w:r/>
            <w:r>
              <w:rPr>
                <w:rFonts w:ascii="Aptos" w:hAnsi="Aptos"/>
                <w:b w:val="0"/>
                <w:sz w:val="16"/>
              </w:rPr>
              <w:t>PROD</w:t>
            </w:r>
          </w:p>
        </w:tc>
        <w:tc>
          <w:tcPr>
            <w:tcW w:type="dxa" w:w="3389"/>
            <w:vAlign w:val="center"/>
          </w:tcPr>
          <w:p>
            <w:pPr>
              <w:spacing w:after="0"/>
            </w:pPr>
            <w:r/>
            <w:r>
              <w:rPr>
                <w:rFonts w:ascii="Aptos" w:hAnsi="Aptos"/>
                <w:b w:val="0"/>
                <w:sz w:val="16"/>
              </w:rPr>
              <w:t>The production run_snowdeploy call is commented out.</w:t>
            </w:r>
          </w:p>
        </w:tc>
        <w:tc>
          <w:tcPr>
            <w:tcW w:type="dxa" w:w="3389"/>
            <w:vAlign w:val="center"/>
          </w:tcPr>
          <w:p>
            <w:pPr>
              <w:spacing w:after="0"/>
            </w:pPr>
            <w:r/>
            <w:r>
              <w:rPr>
                <w:rFonts w:ascii="Aptos" w:hAnsi="Aptos"/>
                <w:b w:val="0"/>
                <w:sz w:val="16"/>
              </w:rPr>
              <w:t>No PROD deployment is executed.</w:t>
            </w:r>
          </w:p>
        </w:tc>
      </w:tr>
      <w:tr>
        <w:tc>
          <w:tcPr>
            <w:tcW w:type="dxa" w:w="3389"/>
            <w:vAlign w:val="center"/>
            <w:shd w:fill="F2F6FB"/>
          </w:tcPr>
          <w:p>
            <w:pPr>
              <w:spacing w:after="0"/>
            </w:pPr>
            <w:r/>
            <w:r>
              <w:rPr>
                <w:rFonts w:ascii="Aptos" w:hAnsi="Aptos"/>
                <w:b w:val="0"/>
                <w:sz w:val="16"/>
              </w:rPr>
              <w:t>PROD + post-deployment YES</w:t>
            </w:r>
          </w:p>
        </w:tc>
        <w:tc>
          <w:tcPr>
            <w:tcW w:type="dxa" w:w="3389"/>
            <w:vAlign w:val="center"/>
            <w:shd w:fill="F2F6FB"/>
          </w:tcPr>
          <w:p>
            <w:pPr>
              <w:spacing w:after="0"/>
            </w:pPr>
            <w:r/>
            <w:r>
              <w:rPr>
                <w:rFonts w:ascii="Aptos" w:hAnsi="Aptos"/>
                <w:b w:val="0"/>
                <w:sz w:val="16"/>
              </w:rPr>
              <w:t>The post-production run_snowdeploy call is commented out.</w:t>
            </w:r>
          </w:p>
        </w:tc>
        <w:tc>
          <w:tcPr>
            <w:tcW w:type="dxa" w:w="3389"/>
            <w:vAlign w:val="center"/>
            <w:shd w:fill="F2F6FB"/>
          </w:tcPr>
          <w:p>
            <w:pPr>
              <w:spacing w:after="0"/>
            </w:pPr>
            <w:r/>
            <w:r>
              <w:rPr>
                <w:rFonts w:ascii="Aptos" w:hAnsi="Aptos"/>
                <w:b w:val="0"/>
                <w:sz w:val="16"/>
              </w:rPr>
              <w:t>Only the completion message runs; no post-deployment script is executed.</w:t>
            </w:r>
          </w:p>
        </w:tc>
      </w:tr>
    </w:tbl>
    <w:p>
      <w:pPr>
        <w:spacing w:after="20"/>
      </w:pPr>
    </w:p>
    <w:p>
      <w:r>
        <w:t>Although the parameter lists DEV_TEST, PREPROD, and PROD, only the DEV deployment invocation is active in the supplied YAML. The TEST, PREPROD, PROD, and post-production commands need to be enabled and validated before those deployments occur.</w:t>
      </w:r>
    </w:p>
    <w:p>
      <w:pPr>
        <w:pStyle w:val="Heading1"/>
      </w:pPr>
      <w:r>
        <w:t>6. Snowchange: incremental change detection</w:t>
      </w:r>
    </w:p>
    <w:p>
      <w:r>
        <w:t>The `get_incremental_changes_list()` function calls the Azure DevOps Git Diff Commits API for the repository. It compares the baseline commit (`last_success_build_id`, passed as the base version) with the current commit (`current_head`, passed as the target version). The request uses Azure DevOps API version 6.0 and Basic authentication generated from the supplied access token.</w:t>
      </w:r>
    </w:p>
    <w:p>
      <w:r>
        <w:t>The function processes the diff response in batches of up to 100 changes, using `skip` to request subsequent batches.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F3F69"/>
          </w:tcPr>
          <w:p>
            <w:pPr>
              <w:spacing w:after="0"/>
            </w:pPr>
            <w:r/>
            <w:r>
              <w:rPr>
                <w:rFonts w:ascii="Aptos" w:hAnsi="Aptos"/>
                <w:b/>
                <w:color w:val="FFFFFF"/>
                <w:sz w:val="16"/>
              </w:rPr>
              <w:t>Selection rule</w:t>
            </w:r>
          </w:p>
        </w:tc>
        <w:tc>
          <w:tcPr>
            <w:tcW w:type="dxa" w:w="5083"/>
            <w:vAlign w:val="center"/>
            <w:shd w:fill="1F3F69"/>
          </w:tcPr>
          <w:p>
            <w:pPr>
              <w:spacing w:after="0"/>
            </w:pPr>
            <w:r/>
            <w:r>
              <w:rPr>
                <w:rFonts w:ascii="Aptos" w:hAnsi="Aptos"/>
                <w:b/>
                <w:color w:val="FFFFFF"/>
                <w:sz w:val="16"/>
              </w:rPr>
              <w:t>Behavior visible in supplied code</w:t>
            </w:r>
          </w:p>
        </w:tc>
      </w:tr>
      <w:tr>
        <w:tc>
          <w:tcPr>
            <w:tcW w:type="dxa" w:w="5083"/>
            <w:vAlign w:val="center"/>
          </w:tcPr>
          <w:p>
            <w:pPr>
              <w:spacing w:after="0"/>
            </w:pPr>
            <w:r/>
            <w:r>
              <w:rPr>
                <w:rFonts w:ascii="Aptos" w:hAnsi="Aptos"/>
                <w:b w:val="0"/>
                <w:sz w:val="16"/>
              </w:rPr>
              <w:t>Eligible change types</w:t>
            </w:r>
          </w:p>
        </w:tc>
        <w:tc>
          <w:tcPr>
            <w:tcW w:type="dxa" w:w="5083"/>
            <w:vAlign w:val="center"/>
          </w:tcPr>
          <w:p>
            <w:pPr>
              <w:spacing w:after="0"/>
            </w:pPr>
            <w:r/>
            <w:r>
              <w:rPr>
                <w:rFonts w:ascii="Aptos" w:hAnsi="Aptos"/>
                <w:b w:val="0"/>
                <w:sz w:val="16"/>
              </w:rPr>
              <w:t>Adds, edits, and renames are considered; deleted files are not added by these conditions.</w:t>
            </w:r>
          </w:p>
        </w:tc>
      </w:tr>
      <w:tr>
        <w:tc>
          <w:tcPr>
            <w:tcW w:type="dxa" w:w="5083"/>
            <w:vAlign w:val="center"/>
            <w:shd w:fill="F2F6FB"/>
          </w:tcPr>
          <w:p>
            <w:pPr>
              <w:spacing w:after="0"/>
            </w:pPr>
            <w:r/>
            <w:r>
              <w:rPr>
                <w:rFonts w:ascii="Aptos" w:hAnsi="Aptos"/>
                <w:b w:val="0"/>
                <w:sz w:val="16"/>
              </w:rPr>
              <w:t>Folder entries</w:t>
            </w:r>
          </w:p>
        </w:tc>
        <w:tc>
          <w:tcPr>
            <w:tcW w:type="dxa" w:w="5083"/>
            <w:vAlign w:val="center"/>
            <w:shd w:fill="F2F6FB"/>
          </w:tcPr>
          <w:p>
            <w:pPr>
              <w:spacing w:after="0"/>
            </w:pPr>
            <w:r/>
            <w:r>
              <w:rPr>
                <w:rFonts w:ascii="Aptos" w:hAnsi="Aptos"/>
                <w:b w:val="0"/>
                <w:sz w:val="16"/>
              </w:rPr>
              <w:t>Entries marked `isFolder` are excluded from the script list.</w:t>
            </w:r>
          </w:p>
        </w:tc>
      </w:tr>
      <w:tr>
        <w:tc>
          <w:tcPr>
            <w:tcW w:type="dxa" w:w="5083"/>
            <w:vAlign w:val="center"/>
          </w:tcPr>
          <w:p>
            <w:pPr>
              <w:spacing w:after="0"/>
            </w:pPr>
            <w:r/>
            <w:r>
              <w:rPr>
                <w:rFonts w:ascii="Aptos" w:hAnsi="Aptos"/>
                <w:b w:val="0"/>
                <w:sz w:val="16"/>
              </w:rPr>
              <w:t>SQL versioned scripts</w:t>
            </w:r>
          </w:p>
        </w:tc>
        <w:tc>
          <w:tcPr>
            <w:tcW w:type="dxa" w:w="5083"/>
            <w:vAlign w:val="center"/>
          </w:tcPr>
          <w:p>
            <w:pPr>
              <w:spacing w:after="0"/>
            </w:pPr>
            <w:r/>
            <w:r>
              <w:rPr>
                <w:rFonts w:ascii="Aptos" w:hAnsi="Aptos"/>
                <w:b w:val="0"/>
                <w:sz w:val="16"/>
              </w:rPr>
              <w:t>Paths containing `/V` or `/v` are excluded from the non-versioned selection branch.</w:t>
            </w:r>
          </w:p>
        </w:tc>
      </w:tr>
      <w:tr>
        <w:tc>
          <w:tcPr>
            <w:tcW w:type="dxa" w:w="5083"/>
            <w:vAlign w:val="center"/>
            <w:shd w:fill="F2F6FB"/>
          </w:tcPr>
          <w:p>
            <w:pPr>
              <w:spacing w:after="0"/>
            </w:pPr>
            <w:r/>
            <w:r>
              <w:rPr>
                <w:rFonts w:ascii="Aptos" w:hAnsi="Aptos"/>
                <w:b w:val="0"/>
                <w:sz w:val="16"/>
              </w:rPr>
              <w:t>coedw_pipeline_* pipeline</w:t>
            </w:r>
          </w:p>
        </w:tc>
        <w:tc>
          <w:tcPr>
            <w:tcW w:type="dxa" w:w="5083"/>
            <w:vAlign w:val="center"/>
            <w:shd w:fill="F2F6FB"/>
          </w:tcPr>
          <w:p>
            <w:pPr>
              <w:spacing w:after="0"/>
            </w:pPr>
            <w:r/>
            <w:r>
              <w:rPr>
                <w:rFonts w:ascii="Aptos" w:hAnsi="Aptos"/>
                <w:b w:val="0"/>
                <w:sz w:val="16"/>
              </w:rPr>
              <w:t>When account_level_file is `0`, the code excludes paths containing `coEDW/Security/` and selects eligible changes under its non-versioned-script condition. When account_level_file is not `0`, it selects eligible changes under the alternate branch.</w:t>
            </w:r>
          </w:p>
        </w:tc>
      </w:tr>
      <w:tr>
        <w:tc>
          <w:tcPr>
            <w:tcW w:type="dxa" w:w="5083"/>
            <w:vAlign w:val="center"/>
          </w:tcPr>
          <w:p>
            <w:pPr>
              <w:spacing w:after="0"/>
            </w:pPr>
            <w:r/>
            <w:r>
              <w:rPr>
                <w:rFonts w:ascii="Aptos" w:hAnsi="Aptos"/>
                <w:b w:val="0"/>
                <w:sz w:val="16"/>
              </w:rPr>
              <w:t>Other pipeline names</w:t>
            </w:r>
          </w:p>
        </w:tc>
        <w:tc>
          <w:tcPr>
            <w:tcW w:type="dxa" w:w="5083"/>
            <w:vAlign w:val="center"/>
          </w:tcPr>
          <w:p>
            <w:pPr>
              <w:spacing w:after="0"/>
            </w:pPr>
            <w:r/>
            <w:r>
              <w:rPr>
                <w:rFonts w:ascii="Aptos" w:hAnsi="Aptos"/>
                <w:b w:val="0"/>
                <w:sz w:val="16"/>
              </w:rPr>
              <w:t>For non-coedw_pipeline names, the code filters for `coEDW/post_prod_deployment/` when the file selector is `3`; other eligible changed paths are collected under the shown conditions.</w:t>
            </w:r>
          </w:p>
        </w:tc>
      </w:tr>
    </w:tbl>
    <w:p>
      <w:pPr>
        <w:spacing w:after="20"/>
      </w:pPr>
    </w:p>
    <w:p>
      <w:r>
        <w:t>The function uses the diff response's `item.path` joined to `root_directory` to form candidate file paths. The displayed code shows pagination and selection logic; exact behavior for API edge cases depends on the remaining function body.</w:t>
      </w:r>
    </w:p>
    <w:p>
      <w:pPr>
        <w:pStyle w:val="Heading1"/>
      </w:pPr>
      <w:r>
        <w:t>7. Snowchange: recursive discovery and ordering</w:t>
      </w:r>
    </w:p>
    <w:p>
      <w:r>
        <w:t>`get_modified_files()` calls `get_incremental_changes_list()` and then walks the repository root recursively with `os.walk()`. It considers `.sql` files that are in the incremental change list and applies additional folder filters based on `account_level_file`.</w:t>
      </w:r>
    </w:p>
    <w:p>
      <w:pPr>
        <w:pStyle w:val="ListBullet"/>
      </w:pPr>
      <w:r>
        <w:t>With account_level_file `0`, a file is retained only if its path matches the supplied `folder_path` regular expression.</w:t>
      </w:r>
    </w:p>
    <w:p>
      <w:pPr>
        <w:pStyle w:val="ListBullet"/>
      </w:pPr>
      <w:r>
        <w:t>With account_level_file `3`, a file is retained only if it matches the `coEDW/post_prod_deployment/` path pattern.</w:t>
      </w:r>
    </w:p>
    <w:p>
      <w:pPr>
        <w:pStyle w:val="ListBullet"/>
      </w:pPr>
      <w:r>
        <w:t>An optional order file is read into `order_paths`; candidate paths are sorted using `get_sort_key()` so scripts can follow the specified deployment order.</w:t>
      </w:r>
    </w:p>
    <w:p>
      <w:pPr>
        <w:pStyle w:val="ListBullet"/>
      </w:pPr>
      <w:r>
        <w:t>For each sorted path, `get_details()` builds the script metadata, and the result is returned as an indexed dictionary (`all_vr_files`).</w:t>
      </w:r>
    </w:p>
    <w:p>
      <w:r>
        <w:t>The supplied code filters for SQL files and invokes `get_details()` for each selected path. The exact interpretation of V/R script naming and sort behavior depends on the implementations of `get_details()` and `get_sort_key()`, which were not included in the screenshots.</w:t>
      </w:r>
    </w:p>
    <w:p>
      <w:pPr>
        <w:pStyle w:val="Heading1"/>
      </w:pPr>
      <w:r>
        <w:t>8. Snowflake connection and metadata setup</w:t>
      </w:r>
    </w:p>
    <w:p>
      <w:r>
        <w:t>The `snowchange()` entry point first checks that `SNOWSQL_PWD` and `SF_PRIVATE_KEY` exist in the process environment and verifies that the configured root folder exists. It sets Snowflake connection variables including account, user, role, warehouse, database, authenticator, and key-pair authentication settings, then calls `get_snowflake_connection()`.</w:t>
      </w:r>
    </w:p>
    <w:p>
      <w:r>
        <w:t>The code retrieves the change-history table details and build-information table details. It creates the change-history table and build-information table, including their containing objects, if they are missing. These tables support deployment history and build traceability.</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F3F69"/>
          </w:tcPr>
          <w:p>
            <w:pPr>
              <w:spacing w:after="0"/>
            </w:pPr>
            <w:r/>
            <w:r>
              <w:rPr>
                <w:rFonts w:ascii="Aptos" w:hAnsi="Aptos"/>
                <w:b/>
                <w:color w:val="FFFFFF"/>
                <w:sz w:val="16"/>
              </w:rPr>
              <w:t>Metadata / setting</w:t>
            </w:r>
          </w:p>
        </w:tc>
        <w:tc>
          <w:tcPr>
            <w:tcW w:type="dxa" w:w="5083"/>
            <w:vAlign w:val="center"/>
            <w:shd w:fill="1F3F69"/>
          </w:tcPr>
          <w:p>
            <w:pPr>
              <w:spacing w:after="0"/>
            </w:pPr>
            <w:r/>
            <w:r>
              <w:rPr>
                <w:rFonts w:ascii="Aptos" w:hAnsi="Aptos"/>
                <w:b/>
                <w:color w:val="FFFFFF"/>
                <w:sz w:val="16"/>
              </w:rPr>
              <w:t>Role in the pipeline</w:t>
            </w:r>
          </w:p>
        </w:tc>
      </w:tr>
      <w:tr>
        <w:tc>
          <w:tcPr>
            <w:tcW w:type="dxa" w:w="5083"/>
            <w:vAlign w:val="center"/>
          </w:tcPr>
          <w:p>
            <w:pPr>
              <w:spacing w:after="0"/>
            </w:pPr>
            <w:r/>
            <w:r>
              <w:rPr>
                <w:rFonts w:ascii="Aptos" w:hAnsi="Aptos"/>
                <w:b w:val="0"/>
                <w:sz w:val="16"/>
              </w:rPr>
              <w:t>SNOWSQL_PWD</w:t>
            </w:r>
          </w:p>
        </w:tc>
        <w:tc>
          <w:tcPr>
            <w:tcW w:type="dxa" w:w="5083"/>
            <w:vAlign w:val="center"/>
          </w:tcPr>
          <w:p>
            <w:pPr>
              <w:spacing w:after="0"/>
            </w:pPr>
            <w:r/>
            <w:r>
              <w:rPr>
                <w:rFonts w:ascii="Aptos" w:hAnsi="Aptos"/>
                <w:b w:val="0"/>
                <w:sz w:val="16"/>
              </w:rPr>
              <w:t>Password environment variable required by the entry-point validation and connection call.</w:t>
            </w:r>
          </w:p>
        </w:tc>
      </w:tr>
      <w:tr>
        <w:tc>
          <w:tcPr>
            <w:tcW w:type="dxa" w:w="5083"/>
            <w:vAlign w:val="center"/>
            <w:shd w:fill="F2F6FB"/>
          </w:tcPr>
          <w:p>
            <w:pPr>
              <w:spacing w:after="0"/>
            </w:pPr>
            <w:r/>
            <w:r>
              <w:rPr>
                <w:rFonts w:ascii="Aptos" w:hAnsi="Aptos"/>
                <w:b w:val="0"/>
                <w:sz w:val="16"/>
              </w:rPr>
              <w:t>SF_PRIVATE_KEY</w:t>
            </w:r>
          </w:p>
        </w:tc>
        <w:tc>
          <w:tcPr>
            <w:tcW w:type="dxa" w:w="5083"/>
            <w:vAlign w:val="center"/>
            <w:shd w:fill="F2F6FB"/>
          </w:tcPr>
          <w:p>
            <w:pPr>
              <w:spacing w:after="0"/>
            </w:pPr>
            <w:r/>
            <w:r>
              <w:rPr>
                <w:rFonts w:ascii="Aptos" w:hAnsi="Aptos"/>
                <w:b w:val="0"/>
                <w:sz w:val="16"/>
              </w:rPr>
              <w:t>Private-key environment variable required by the entry-point validation and connection call.</w:t>
            </w:r>
          </w:p>
        </w:tc>
      </w:tr>
      <w:tr>
        <w:tc>
          <w:tcPr>
            <w:tcW w:type="dxa" w:w="5083"/>
            <w:vAlign w:val="center"/>
          </w:tcPr>
          <w:p>
            <w:pPr>
              <w:spacing w:after="0"/>
            </w:pPr>
            <w:r/>
            <w:r>
              <w:rPr>
                <w:rFonts w:ascii="Aptos" w:hAnsi="Aptos"/>
                <w:b w:val="0"/>
                <w:sz w:val="16"/>
              </w:rPr>
              <w:t>Change-history table</w:t>
            </w:r>
          </w:p>
        </w:tc>
        <w:tc>
          <w:tcPr>
            <w:tcW w:type="dxa" w:w="5083"/>
            <w:vAlign w:val="center"/>
          </w:tcPr>
          <w:p>
            <w:pPr>
              <w:spacing w:after="0"/>
            </w:pPr>
            <w:r/>
            <w:r>
              <w:rPr>
                <w:rFonts w:ascii="Aptos" w:hAnsi="Aptos"/>
                <w:b w:val="0"/>
                <w:sz w:val="16"/>
              </w:rPr>
              <w:t>Records change/deployment history; table details are resolved from configuration.</w:t>
            </w:r>
          </w:p>
        </w:tc>
      </w:tr>
      <w:tr>
        <w:tc>
          <w:tcPr>
            <w:tcW w:type="dxa" w:w="5083"/>
            <w:vAlign w:val="center"/>
            <w:shd w:fill="F2F6FB"/>
          </w:tcPr>
          <w:p>
            <w:pPr>
              <w:spacing w:after="0"/>
            </w:pPr>
            <w:r/>
            <w:r>
              <w:rPr>
                <w:rFonts w:ascii="Aptos" w:hAnsi="Aptos"/>
                <w:b w:val="0"/>
                <w:sz w:val="16"/>
              </w:rPr>
              <w:t>Build-information table</w:t>
            </w:r>
          </w:p>
        </w:tc>
        <w:tc>
          <w:tcPr>
            <w:tcW w:type="dxa" w:w="5083"/>
            <w:vAlign w:val="center"/>
            <w:shd w:fill="F2F6FB"/>
          </w:tcPr>
          <w:p>
            <w:pPr>
              <w:spacing w:after="0"/>
            </w:pPr>
            <w:r/>
            <w:r>
              <w:rPr>
                <w:rFonts w:ascii="Aptos" w:hAnsi="Aptos"/>
                <w:b w:val="0"/>
                <w:sz w:val="16"/>
              </w:rPr>
              <w:t>Stores build metadata and information about the script set processed.</w:t>
            </w:r>
          </w:p>
        </w:tc>
      </w:tr>
      <w:tr>
        <w:tc>
          <w:tcPr>
            <w:tcW w:type="dxa" w:w="5083"/>
            <w:vAlign w:val="center"/>
          </w:tcPr>
          <w:p>
            <w:pPr>
              <w:spacing w:after="0"/>
            </w:pPr>
            <w:r/>
            <w:r>
              <w:rPr>
                <w:rFonts w:ascii="Aptos" w:hAnsi="Aptos"/>
                <w:b w:val="0"/>
                <w:sz w:val="16"/>
              </w:rPr>
              <w:t>autocommit / verbose</w:t>
            </w:r>
          </w:p>
        </w:tc>
        <w:tc>
          <w:tcPr>
            <w:tcW w:type="dxa" w:w="5083"/>
            <w:vAlign w:val="center"/>
          </w:tcPr>
          <w:p>
            <w:pPr>
              <w:spacing w:after="0"/>
            </w:pPr>
            <w:r/>
            <w:r>
              <w:rPr>
                <w:rFonts w:ascii="Aptos" w:hAnsi="Aptos"/>
                <w:b w:val="0"/>
                <w:sz w:val="16"/>
              </w:rPr>
              <w:t>Runtime options passed through the Snowchange functions.</w:t>
            </w:r>
          </w:p>
        </w:tc>
      </w:tr>
    </w:tbl>
    <w:p>
      <w:pPr>
        <w:spacing w:after="20"/>
      </w:pPr>
    </w:p>
    <w:p>
      <w:pPr>
        <w:pStyle w:val="Heading1"/>
      </w:pPr>
      <w:r>
        <w:t>9. Snowchange: script application and build recording</w:t>
      </w:r>
    </w:p>
    <w:p>
      <w:pPr>
        <w:pStyle w:val="ListNumber"/>
      </w:pPr>
      <w:r>
        <w:rPr>
          <w:b/>
        </w:rPr>
        <w:t xml:space="preserve">Discover scripts: </w:t>
      </w:r>
      <w:r>
        <w:t>Calls get_all_scripts_recursively() with the root folder, baseline and current commits, access token, build table, connection, repository ID, and pipeline name.</w:t>
      </w:r>
    </w:p>
    <w:p>
      <w:pPr>
        <w:pStyle w:val="ListNumber"/>
      </w:pPr>
      <w:r>
        <w:rPr>
          <w:b/>
        </w:rPr>
        <w:t xml:space="preserve">Report candidates: </w:t>
      </w:r>
      <w:r>
        <w:t>Prints the list of scripts modified since the last successful build, including each script name and full path; otherwise prints that there are no modified scripts.</w:t>
      </w:r>
    </w:p>
    <w:p>
      <w:pPr>
        <w:pStyle w:val="ListNumber"/>
      </w:pPr>
      <w:r>
        <w:rPr>
          <w:b/>
        </w:rPr>
        <w:t xml:space="preserve">Apply scripts in order: </w:t>
      </w:r>
      <w:r>
        <w:t>Loops through all returned entries and passes each script descriptor to apply_change_script() along with the Snowflake connection, variables, change-history table, autocommit/verbose options, build ID, start time, pipeline name, and database environment.</w:t>
      </w:r>
    </w:p>
    <w:p>
      <w:pPr>
        <w:pStyle w:val="ListNumber"/>
      </w:pPr>
      <w:r>
        <w:rPr>
          <w:b/>
        </w:rPr>
        <w:t xml:space="preserve">Update build information: </w:t>
      </w:r>
      <w:r>
        <w:t>If the returned script collection is truthy, calls update_build_info_table() with the current commit, pipeline name, start timestamp, and script collection.</w:t>
      </w:r>
    </w:p>
    <w:p>
      <w:pPr>
        <w:pStyle w:val="ListNumber"/>
      </w:pPr>
      <w:r>
        <w:rPr>
          <w:b/>
        </w:rPr>
        <w:t xml:space="preserve">Report and close: </w:t>
      </w:r>
      <w:r>
        <w:t>Prints applied/skipped script counts, closes the Snowflake connection, and prints a completion message.</w:t>
      </w:r>
    </w:p>
    <w:p>
      <w:r>
        <w:t>Implementation note: the shown loop increments `scripts_applied` after calling `apply_change_script()`. The exact conditions under which a script is skipped, marked successful, or raises an error depend on `apply_change_script()`, which was not supplied.</w:t>
      </w:r>
    </w:p>
    <w:p>
      <w:pPr>
        <w:pStyle w:val="Heading1"/>
      </w:pPr>
      <w:r>
        <w:t>10. End-to-end flow</w:t>
      </w:r>
    </w:p>
    <w:p>
      <w:pPr>
        <w:jc w:val="center"/>
      </w:pPr>
      <w:r>
        <w:rPr>
          <w:b/>
          <w:color w:val="2F5F99"/>
        </w:rPr>
        <w:t>Azure DevOps run → branch/environment check → baseline/current Git commits → Git Diff API → changed SQL filtering → recursive discovery → order-file sorting → Snowflake connection → apply scripts → update change/build metadata → close connection</w:t>
      </w:r>
    </w:p>
    <w:p>
      <w:pPr>
        <w:pStyle w:val="Heading1"/>
      </w:pPr>
      <w:r>
        <w:t>11. Recommendations and validation points</w:t>
      </w:r>
    </w:p>
    <w:p>
      <w:pPr>
        <w:pStyle w:val="ListBullet"/>
      </w:pPr>
      <w:r>
        <w:t>Uncomment or implement branch-policy failures so an invalid branch/environment combination cannot continue.</w:t>
      </w:r>
    </w:p>
    <w:p>
      <w:pPr>
        <w:pStyle w:val="ListBullet"/>
      </w:pPr>
      <w:r>
        <w:t>Make PREPROD and TARGET_ENV_UAT naming consistent.</w:t>
      </w:r>
    </w:p>
    <w:p>
      <w:pPr>
        <w:pStyle w:val="ListBullet"/>
      </w:pPr>
      <w:r>
        <w:t>Enable TEST, PREPROD, PROD, and post-production deployment calls only after confirming target database, role, warehouse, and environment values.</w:t>
      </w:r>
    </w:p>
    <w:p>
      <w:pPr>
        <w:pStyle w:val="ListBullet"/>
      </w:pPr>
      <w:r>
        <w:t>Validate that INITIAL_COMMIT_ID is configured and is a valid commit hash.</w:t>
      </w:r>
    </w:p>
    <w:p>
      <w:pPr>
        <w:pStyle w:val="ListBullet"/>
      </w:pPr>
      <w:r>
        <w:t>Confirm how `get_incremental_changes_list()` handles an empty diff, pagination termination, and API failures.</w:t>
      </w:r>
    </w:p>
    <w:p>
      <w:pPr>
        <w:pStyle w:val="ListBullet"/>
      </w:pPr>
      <w:r>
        <w:t>Review the `coEDW/Security/` and `coEDW/post_prod_deployment/` filters against the intended deployment policy.</w:t>
      </w:r>
    </w:p>
    <w:p>
      <w:pPr>
        <w:pStyle w:val="ListBullet"/>
      </w:pPr>
      <w:r>
        <w:t>Confirm the semantics of `account_level_file`, `folder_path`, `get_sort_key()`, `get_details()`, and `apply_change_script()` against the complete source.</w:t>
      </w:r>
    </w:p>
    <w:p>
      <w:pPr>
        <w:pStyle w:val="ListBullet"/>
      </w:pPr>
      <w:r>
        <w:t>Avoid printing secrets; retain tokens and private keys only in protected secret variables and ensure they are never logged.</w:t>
      </w:r>
    </w:p>
    <w:p>
      <w:pPr>
        <w:pStyle w:val="ListBullet"/>
      </w:pPr>
      <w:r>
        <w:t>Consider pinning a tested Azure CLI version rather than upgrading the CLI during every run.</w:t>
      </w:r>
    </w:p>
    <w:p>
      <w:pPr>
        <w:pStyle w:val="ListBullet"/>
      </w:pPr>
      <w:r>
        <w:t>Review `failOnStderr: true` and make error handling explicit to avoid failing on benign warnings.</w:t>
      </w:r>
    </w:p>
    <w:p>
      <w:pPr>
        <w:pStyle w:val="Heading1"/>
      </w:pPr>
      <w:r>
        <w:t>12. Environment summary</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F3F69"/>
          </w:tcPr>
          <w:p>
            <w:pPr>
              <w:spacing w:after="0"/>
            </w:pPr>
            <w:r/>
            <w:r>
              <w:rPr>
                <w:rFonts w:ascii="Aptos" w:hAnsi="Aptos"/>
                <w:b/>
                <w:color w:val="FFFFFF"/>
                <w:sz w:val="16"/>
              </w:rPr>
              <w:t>Environment</w:t>
            </w:r>
          </w:p>
        </w:tc>
        <w:tc>
          <w:tcPr>
            <w:tcW w:type="dxa" w:w="3389"/>
            <w:vAlign w:val="center"/>
            <w:shd w:fill="1F3F69"/>
          </w:tcPr>
          <w:p>
            <w:pPr>
              <w:spacing w:after="0"/>
            </w:pPr>
            <w:r/>
            <w:r>
              <w:rPr>
                <w:rFonts w:ascii="Aptos" w:hAnsi="Aptos"/>
                <w:b/>
                <w:color w:val="FFFFFF"/>
                <w:sz w:val="16"/>
              </w:rPr>
              <w:t>Intended branch</w:t>
            </w:r>
          </w:p>
        </w:tc>
        <w:tc>
          <w:tcPr>
            <w:tcW w:type="dxa" w:w="3389"/>
            <w:vAlign w:val="center"/>
            <w:shd w:fill="1F3F69"/>
          </w:tcPr>
          <w:p>
            <w:pPr>
              <w:spacing w:after="0"/>
            </w:pPr>
            <w:r/>
            <w:r>
              <w:rPr>
                <w:rFonts w:ascii="Aptos" w:hAnsi="Aptos"/>
                <w:b/>
                <w:color w:val="FFFFFF"/>
                <w:sz w:val="16"/>
              </w:rPr>
              <w:t>Status in supplied YAML</w:t>
            </w:r>
          </w:p>
        </w:tc>
      </w:tr>
      <w:tr>
        <w:tc>
          <w:tcPr>
            <w:tcW w:type="dxa" w:w="3389"/>
            <w:vAlign w:val="center"/>
          </w:tcPr>
          <w:p>
            <w:pPr>
              <w:spacing w:after="0"/>
            </w:pPr>
            <w:r/>
            <w:r>
              <w:rPr>
                <w:rFonts w:ascii="Aptos" w:hAnsi="Aptos"/>
                <w:b w:val="0"/>
                <w:sz w:val="16"/>
              </w:rPr>
              <w:t>DEV</w:t>
            </w:r>
          </w:p>
        </w:tc>
        <w:tc>
          <w:tcPr>
            <w:tcW w:type="dxa" w:w="3389"/>
            <w:vAlign w:val="center"/>
          </w:tcPr>
          <w:p>
            <w:pPr>
              <w:spacing w:after="0"/>
            </w:pPr>
            <w:r/>
            <w:r>
              <w:rPr>
                <w:rFonts w:ascii="Aptos" w:hAnsi="Aptos"/>
                <w:b w:val="0"/>
                <w:sz w:val="16"/>
              </w:rPr>
              <w:t>TEAM_BRANCH_NAME / team integration branch</w:t>
            </w:r>
          </w:p>
        </w:tc>
        <w:tc>
          <w:tcPr>
            <w:tcW w:type="dxa" w:w="3389"/>
            <w:vAlign w:val="center"/>
          </w:tcPr>
          <w:p>
            <w:pPr>
              <w:spacing w:after="0"/>
            </w:pPr>
            <w:r/>
            <w:r>
              <w:rPr>
                <w:rFonts w:ascii="Aptos" w:hAnsi="Aptos"/>
                <w:b w:val="0"/>
                <w:sz w:val="16"/>
              </w:rPr>
              <w:t>Snowdeploy invocation enabled.</w:t>
            </w:r>
          </w:p>
        </w:tc>
      </w:tr>
      <w:tr>
        <w:tc>
          <w:tcPr>
            <w:tcW w:type="dxa" w:w="3389"/>
            <w:vAlign w:val="center"/>
            <w:shd w:fill="F2F6FB"/>
          </w:tcPr>
          <w:p>
            <w:pPr>
              <w:spacing w:after="0"/>
            </w:pPr>
            <w:r/>
            <w:r>
              <w:rPr>
                <w:rFonts w:ascii="Aptos" w:hAnsi="Aptos"/>
                <w:b w:val="0"/>
                <w:sz w:val="16"/>
              </w:rPr>
              <w:t>TEST</w:t>
            </w:r>
          </w:p>
        </w:tc>
        <w:tc>
          <w:tcPr>
            <w:tcW w:type="dxa" w:w="3389"/>
            <w:vAlign w:val="center"/>
            <w:shd w:fill="F2F6FB"/>
          </w:tcPr>
          <w:p>
            <w:pPr>
              <w:spacing w:after="0"/>
            </w:pPr>
            <w:r/>
            <w:r>
              <w:rPr>
                <w:rFonts w:ascii="Aptos" w:hAnsi="Aptos"/>
                <w:b w:val="0"/>
                <w:sz w:val="16"/>
              </w:rPr>
              <w:t>TEAM_BRANCH_NAME / team integration branch</w:t>
            </w:r>
          </w:p>
        </w:tc>
        <w:tc>
          <w:tcPr>
            <w:tcW w:type="dxa" w:w="3389"/>
            <w:vAlign w:val="center"/>
            <w:shd w:fill="F2F6FB"/>
          </w:tcPr>
          <w:p>
            <w:pPr>
              <w:spacing w:after="0"/>
            </w:pPr>
            <w:r/>
            <w:r>
              <w:rPr>
                <w:rFonts w:ascii="Aptos" w:hAnsi="Aptos"/>
                <w:b w:val="0"/>
                <w:sz w:val="16"/>
              </w:rPr>
              <w:t>Invocation commented out.</w:t>
            </w:r>
          </w:p>
        </w:tc>
      </w:tr>
      <w:tr>
        <w:tc>
          <w:tcPr>
            <w:tcW w:type="dxa" w:w="3389"/>
            <w:vAlign w:val="center"/>
          </w:tcPr>
          <w:p>
            <w:pPr>
              <w:spacing w:after="0"/>
            </w:pPr>
            <w:r/>
            <w:r>
              <w:rPr>
                <w:rFonts w:ascii="Aptos" w:hAnsi="Aptos"/>
                <w:b w:val="0"/>
                <w:sz w:val="16"/>
              </w:rPr>
              <w:t>PREPROD</w:t>
            </w:r>
          </w:p>
        </w:tc>
        <w:tc>
          <w:tcPr>
            <w:tcW w:type="dxa" w:w="3389"/>
            <w:vAlign w:val="center"/>
          </w:tcPr>
          <w:p>
            <w:pPr>
              <w:spacing w:after="0"/>
            </w:pPr>
            <w:r/>
            <w:r>
              <w:rPr>
                <w:rFonts w:ascii="Aptos" w:hAnsi="Aptos"/>
                <w:b w:val="0"/>
                <w:sz w:val="16"/>
              </w:rPr>
              <w:t>UAT_BRANCH_NAME; naming requires alignment</w:t>
            </w:r>
          </w:p>
        </w:tc>
        <w:tc>
          <w:tcPr>
            <w:tcW w:type="dxa" w:w="3389"/>
            <w:vAlign w:val="center"/>
          </w:tcPr>
          <w:p>
            <w:pPr>
              <w:spacing w:after="0"/>
            </w:pPr>
            <w:r/>
            <w:r>
              <w:rPr>
                <w:rFonts w:ascii="Aptos" w:hAnsi="Aptos"/>
                <w:b w:val="0"/>
                <w:sz w:val="16"/>
              </w:rPr>
              <w:t>Invocation commented out.</w:t>
            </w:r>
          </w:p>
        </w:tc>
      </w:tr>
      <w:tr>
        <w:tc>
          <w:tcPr>
            <w:tcW w:type="dxa" w:w="3389"/>
            <w:vAlign w:val="center"/>
            <w:shd w:fill="F2F6FB"/>
          </w:tcPr>
          <w:p>
            <w:pPr>
              <w:spacing w:after="0"/>
            </w:pPr>
            <w:r/>
            <w:r>
              <w:rPr>
                <w:rFonts w:ascii="Aptos" w:hAnsi="Aptos"/>
                <w:b w:val="0"/>
                <w:sz w:val="16"/>
              </w:rPr>
              <w:t>PROD</w:t>
            </w:r>
          </w:p>
        </w:tc>
        <w:tc>
          <w:tcPr>
            <w:tcW w:type="dxa" w:w="3389"/>
            <w:vAlign w:val="center"/>
            <w:shd w:fill="F2F6FB"/>
          </w:tcPr>
          <w:p>
            <w:pPr>
              <w:spacing w:after="0"/>
            </w:pPr>
            <w:r/>
            <w:r>
              <w:rPr>
                <w:rFonts w:ascii="Aptos" w:hAnsi="Aptos"/>
                <w:b w:val="0"/>
                <w:sz w:val="16"/>
              </w:rPr>
              <w:t>MASTER_BRANCH_NAME</w:t>
            </w:r>
          </w:p>
        </w:tc>
        <w:tc>
          <w:tcPr>
            <w:tcW w:type="dxa" w:w="3389"/>
            <w:vAlign w:val="center"/>
            <w:shd w:fill="F2F6FB"/>
          </w:tcPr>
          <w:p>
            <w:pPr>
              <w:spacing w:after="0"/>
            </w:pPr>
            <w:r/>
            <w:r>
              <w:rPr>
                <w:rFonts w:ascii="Aptos" w:hAnsi="Aptos"/>
                <w:b w:val="0"/>
                <w:sz w:val="16"/>
              </w:rPr>
              <w:t>Invocation commented out.</w:t>
            </w:r>
          </w:p>
        </w:tc>
      </w:tr>
      <w:tr>
        <w:tc>
          <w:tcPr>
            <w:tcW w:type="dxa" w:w="3389"/>
            <w:vAlign w:val="center"/>
          </w:tcPr>
          <w:p>
            <w:pPr>
              <w:spacing w:after="0"/>
            </w:pPr>
            <w:r/>
            <w:r>
              <w:rPr>
                <w:rFonts w:ascii="Aptos" w:hAnsi="Aptos"/>
                <w:b w:val="0"/>
                <w:sz w:val="16"/>
              </w:rPr>
              <w:t>Post-production</w:t>
            </w:r>
          </w:p>
        </w:tc>
        <w:tc>
          <w:tcPr>
            <w:tcW w:type="dxa" w:w="3389"/>
            <w:vAlign w:val="center"/>
          </w:tcPr>
          <w:p>
            <w:pPr>
              <w:spacing w:after="0"/>
            </w:pPr>
            <w:r/>
            <w:r>
              <w:rPr>
                <w:rFonts w:ascii="Aptos" w:hAnsi="Aptos"/>
                <w:b w:val="0"/>
                <w:sz w:val="16"/>
              </w:rPr>
              <w:t>PROD with apply_post_deployment_steps=YES</w:t>
            </w:r>
          </w:p>
        </w:tc>
        <w:tc>
          <w:tcPr>
            <w:tcW w:type="dxa" w:w="3389"/>
            <w:vAlign w:val="center"/>
          </w:tcPr>
          <w:p>
            <w:pPr>
              <w:spacing w:after="0"/>
            </w:pPr>
            <w:r/>
            <w:r>
              <w:rPr>
                <w:rFonts w:ascii="Aptos" w:hAnsi="Aptos"/>
                <w:b w:val="0"/>
                <w:sz w:val="16"/>
              </w:rPr>
              <w:t>Invocation commented out.</w:t>
            </w:r>
          </w:p>
        </w:tc>
      </w:tr>
    </w:tbl>
    <w:p>
      <w:pPr>
        <w:spacing w:after="20"/>
      </w:pPr>
    </w:p>
    <w:p>
      <w:pPr>
        <w:pStyle w:val="Heading1"/>
      </w:pPr>
      <w:r>
        <w:t>Feature Branch and Pull Request (PR) Process</w:t>
      </w:r>
    </w:p>
    <w:p>
      <w:r>
        <w:t>This workflow incorporates the feature-branch and PR process from the original EDW branching strategy and aligns it with the Snowflake CI/CD pipeline described in this document. Pull requests and code reviews are used to control promotion into shared and production branches.</w:t>
      </w:r>
    </w:p>
    <w:p>
      <w:pPr>
        <w:pStyle w:val="ListNumber"/>
      </w:pPr>
      <w:r>
        <w:rPr>
          <w:b/>
        </w:rPr>
        <w:t xml:space="preserve">Create a feature branch: </w:t>
      </w:r>
      <w:r>
        <w:t>Developers create an individual feature branch from the team integration branch and implement Snowflake changes there. Avoid direct development on team/analytics or Main/Master.</w:t>
      </w:r>
    </w:p>
    <w:p>
      <w:pPr>
        <w:pStyle w:val="ListNumber"/>
      </w:pPr>
      <w:r>
        <w:rPr>
          <w:b/>
        </w:rPr>
        <w:t xml:space="preserve">Commit and push changes: </w:t>
      </w:r>
      <w:r>
        <w:t>Commit SQL and related deployment-file changes to the feature branch and push it to the Azure DevOps repository.</w:t>
      </w:r>
    </w:p>
    <w:p>
      <w:pPr>
        <w:pStyle w:val="ListNumber"/>
      </w:pPr>
      <w:r>
        <w:rPr>
          <w:b/>
        </w:rPr>
        <w:t xml:space="preserve">Raise a PR to team/analytics: </w:t>
      </w:r>
      <w:r>
        <w:t>When ready, create a pull request from the feature branch into team/analytics. Describe the change, impact, and testing performed.</w:t>
      </w:r>
    </w:p>
    <w:p>
      <w:pPr>
        <w:pStyle w:val="ListNumber"/>
      </w:pPr>
      <w:r>
        <w:rPr>
          <w:b/>
        </w:rPr>
        <w:t xml:space="preserve">Review and approve: </w:t>
      </w:r>
      <w:r>
        <w:t>The reviewer checks code quality and deployment impact. Address comments and complete required checks before merging the PR.</w:t>
      </w:r>
    </w:p>
    <w:p>
      <w:pPr>
        <w:pStyle w:val="ListNumber"/>
      </w:pPr>
      <w:r>
        <w:rPr>
          <w:b/>
        </w:rPr>
        <w:t xml:space="preserve">Deploy to DEV and TEST: </w:t>
      </w:r>
      <w:r>
        <w:t>After merge, team/analytics is the intended source for lower-environment deployments. In the supplied YAML, the DEV invocation is enabled, while the separate TEST invocation is commented out.</w:t>
      </w:r>
    </w:p>
    <w:p>
      <w:pPr>
        <w:pStyle w:val="ListNumber"/>
      </w:pPr>
      <w:r>
        <w:rPr>
          <w:b/>
        </w:rPr>
        <w:t xml:space="preserve">Validate and sign off: </w:t>
      </w:r>
      <w:r>
        <w:t>Complete development and test validation and obtain required technical/business sign-off before production promotion.</w:t>
      </w:r>
    </w:p>
    <w:p>
      <w:pPr>
        <w:pStyle w:val="ListNumber"/>
      </w:pPr>
      <w:r>
        <w:rPr>
          <w:b/>
        </w:rPr>
        <w:t xml:space="preserve">Raise a promotion PR to Main/Master: </w:t>
      </w:r>
      <w:r>
        <w:t>After validation, raise a second PR from team/analytics into Main/Master. Review and approve the promotion before merging.</w:t>
      </w:r>
    </w:p>
    <w:p>
      <w:pPr>
        <w:pStyle w:val="ListNumber"/>
      </w:pPr>
      <w:r>
        <w:rPr>
          <w:b/>
        </w:rPr>
        <w:t xml:space="preserve">Deploy to PROD: </w:t>
      </w:r>
      <w:r>
        <w:t>Main/Master is the intended source branch for production. In the supplied YAML, the PROD and post-production deployment calls are currently commented out and must be enabled before they execute.</w:t>
      </w:r>
    </w:p>
    <w:p>
      <w:pPr>
        <w:jc w:val="center"/>
      </w:pPr>
      <w:r>
        <w:rPr>
          <w:b/>
          <w:color w:val="2F5F99"/>
        </w:rPr>
        <w:t>feature branch → PR/review → team/analytics → DEV → TEST/validation → PR/review → Main/Master → PROD</w:t>
      </w:r>
    </w:p>
    <w:p>
      <w:pPr>
        <w:pStyle w:val="Heading2"/>
      </w:pPr>
      <w:r>
        <w:t>PR Governance</w:t>
      </w:r>
    </w:p>
    <w:p>
      <w:pPr>
        <w:pStyle w:val="ListBullet"/>
      </w:pPr>
      <w:r>
        <w:t>Require PR approval before merging into team/analytics and Main/Master.</w:t>
      </w:r>
    </w:p>
    <w:p>
      <w:pPr>
        <w:pStyle w:val="ListBullet"/>
      </w:pPr>
      <w:r>
        <w:t>Protect shared branches from direct commits using Azure Repos branch policies where available.</w:t>
      </w:r>
    </w:p>
    <w:p>
      <w:pPr>
        <w:pStyle w:val="ListBullet"/>
      </w:pPr>
      <w:r>
        <w:t>Retain DEV/TEST validation evidence and production sign-off with the promotion PR or release record.</w:t>
      </w:r>
    </w:p>
    <w:p>
      <w:pPr>
        <w:pStyle w:val="ListBullet"/>
      </w:pPr>
      <w:r>
        <w:t>Treat YAML branch checks as an additional safeguard only after enabling their failure behavior: the current branch-mismatch exit commands are commented out, so they do not block an incorrect branch/environment combination.</w:t>
      </w:r>
    </w:p>
    <w:sectPr w:rsidR="00FC693F" w:rsidRPr="0006063C" w:rsidSect="00034616">
      <w:footerReference w:type="default" r:id="rId9"/>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464"/>
        <w:sz w:val="16"/>
      </w:rPr>
      <w:t>Snowflake CI/CD and Snowchange | Based on supplied YAML and code excerpts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F5F9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F9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3F69"/>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