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ADK Referral Letter Agent -- Technical Q&amp;A</w:t>
      </w:r>
    </w:p>
    <w:p>
      <w:pPr>
        <w:spacing w:after="200"/>
      </w:pPr>
      <w:r>
        <w:rPr>
          <w:i/>
          <w:iCs/>
        </w:rPr>
        <w:t xml:space="preserve">gbhorne/adk-referral-letter-agent  |  Healthcare Agentic AI Portfolio</w:t>
      </w:r>
    </w:p>
    <w:p>
      <w:pPr>
        <w:pBdr>
          <w:left w:val="single" w:color="E24B4A" w:sz="12" w:space="8"/>
        </w:pBdr>
        <w:spacing w:before="0" w:after="320"/>
        <w:ind w:left="240"/>
      </w:pPr>
      <w:r>
        <w:rPr>
          <w:b/>
          <w:bCs/>
          <w:sz w:val="22"/>
          <w:szCs w:val="22"/>
        </w:rPr>
        <w:t xml:space="preserve">Disclaimer: </w:t>
      </w:r>
      <w:r>
        <w:rPr>
          <w:i/>
          <w:iCs/>
          <w:sz w:val="22"/>
          <w:szCs w:val="22"/>
        </w:rPr>
        <w:t xml:space="preserve">This project uses entirely synthetic, fictitious FHIR data generated for demonstration purposes only. No real patient data, protected health information, or actual clinical records are used at any stage. All patient names, clinical values, diagnoses, and medications are for demonstration purposes only. This project is not intended for clinical use.</w:t>
      </w:r>
    </w:p>
    <w:p>
      <w:pPr>
        <w:pStyle w:val="Heading2"/>
      </w:pPr>
      <w:r>
        <w:t xml:space="preserve">Architecture and design</w:t>
      </w:r>
    </w:p>
    <w:p>
      <w:pPr>
        <w:pBdr>
          <w:left w:val="single" w:color="2E75B6" w:sz="12" w:space="8"/>
        </w:pBdr>
        <w:spacing w:before="280" w:after="80"/>
        <w:ind w:left="240"/>
      </w:pPr>
      <w:r>
        <w:rPr>
          <w:b/>
          <w:bCs/>
          <w:sz w:val="24"/>
          <w:szCs w:val="24"/>
        </w:rPr>
        <w:t xml:space="preserve">Why six steps rather than one large Gemini call?</w:t>
      </w:r>
    </w:p>
    <w:p>
      <w:pPr>
        <w:spacing w:after="160"/>
        <w:ind w:left="240"/>
      </w:pPr>
      <w:r>
        <w:rPr>
          <w:sz w:val="24"/>
          <w:szCs w:val="24"/>
        </w:rPr>
        <w:t xml:space="preserve">Each step has a distinct function and failure mode. RL-1 is a data retrieval step with no LLM call -- splitting it out means FHIR errors surface cleanly without touching the model. RL-2 produces a structured Pydantic output that drives routing logic -- isolating it makes the urgency classification independently testable. RL-5 and RL-6 are assembly and side-effect steps respectively -- keeping them separate means the document can be inspected before any writes occur. A single monolithic call would make debugging significantly harder.</w:t>
      </w:r>
    </w:p>
    <w:p>
      <w:pPr>
        <w:pBdr>
          <w:left w:val="single" w:color="2E75B6" w:sz="12" w:space="8"/>
        </w:pBdr>
        <w:spacing w:before="280" w:after="80"/>
        <w:ind w:left="240"/>
      </w:pPr>
      <w:r>
        <w:rPr>
          <w:b/>
          <w:bCs/>
          <w:sz w:val="24"/>
          <w:szCs w:val="24"/>
        </w:rPr>
        <w:t xml:space="preserve">Why is UrgencyClassification a Pydantic model rather than a plain dict?</w:t>
      </w:r>
    </w:p>
    <w:p>
      <w:pPr>
        <w:spacing w:after="160"/>
        <w:ind w:left="240"/>
      </w:pPr>
      <w:r>
        <w:rPr>
          <w:sz w:val="24"/>
          <w:szCs w:val="24"/>
        </w:rPr>
        <w:t xml:space="preserve">UrgencyLevel is an enum with three valid values. Pydantic enforces that constraint at parse time -- if Gemini returns an unexpected value, the pipeline raises immediately at RL-2 rather than silently routing to the wrong Pub/Sub topic at RL-6. The confidence score is validated as a float between 0 and 1. This is especially important for a step whose output drives routing logic.</w:t>
      </w:r>
    </w:p>
    <w:p>
      <w:pPr>
        <w:pBdr>
          <w:left w:val="single" w:color="2E75B6" w:sz="12" w:space="8"/>
        </w:pBdr>
        <w:spacing w:before="280" w:after="80"/>
        <w:ind w:left="240"/>
      </w:pPr>
      <w:r>
        <w:rPr>
          <w:b/>
          <w:bCs/>
          <w:sz w:val="24"/>
          <w:szCs w:val="24"/>
        </w:rPr>
        <w:t xml:space="preserve">Why does RL-3 exist separately from RL-4?</w:t>
      </w:r>
    </w:p>
    <w:p>
      <w:pPr>
        <w:spacing w:after="160"/>
        <w:ind w:left="240"/>
      </w:pPr>
      <w:r>
        <w:rPr>
          <w:sz w:val="24"/>
          <w:szCs w:val="24"/>
        </w:rPr>
        <w:t xml:space="preserve">Scoping the clinical history extraction is a different cognitive task from generating the letter. RL-3 has a filtering objective -- decide what is relevant. RL-4 has a generation objective -- write the letter. Combining them in one prompt degrades both: the model must simultaneously decide what to include and how to write it. Separating them produces cleaner output and makes each step independently debuggable.</w:t>
      </w:r>
    </w:p>
    <w:p>
      <w:pPr>
        <w:pBdr>
          <w:left w:val="single" w:color="2E75B6" w:sz="12" w:space="8"/>
        </w:pBdr>
        <w:spacing w:before="280" w:after="80"/>
        <w:ind w:left="240"/>
      </w:pPr>
      <w:r>
        <w:rPr>
          <w:b/>
          <w:bCs/>
          <w:sz w:val="24"/>
          <w:szCs w:val="24"/>
        </w:rPr>
        <w:t xml:space="preserve">What happens if the ServiceRequest has no performer?</w:t>
      </w:r>
    </w:p>
    <w:p>
      <w:pPr>
        <w:spacing w:after="160"/>
        <w:ind w:left="240"/>
      </w:pPr>
      <w:r>
        <w:rPr>
          <w:sz w:val="24"/>
          <w:szCs w:val="24"/>
        </w:rPr>
        <w:t xml:space="preserve">The FHIR client get_practitioner method returns None cleanly rather than raising. RL-1 stores None in the ReferralContext.performer field. RL-4 addresses the letter to the specialty generically. RL-5 sets the description to performer TBD. The pipeline completes normally -- this is an expected production state, not an error condition.</w:t>
      </w:r>
    </w:p>
    <w:p>
      <w:pPr>
        <w:pBdr>
          <w:left w:val="single" w:color="2E75B6" w:sz="12" w:space="8"/>
        </w:pBdr>
        <w:spacing w:before="280" w:after="80"/>
        <w:ind w:left="240"/>
      </w:pPr>
      <w:r>
        <w:rPr>
          <w:b/>
          <w:bCs/>
          <w:sz w:val="24"/>
          <w:szCs w:val="24"/>
        </w:rPr>
        <w:t xml:space="preserve">Why is docStatus set to preliminary?</w:t>
      </w:r>
    </w:p>
    <w:p>
      <w:pPr>
        <w:spacing w:after="160"/>
        <w:ind w:left="240"/>
      </w:pPr>
      <w:r>
        <w:rPr>
          <w:sz w:val="24"/>
          <w:szCs w:val="24"/>
        </w:rPr>
        <w:t xml:space="preserve">The human review gate is a deliberate safety control. The agent generates a draft -- it does not finalize clinical documentation autonomously. The referring clinician must promote the DocumentReference from preliminary to final before the document is visible to downstream consumers or released to the patient portal.</w:t>
      </w:r>
    </w:p>
    <w:p>
      <w:pPr>
        <w:pStyle w:val="Heading2"/>
      </w:pPr>
      <w:r>
        <w:t xml:space="preserve">GCP infrastructure</w:t>
      </w:r>
    </w:p>
    <w:p>
      <w:pPr>
        <w:pBdr>
          <w:left w:val="single" w:color="2E75B6" w:sz="12" w:space="8"/>
        </w:pBdr>
        <w:spacing w:before="280" w:after="80"/>
        <w:ind w:left="240"/>
      </w:pPr>
      <w:r>
        <w:rPr>
          <w:b/>
          <w:bCs/>
          <w:sz w:val="24"/>
          <w:szCs w:val="24"/>
        </w:rPr>
        <w:t xml:space="preserve">Why four Pub/Sub topics rather than one with urgency as a message attribute?</w:t>
      </w:r>
    </w:p>
    <w:p>
      <w:pPr>
        <w:spacing w:after="160"/>
        <w:ind w:left="240"/>
      </w:pPr>
      <w:r>
        <w:rPr>
          <w:sz w:val="24"/>
          <w:szCs w:val="24"/>
        </w:rPr>
        <w:t xml:space="preserve">Separate topics allow downstream consumers to subscribe selectively. A paging system consuming referral-emergent does not need to process referral-routine messages at all -- there is no filtering logic required at the consumer. This is a cleaner pub/sub pattern when the routing distinction is meaningful to consumers rather than just metadata.</w:t>
      </w:r>
    </w:p>
    <w:p>
      <w:pPr>
        <w:pBdr>
          <w:left w:val="single" w:color="2E75B6" w:sz="12" w:space="8"/>
        </w:pBdr>
        <w:spacing w:before="280" w:after="80"/>
        <w:ind w:left="240"/>
      </w:pPr>
      <w:r>
        <w:rPr>
          <w:b/>
          <w:bCs/>
          <w:sz w:val="24"/>
          <w:szCs w:val="24"/>
        </w:rPr>
        <w:t xml:space="preserve">What does Firestore store and why not BigQuery?</w:t>
      </w:r>
    </w:p>
    <w:p>
      <w:pPr>
        <w:spacing w:after="160"/>
        <w:ind w:left="240"/>
      </w:pPr>
      <w:r>
        <w:rPr>
          <w:sz w:val="24"/>
          <w:szCs w:val="24"/>
        </w:rPr>
        <w:t xml:space="preserve">Firestore stores the per-referral urgency audit record: document ID, service request ID, patient ID, specialty, urgency level, rationale, confidence score, topic routed to, and whether a Communication resource was created. Firestore is appropriate here because this is operational state -- individual record lookup by document ID is the primary access pattern. BigQuery would be appropriate for the CDI agent where cohort-level analytics across hundreds of encounters is the primary use case.</w:t>
      </w:r>
    </w:p>
    <w:p>
      <w:pPr>
        <w:pBdr>
          <w:left w:val="single" w:color="2E75B6" w:sz="12" w:space="8"/>
        </w:pBdr>
        <w:spacing w:before="280" w:after="80"/>
        <w:ind w:left="240"/>
      </w:pPr>
      <w:r>
        <w:rPr>
          <w:b/>
          <w:bCs/>
          <w:sz w:val="24"/>
          <w:szCs w:val="24"/>
        </w:rPr>
        <w:t xml:space="preserve">Why does RL-6 run DLP before the FHIR write rather than after?</w:t>
      </w:r>
    </w:p>
    <w:p>
      <w:pPr>
        <w:spacing w:after="160"/>
        <w:ind w:left="240"/>
      </w:pPr>
      <w:r>
        <w:rPr>
          <w:sz w:val="24"/>
          <w:szCs w:val="24"/>
        </w:rPr>
        <w:t xml:space="preserve">DLP runs on the generated letter text before any data leaves the agent -- before the FHIR write, before the Pub/Sub publish. The intent is to inspect Gemini-generated content for inadvertent PHI before it propagates to downstream systems. Running it after the write would mean potentially unscanned content had already been persisted.</w:t>
      </w:r>
    </w:p>
    <w:p>
      <w:pPr>
        <w:pBdr>
          <w:left w:val="single" w:color="2E75B6" w:sz="12" w:space="8"/>
        </w:pBdr>
        <w:spacing w:before="280" w:after="80"/>
        <w:ind w:left="240"/>
      </w:pPr>
      <w:r>
        <w:rPr>
          <w:b/>
          <w:bCs/>
          <w:sz w:val="24"/>
          <w:szCs w:val="24"/>
        </w:rPr>
        <w:t xml:space="preserve">How would this scale to production load?</w:t>
      </w:r>
    </w:p>
    <w:p>
      <w:pPr>
        <w:spacing w:after="160"/>
        <w:ind w:left="240"/>
      </w:pPr>
      <w:r>
        <w:rPr>
          <w:sz w:val="24"/>
          <w:szCs w:val="24"/>
        </w:rPr>
        <w:t xml:space="preserve">The current build runs as a local ADK process. The Cloud Run deployment target handles scaling -- the agent is stateless between invocations, Pub/Sub push subscriptions handle concurrency, and the FHIR store and Firestore are fully managed. The main scaling consideration is Vertex AI quota for Gemini calls -- three LLM calls per referral against a high-volume referral queue would require quota planning.</w:t>
      </w:r>
    </w:p>
    <w:p>
      <w:pPr>
        <w:pStyle w:val="Heading2"/>
      </w:pPr>
      <w:r>
        <w:t xml:space="preserve">Clinical and compliance</w:t>
      </w:r>
    </w:p>
    <w:p>
      <w:pPr>
        <w:pBdr>
          <w:left w:val="single" w:color="2E75B6" w:sz="12" w:space="8"/>
        </w:pBdr>
        <w:spacing w:before="280" w:after="80"/>
        <w:ind w:left="240"/>
      </w:pPr>
      <w:r>
        <w:rPr>
          <w:b/>
          <w:bCs/>
          <w:sz w:val="24"/>
          <w:szCs w:val="24"/>
        </w:rPr>
        <w:t xml:space="preserve">What is LOINC 57133-1?</w:t>
      </w:r>
    </w:p>
    <w:p>
      <w:pPr>
        <w:spacing w:after="160"/>
        <w:ind w:left="240"/>
      </w:pPr>
      <w:r>
        <w:rPr>
          <w:sz w:val="24"/>
          <w:szCs w:val="24"/>
        </w:rPr>
        <w:t xml:space="preserve">LOINC 57133-1 is the standard code for the Referral Note document type in the Logical Observation Identifiers Names and Codes system. Tagging the DocumentReference with this code means downstream systems that index clinical documents by LOINC type can correctly classify and route the referral letter without parsing the content.</w:t>
      </w:r>
    </w:p>
    <w:p>
      <w:pPr>
        <w:pBdr>
          <w:left w:val="single" w:color="2E75B6" w:sz="12" w:space="8"/>
        </w:pBdr>
        <w:spacing w:before="280" w:after="80"/>
        <w:ind w:left="240"/>
      </w:pPr>
      <w:r>
        <w:rPr>
          <w:b/>
          <w:bCs/>
          <w:sz w:val="24"/>
          <w:szCs w:val="24"/>
        </w:rPr>
        <w:t xml:space="preserve">What are the required sections of a LOINC 57133-1 referral note?</w:t>
      </w:r>
    </w:p>
    <w:p>
      <w:pPr>
        <w:spacing w:after="160"/>
        <w:ind w:left="240"/>
      </w:pPr>
      <w:r>
        <w:rPr>
          <w:sz w:val="24"/>
          <w:szCs w:val="24"/>
        </w:rPr>
        <w:t xml:space="preserve">The agent generates six sections: reason for referral, relevant clinical history, relevant investigations, current medications, clinical question for the specialist, and urgency statement. These map to the standard elements expected by receiving specialists and align with referral documentation guidelines. The urgency statement varies based on the RL-2 classification -- EMERGENT referrals include explicit same-day assessment language and on-call contact instructions.</w:t>
      </w:r>
    </w:p>
    <w:p>
      <w:pPr>
        <w:pBdr>
          <w:left w:val="single" w:color="2E75B6" w:sz="12" w:space="8"/>
        </w:pBdr>
        <w:spacing w:before="280" w:after="80"/>
        <w:ind w:left="240"/>
      </w:pPr>
      <w:r>
        <w:rPr>
          <w:b/>
          <w:bCs/>
          <w:sz w:val="24"/>
          <w:szCs w:val="24"/>
        </w:rPr>
        <w:t xml:space="preserve">What clinical signals drive an EMERGENT classification?</w:t>
      </w:r>
    </w:p>
    <w:p>
      <w:pPr>
        <w:spacing w:after="160"/>
        <w:ind w:left="240"/>
      </w:pPr>
      <w:r>
        <w:rPr>
          <w:sz w:val="24"/>
          <w:szCs w:val="24"/>
        </w:rPr>
        <w:t xml:space="preserve">The RL-2 prompt instructs Gemini to classify EMERGENT when the clinical picture suggests same-day risk -- acute presentations with objective markers of severity such as elevated troponin, hemodynamic instability, or neurological change. In the test run, acute chest pain with troponin 0.8 ng/mL was correctly classified EMERGENT with 0.95 confidence.</w:t>
      </w:r>
    </w:p>
    <w:p>
      <w:pPr>
        <w:pBdr>
          <w:left w:val="single" w:color="2E75B6" w:sz="12" w:space="8"/>
        </w:pBdr>
        <w:spacing w:before="280" w:after="80"/>
        <w:ind w:left="240"/>
      </w:pPr>
      <w:r>
        <w:rPr>
          <w:b/>
          <w:bCs/>
          <w:sz w:val="24"/>
          <w:szCs w:val="24"/>
        </w:rPr>
        <w:t xml:space="preserve">Is this HIPAA compliant?</w:t>
      </w:r>
    </w:p>
    <w:p>
      <w:pPr>
        <w:spacing w:after="160"/>
        <w:ind w:left="240"/>
      </w:pPr>
      <w:r>
        <w:rPr>
          <w:sz w:val="24"/>
          <w:szCs w:val="24"/>
        </w:rPr>
        <w:t xml:space="preserve">This is a portfolio demonstration project using synthetic FHIR data. The architecture incorporates several HIPAA-aligned patterns: Cloud DLP PHI inspection on generated text, Secret Manager for credential storage, IAM-scoped service account rather than user credentials, and a human review gate preventing autonomous release of clinical documentation. A production deployment would require a formal HIPAA Business Associate Agreement with Google Cloud, encryption at rest and in transit verification, audit logging configuration, and a clinical validation process for the Gemini-generated content.</w:t>
      </w:r>
    </w:p>
    <w:p>
      <w:pPr>
        <w:pStyle w:val="Heading2"/>
      </w:pPr>
      <w:r>
        <w:t xml:space="preserve">Framework comparison</w:t>
      </w:r>
    </w:p>
    <w:p>
      <w:pPr>
        <w:pBdr>
          <w:left w:val="single" w:color="2E75B6" w:sz="12" w:space="8"/>
        </w:pBdr>
        <w:spacing w:before="280" w:after="80"/>
        <w:ind w:left="240"/>
      </w:pPr>
      <w:r>
        <w:rPr>
          <w:b/>
          <w:bCs/>
          <w:sz w:val="24"/>
          <w:szCs w:val="24"/>
        </w:rPr>
        <w:t xml:space="preserve">What is the key difference between the ADK and LangGraph implementations for this project?</w:t>
      </w:r>
    </w:p>
    <w:p>
      <w:pPr>
        <w:spacing w:after="160"/>
        <w:ind w:left="240"/>
      </w:pPr>
      <w:r>
        <w:rPr>
          <w:sz w:val="24"/>
          <w:szCs w:val="24"/>
        </w:rPr>
        <w:t xml:space="preserve">The urgency routing is the comparison moment. In ADK, Gemini produces the urgency classification as a structured tool output and the routing in RL-6 is driven by that output at runtime. In LangGraph, urgency routing is a conditional edge at the RL-2 node in the StateGraph -- the routing logic is declared in the graph definition, not decided by the model. The LangGraph approach makes routing deterministic and unit-testable without any LLM calls.</w:t>
      </w:r>
    </w:p>
    <w:p>
      <w:pPr>
        <w:pBdr>
          <w:left w:val="single" w:color="2E75B6" w:sz="12" w:space="8"/>
        </w:pBdr>
        <w:spacing w:before="280" w:after="80"/>
        <w:ind w:left="240"/>
      </w:pPr>
      <w:r>
        <w:rPr>
          <w:b/>
          <w:bCs/>
          <w:sz w:val="24"/>
          <w:szCs w:val="24"/>
        </w:rPr>
        <w:t xml:space="preserve">Which framework is better for this use case?</w:t>
      </w:r>
    </w:p>
    <w:p>
      <w:pPr>
        <w:spacing w:after="160"/>
        <w:ind w:left="240"/>
      </w:pPr>
      <w:r>
        <w:rPr>
          <w:sz w:val="24"/>
          <w:szCs w:val="24"/>
        </w:rPr>
        <w:t xml:space="preserve">For a linear six-step pipeline with one conditional branch, both work cleanly. ADK is better for rapid prototyping and demo -- the ADK Web UI trace shows each tool invocation in real time without additional configuration. LangGraph is better for production -- the typed state schema, deterministic conditional edges, and LangSmith tracing give more control over the execution model. The difference becomes more significant in the Clinical Handoff Agent where LangGraph Send API handles parallel patient processing more naturally.</w:t>
      </w:r>
    </w:p>
    <w:p>
      <w:pPr>
        <w:pBdr>
          <w:left w:val="single" w:color="2E75B6" w:sz="12" w:space="8"/>
        </w:pBdr>
        <w:spacing w:before="280" w:after="80"/>
        <w:ind w:left="240"/>
      </w:pPr>
      <w:r>
        <w:rPr>
          <w:b/>
          <w:bCs/>
          <w:sz w:val="24"/>
          <w:szCs w:val="24"/>
        </w:rPr>
        <w:t xml:space="preserve">Why does the ADK agent use a single run_referral_pipeline function rather than six separate FunctionTools?</w:t>
      </w:r>
    </w:p>
    <w:p>
      <w:pPr>
        <w:spacing w:after="160"/>
        <w:ind w:left="240"/>
      </w:pPr>
      <w:r>
        <w:rPr>
          <w:sz w:val="24"/>
          <w:szCs w:val="24"/>
        </w:rPr>
        <w:t xml:space="preserve">Six separate tools would require Gemini to decide the execution order at runtime, introducing non-determinism. The referral pipeline is strictly sequential with data dependencies between steps. A single orchestrating function executes the steps in guaranteed order, passing typed Pydantic objects between them. The ADK agent role is to invoke the pipeline with the correct service request ID, not to orchestrate the individual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2026-03-24T00:46:43.100Z</dcterms:created>
  <dcterms:modified xsi:type="dcterms:W3CDTF">2026-03-24T00:46:43.101Z</dcterms:modified>
</cp:coreProperties>
</file>

<file path=docProps/custom.xml><?xml version="1.0" encoding="utf-8"?>
<Properties xmlns="http://schemas.openxmlformats.org/officeDocument/2006/custom-properties" xmlns:vt="http://schemas.openxmlformats.org/officeDocument/2006/docPropsVTypes"/>
</file>