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60"/>
      </w:pPr>
      <w:r>
        <w:rPr>
          <w:rFonts w:ascii="Arial" w:cs="Arial" w:eastAsia="Arial" w:hAnsi="Arial"/>
          <w:b/>
          <w:bCs/>
          <w:color w:val="1F2937"/>
          <w:sz w:val="48"/>
          <w:szCs w:val="48"/>
        </w:rPr>
        <w:t xml:space="preserve">Agent FinOps GCP</w:t>
      </w:r>
    </w:p>
    <w:p>
      <w:pPr>
        <w:spacing w:after="320"/>
      </w:pPr>
      <w:r>
        <w:rPr>
          <w:rFonts w:ascii="Arial" w:cs="Arial" w:eastAsia="Arial" w:hAnsi="Arial"/>
          <w:color w:val="5F5E5A"/>
          <w:sz w:val="28"/>
          <w:szCs w:val="28"/>
        </w:rPr>
        <w:t xml:space="preserve">Technical Q&amp;A and Architectural Summary</w:t>
      </w:r>
    </w:p>
    <w:p>
      <w:r>
        <w:rPr>
          <w:rFonts w:ascii="Arial" w:cs="Arial" w:eastAsia="Arial" w:hAnsi="Arial"/>
          <w:i/>
          <w:iCs/>
          <w:color w:val="888780"/>
          <w:sz w:val="22"/>
          <w:szCs w:val="22"/>
        </w:rPr>
        <w:t xml:space="preserve">gbhorne/agent-finops-gcp  |  GCP Agentic Systems Portfolio  |  March 2026</w:t>
      </w:r>
    </w:p>
    <w:p>
      <w:r>
        <w:br w:type="page"/>
      </w:r>
    </w:p>
    <w:p>
      <w:pPr>
        <w:pStyle w:val="Heading1"/>
      </w:pPr>
      <w:r>
        <w:t xml:space="preserve">Architectural Summary</w:t>
      </w:r>
    </w:p>
    <w:p>
      <w:pPr>
        <w:spacing w:after="180"/>
      </w:pPr>
      <w:r>
        <w:rPr>
          <w:sz w:val="24"/>
          <w:szCs w:val="24"/>
        </w:rPr>
        <w:t xml:space="preserve">This project demonstrates a complete FinOps instrumentation architecture for agentic AI workloads on Google Cloud. It combines two live agent implementations -- one using Google ADK and one using Vertex AI directly -- with a runtime token capture layer, a BigQuery cost data warehouse, and a Looker Studio dashboard showing real per-run costs from real Gemini API calls.</w:t>
      </w:r>
    </w:p>
    <w:p>
      <w:pPr>
        <w:spacing w:after="180"/>
      </w:pPr>
      <w:r>
        <w:rPr>
          <w:sz w:val="24"/>
          <w:szCs w:val="24"/>
        </w:rPr>
        <w:t xml:space="preserve">The central technical contribution is the InstrumentedGemini wrapper in cost_tracker.py. This wrapper intercepts every Gemini generate_content call, captures the actual token counts from the API response usageMetadata object, calculates the estimated cost at current Vertex AI pricing, and records the step-level data into a RunTracker accumulator. When the pipeline completes, the CostEventWriter inserts the accumulated records into BigQuery as structured cost events -- one row per pipeline step per run.</w:t>
      </w:r>
    </w:p>
    <w:p>
      <w:pPr>
        <w:spacing w:after="180"/>
      </w:pPr>
      <w:r>
        <w:rPr>
          <w:sz w:val="24"/>
          <w:szCs w:val="24"/>
        </w:rPr>
        <w:t xml:space="preserve">Both agents implement an identical two-step document analysis pipeline: classify the document type and priority, then generate a structured summary. The only difference is the orchestration layer -- ADK manages the agent loop and tool invocation, while the Vertex agent calls Gemini directly. Both tag their cost events with a distinct agent_name value, enabling side-by-side cost comparison in the Looker Studio dashboard.</w:t>
      </w:r>
    </w:p>
    <w:p>
      <w:pPr>
        <w:pStyle w:val="Heading2"/>
      </w:pPr>
      <w:r>
        <w:t xml:space="preserve">What the live data showed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22"/>
                <w:szCs w:val="22"/>
              </w:rPr>
              <w:t xml:space="preserve">Metric</w:t>
            </w:r>
          </w:p>
        </w:tc>
        <w:tc>
          <w:tcPr>
            <w:tcW w:type="dxa" w:w="30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22"/>
                <w:szCs w:val="22"/>
              </w:rPr>
              <w:t xml:space="preserve">vertex-doc-analyzer</w:t>
            </w:r>
          </w:p>
        </w:tc>
        <w:tc>
          <w:tcPr>
            <w:tcW w:type="dxa" w:w="30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b/>
                <w:bCs/>
                <w:sz w:val="22"/>
                <w:szCs w:val="22"/>
              </w:rPr>
              <w:t xml:space="preserve">adk-doc-analyzer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Avg input tokens (classify)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288</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189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Avg input tokens (summarize)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267</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169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Avg output tokens (summarize)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283</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299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Avg latency (classify)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3,971ms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3,277ms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Avg cost per run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~/bin/sh.00016</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~/bin/sh.00013</w:t>
            </w:r>
          </w:p>
        </w:tc>
      </w:tr>
    </w:tbl>
    <w:p>
      <w:pPr>
        <w:spacing w:after="160"/>
      </w:pPr>
      <w:r>
        <w:t xml:space="preserve"/>
      </w:r>
    </w:p>
    <w:p>
      <w:pPr>
        <w:spacing w:after="180"/>
      </w:pPr>
      <w:r>
        <w:rPr>
          <w:sz w:val="24"/>
          <w:szCs w:val="24"/>
        </w:rPr>
        <w:t xml:space="preserve">The ADK framework used fewer input tokens on both steps despite identical pipeline logic. This is because ADK manages the agent context window differently from a direct Vertex AI call -- the ADK runtime adds less prompt overhead per invocation. This is observable in the live token count data and represents real cost savings at production volume.</w:t>
      </w:r>
    </w:p>
    <w:p>
      <w:pPr>
        <w:pStyle w:val="Heading2"/>
      </w:pPr>
      <w:r>
        <w:t xml:space="preserve">BigQuery data architecture</w:t>
      </w:r>
    </w:p>
    <w:p>
      <w:pPr>
        <w:spacing w:after="180"/>
      </w:pPr>
      <w:r>
        <w:rPr>
          <w:sz w:val="24"/>
          <w:szCs w:val="24"/>
        </w:rPr>
        <w:t xml:space="preserve">The raw cost event table (agent_finops_raw.agent_cost_events) is partitioned by event date and clustered by agent_name and environment. This partition and cluster combination minimizes bytes scanned for the standard dashboard queries that filter by date range and agent name. The table stores one row per pipeline step per run, enabling step-level cost attribution that is not available from cloud billing data alone.</w:t>
      </w:r>
    </w:p>
    <w:p>
      <w:pPr>
        <w:spacing w:after="180"/>
      </w:pPr>
      <w:r>
        <w:rPr>
          <w:sz w:val="24"/>
          <w:szCs w:val="24"/>
        </w:rPr>
        <w:t xml:space="preserve">Six runtime views in agent_finops_mart aggregate the raw events for different analytical purposes: daily cost by agent, step-level cost breakdown, MTD summaries, token trend over time, cost by urgency or document complexity, and cost per 1,000 runs. Six dashboard views further combine these for the specific chart types used in Looker Studio.</w:t>
      </w:r>
    </w:p>
    <w:p>
      <w:pPr>
        <w:pStyle w:val="Heading2"/>
      </w:pPr>
      <w:r>
        <w:t xml:space="preserve">Anomaly detection</w:t>
      </w:r>
    </w:p>
    <w:p>
      <w:pPr>
        <w:spacing w:after="180"/>
      </w:pPr>
      <w:r>
        <w:rPr>
          <w:sz w:val="24"/>
          <w:szCs w:val="24"/>
        </w:rPr>
        <w:t xml:space="preserve">A scheduled BigQuery query runs hourly and flags pipeline runs where the estimated cost exceeds three standard deviations from the 30-day baseline for that agent and step combination. Flagged runs are written to the run_cost_anomalies table with a human-readable reason explaining which threshold was triggered. This catches prompt changes that increase token consumption, retry loops that execute the pipeline multiple times, and unusually large inputs that generate disproportionate token counts.</w:t>
      </w:r>
    </w:p>
    <w:p>
      <w:r>
        <w:br w:type="page"/>
      </w:r>
    </w:p>
    <w:p>
      <w:pPr>
        <w:pStyle w:val="Heading1"/>
      </w:pPr>
      <w:r>
        <w:t xml:space="preserve">Technical Q&amp;A</w:t>
      </w:r>
    </w:p>
    <w:p>
      <w:pPr>
        <w:pStyle w:val="Heading2"/>
      </w:pPr>
      <w:r>
        <w:t xml:space="preserve">Architecture and instrumentation</w:t>
      </w:r>
    </w:p>
    <w:p>
      <w:pPr>
        <w:pBdr>
          <w:left w:val="single" w:color="2E75B6" w:sz="12" w:space="8"/>
        </w:pBdr>
        <w:spacing w:before="280" w:after="80"/>
        <w:ind w:left="240"/>
      </w:pPr>
      <w:r>
        <w:rPr>
          <w:b/>
          <w:bCs/>
          <w:sz w:val="24"/>
          <w:szCs w:val="24"/>
        </w:rPr>
        <w:t xml:space="preserve">Why capture tokens from usageMetadata rather than estimating from prompt length?</w:t>
      </w:r>
    </w:p>
    <w:p>
      <w:pPr>
        <w:spacing w:after="160"/>
        <w:ind w:left="240"/>
      </w:pPr>
      <w:r>
        <w:rPr>
          <w:sz w:val="24"/>
          <w:szCs w:val="24"/>
        </w:rPr>
        <w:t xml:space="preserve">The usageMetadata object in the Vertex AI API response contains the actual token counts used for billing. Estimating from character count or word count produces approximations that drift from actual costs as model tokenization evolves. Capturing from usageMetadata means the cost data is as accurate as the billing data -- any discrepancy between the estimated cost in BigQuery and the actual Vertex AI charge is only the pricing rate applied, not a measurement error in token counts.</w:t>
      </w:r>
    </w:p>
    <w:p>
      <w:pPr>
        <w:pBdr>
          <w:left w:val="single" w:color="2E75B6" w:sz="12" w:space="8"/>
        </w:pBdr>
        <w:spacing w:before="280" w:after="80"/>
        <w:ind w:left="240"/>
      </w:pPr>
      <w:r>
        <w:rPr>
          <w:b/>
          <w:bCs/>
          <w:sz w:val="24"/>
          <w:szCs w:val="24"/>
        </w:rPr>
        <w:t xml:space="preserve">Why one row per pipeline step rather than one row per run?</w:t>
      </w:r>
    </w:p>
    <w:p>
      <w:pPr>
        <w:spacing w:after="160"/>
        <w:ind w:left="240"/>
      </w:pPr>
      <w:r>
        <w:rPr>
          <w:sz w:val="24"/>
          <w:szCs w:val="24"/>
        </w:rPr>
        <w:t xml:space="preserve">Step-level granularity enables the most valuable cost optimization analysis. A run-level record tells you the total cost. A step-level record tells you that 73% of the cost came from the generate_summary step, which means prompt optimization in that step has 3x the impact of equivalent optimization in the classify step. Without step-level data, cost optimization is guesswork.</w:t>
      </w:r>
    </w:p>
    <w:p>
      <w:pPr>
        <w:pBdr>
          <w:left w:val="single" w:color="2E75B6" w:sz="12" w:space="8"/>
        </w:pBdr>
        <w:spacing w:before="280" w:after="80"/>
        <w:ind w:left="240"/>
      </w:pPr>
      <w:r>
        <w:rPr>
          <w:b/>
          <w:bCs/>
          <w:sz w:val="24"/>
          <w:szCs w:val="24"/>
        </w:rPr>
        <w:t xml:space="preserve">How does the RunTracker accumulate cost across steps?</w:t>
      </w:r>
    </w:p>
    <w:p>
      <w:pPr>
        <w:spacing w:after="160"/>
        <w:ind w:left="240"/>
      </w:pPr>
      <w:r>
        <w:rPr>
          <w:sz w:val="24"/>
          <w:szCs w:val="24"/>
        </w:rPr>
        <w:t xml:space="preserve">RunTracker is a dataclass that travels through the pipeline as a shared context object. Each call to gemini_call() appends a StepCost record to the tracker's steps list. When the final step calls write_to_bigquery(), the tracker converts its accumulated steps into a list of BigQuery row dicts and inserts them in a single streaming insert call. The write_safe() method catches errors silently -- if BigQuery is temporarily unavailable the pipeline completes normally and the cost data for that run is lost, which is the right tradeoff for an operational pipeline.</w:t>
      </w:r>
    </w:p>
    <w:p>
      <w:pPr>
        <w:pBdr>
          <w:left w:val="single" w:color="2E75B6" w:sz="12" w:space="8"/>
        </w:pBdr>
        <w:spacing w:before="280" w:after="80"/>
        <w:ind w:left="240"/>
      </w:pPr>
      <w:r>
        <w:rPr>
          <w:b/>
          <w:bCs/>
          <w:sz w:val="24"/>
          <w:szCs w:val="24"/>
        </w:rPr>
        <w:t xml:space="preserve">Why are both agents identical in pipeline logic but different in cost?</w:t>
      </w:r>
    </w:p>
    <w:p>
      <w:pPr>
        <w:spacing w:after="160"/>
        <w:ind w:left="240"/>
      </w:pPr>
      <w:r>
        <w:rPr>
          <w:sz w:val="24"/>
          <w:szCs w:val="24"/>
        </w:rPr>
        <w:t xml:space="preserve">The ADK framework manages the agent execution context differently from a direct Vertex AI call. When ADK invokes a FunctionTool, the agent context -- including the conversation history, system prompt, and tool schema -- is included in the prompt sent to Gemini. This adds prompt tokens that a direct Vertex AI call does not include. The result is that the ADK agent sends fewer custom prompt tokens (because the framework handles more of the context) but the total input token count including framework overhead is different from the direct implementation. The cost tracker captures this accurately because it reads the actual token counts from usageMetadata rather than measuring only the user-visible prompt.</w:t>
      </w:r>
    </w:p>
    <w:p>
      <w:pPr>
        <w:pStyle w:val="Heading2"/>
      </w:pPr>
      <w:r>
        <w:t xml:space="preserve">BigQuery and views</w:t>
      </w:r>
    </w:p>
    <w:p>
      <w:pPr>
        <w:pBdr>
          <w:left w:val="single" w:color="2E75B6" w:sz="12" w:space="8"/>
        </w:pBdr>
        <w:spacing w:before="280" w:after="80"/>
        <w:ind w:left="240"/>
      </w:pPr>
      <w:r>
        <w:rPr>
          <w:b/>
          <w:bCs/>
          <w:sz w:val="24"/>
          <w:szCs w:val="24"/>
        </w:rPr>
        <w:t xml:space="preserve">Why partition by date and cluster by agent_name rather than the reverse?</w:t>
      </w:r>
    </w:p>
    <w:p>
      <w:pPr>
        <w:spacing w:after="160"/>
        <w:ind w:left="240"/>
      </w:pPr>
      <w:r>
        <w:rPr>
          <w:sz w:val="24"/>
          <w:szCs w:val="24"/>
        </w:rPr>
        <w:t xml:space="preserve">The most common query pattern for a cost dashboard filters by date range first -- last 7 days, this month, quarter to date. Partitioning by date means BigQuery only scans the relevant partitions rather than the full table. Clustering by agent_name within each partition means that within a date partition, the rows are physically ordered by agent, which reduces bytes scanned for per-agent queries. The reverse ordering would benefit queries that filter by agent across all time, which is less common in operational monitoring.</w:t>
      </w:r>
    </w:p>
    <w:p>
      <w:pPr>
        <w:pBdr>
          <w:left w:val="single" w:color="2E75B6" w:sz="12" w:space="8"/>
        </w:pBdr>
        <w:spacing w:before="280" w:after="80"/>
        <w:ind w:left="240"/>
      </w:pPr>
      <w:r>
        <w:rPr>
          <w:b/>
          <w:bCs/>
          <w:sz w:val="24"/>
          <w:szCs w:val="24"/>
        </w:rPr>
        <w:t xml:space="preserve">What is the difference between the runtime views and the dashboard views?</w:t>
      </w:r>
    </w:p>
    <w:p>
      <w:pPr>
        <w:spacing w:after="160"/>
        <w:ind w:left="240"/>
      </w:pPr>
      <w:r>
        <w:rPr>
          <w:sz w:val="24"/>
          <w:szCs w:val="24"/>
        </w:rPr>
        <w:t xml:space="preserve">Runtime views aggregate the raw event data into analytically useful shapes: daily totals, step averages, MTD summaries. They are general-purpose and can support any BI tool or query. Dashboard views are purpose-built for specific Looker Studio chart types -- they join and shape data to minimize the number of data source connections a Looker Studio report needs. The dashboard_executive_summary view, for example, pre-calculates the cost per 1,000 runs metric so that Looker Studio can display it as a scorecard without a calculated field.</w:t>
      </w:r>
    </w:p>
    <w:p>
      <w:pPr>
        <w:pBdr>
          <w:left w:val="single" w:color="2E75B6" w:sz="12" w:space="8"/>
        </w:pBdr>
        <w:spacing w:before="280" w:after="80"/>
        <w:ind w:left="240"/>
      </w:pPr>
      <w:r>
        <w:rPr>
          <w:b/>
          <w:bCs/>
          <w:sz w:val="24"/>
          <w:szCs w:val="24"/>
        </w:rPr>
        <w:t xml:space="preserve">Why does the avg_step_cost_usd show as 0 in the Looker Studio table?</w:t>
      </w:r>
    </w:p>
    <w:p>
      <w:pPr>
        <w:spacing w:after="160"/>
        <w:ind w:left="240"/>
      </w:pPr>
      <w:r>
        <w:rPr>
          <w:sz w:val="24"/>
          <w:szCs w:val="24"/>
        </w:rPr>
        <w:t xml:space="preserve">This is a decimal precision display issue, not a data issue. The actual values in BigQuery are correct -- approximately 0.00010 for generate_summary and 0.000035 for classify_document. Looker Studio defaults to 2 decimal places for numeric fields, which rounds these values to 0. Changing the field format to a custom number format with 8 decimal places (0.00000000) or switching to scientific notation displays the actual values correctly.</w:t>
      </w:r>
    </w:p>
    <w:p>
      <w:pPr>
        <w:pStyle w:val="Heading2"/>
      </w:pPr>
      <w:r>
        <w:t xml:space="preserve">Framework comparison</w:t>
      </w:r>
    </w:p>
    <w:p>
      <w:pPr>
        <w:pBdr>
          <w:left w:val="single" w:color="2E75B6" w:sz="12" w:space="8"/>
        </w:pBdr>
        <w:spacing w:before="280" w:after="80"/>
        <w:ind w:left="240"/>
      </w:pPr>
      <w:r>
        <w:rPr>
          <w:b/>
          <w:bCs/>
          <w:sz w:val="24"/>
          <w:szCs w:val="24"/>
        </w:rPr>
        <w:t xml:space="preserve">Is ADK cheaper than direct Vertex AI for production workloads?</w:t>
      </w:r>
    </w:p>
    <w:p>
      <w:pPr>
        <w:spacing w:after="160"/>
        <w:ind w:left="240"/>
      </w:pPr>
      <w:r>
        <w:rPr>
          <w:sz w:val="24"/>
          <w:szCs w:val="24"/>
        </w:rPr>
        <w:t xml:space="preserve">Based on the observed data, the ADK agent used fewer input tokens per run than the equivalent direct Vertex AI implementation -- 189 vs 288 for the classify step and 169 vs 267 for the summarize step. However, this difference reflects how each implementation constructs the prompt, not an inherent framework cost difference. A direct Vertex AI implementation with the same prompt engineering as the ADK system prompt would produce comparable token counts. The more meaningful cost comparison is reliability and retry behavior at scale -- ADK's built-in retry and error handling may reduce retry-related cost spikes in production more consistently than a custom implementation.</w:t>
      </w:r>
    </w:p>
    <w:p>
      <w:pPr>
        <w:pBdr>
          <w:left w:val="single" w:color="2E75B6" w:sz="12" w:space="8"/>
        </w:pBdr>
        <w:spacing w:before="280" w:after="80"/>
        <w:ind w:left="240"/>
      </w:pPr>
      <w:r>
        <w:rPr>
          <w:b/>
          <w:bCs/>
          <w:sz w:val="24"/>
          <w:szCs w:val="24"/>
        </w:rPr>
        <w:t xml:space="preserve">Would LangGraph be cheaper than ADK?</w:t>
      </w:r>
    </w:p>
    <w:p>
      <w:pPr>
        <w:spacing w:after="160"/>
        <w:ind w:left="240"/>
      </w:pPr>
      <w:r>
        <w:rPr>
          <w:sz w:val="24"/>
          <w:szCs w:val="24"/>
        </w:rPr>
        <w:t xml:space="preserve">LangGraph adds LangSmith tracing costs that ADK does not have -- approximately 0-80 per month at moderate production volume. For the pipeline logic in this project, LangGraph would produce similar Gemini token counts because the prompts are identical. The total cost of ownership difference would primarily be the LangSmith subscription. For larger, more complex pipelines where LangGraph's debugging and observability features reduce development and incident response time, the LangSmith cost may be justified.</w:t>
      </w:r>
    </w:p>
    <w:p>
      <w:pPr>
        <w:pBdr>
          <w:left w:val="single" w:color="2E75B6" w:sz="12" w:space="8"/>
        </w:pBdr>
        <w:spacing w:before="280" w:after="80"/>
        <w:ind w:left="240"/>
      </w:pPr>
      <w:r>
        <w:rPr>
          <w:b/>
          <w:bCs/>
          <w:sz w:val="24"/>
          <w:szCs w:val="24"/>
        </w:rPr>
        <w:t xml:space="preserve">What is the portfolio story this project tells?</w:t>
      </w:r>
    </w:p>
    <w:p>
      <w:pPr>
        <w:spacing w:after="160"/>
        <w:ind w:left="240"/>
      </w:pPr>
      <w:r>
        <w:rPr>
          <w:sz w:val="24"/>
          <w:szCs w:val="24"/>
        </w:rPr>
        <w:t xml:space="preserve">This project demonstrates that understanding agentic AI at a professional level means understanding its financial footprint, not just its technical capabilities. The ability to instrument a pipeline, capture real cost data from the API response, write it to a queryable data store, and visualize it in a business intelligence tool is what separates a demonstration from a production-ready architecture. The side-by-side framework comparison -- two implementations, same logic, different observable costs -- shows that these instrumentation decisions have real financial consequences that are measurable and manageable.</w:t>
      </w:r>
    </w:p>
    <w:p>
      <w:pPr>
        <w:spacing w:after="400"/>
      </w:pPr>
      <w:r>
        <w:t xml:space="preserve"/>
      </w:r>
    </w:p>
    <w:p>
      <w:r>
        <w:rPr>
          <w:rFonts w:ascii="Arial" w:cs="Arial" w:eastAsia="Arial" w:hAnsi="Arial"/>
          <w:i/>
          <w:iCs/>
          <w:color w:val="888780"/>
          <w:sz w:val="20"/>
          <w:szCs w:val="20"/>
        </w:rPr>
        <w:t xml:space="preserve">Gregory Horne  |  github.com/gbhorne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20" w:after="160"/>
      <w:outlineLvl w:val="0"/>
    </w:pPr>
    <w:rPr>
      <w:rFonts w:ascii="Arial" w:cs="Arial" w:eastAsia="Arial" w:hAnsi="Arial"/>
      <w:b/>
      <w:bCs/>
      <w:color w:val="1F293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2026-03-25T02:03:22.993Z</dcterms:created>
  <dcterms:modified xsi:type="dcterms:W3CDTF">2026-03-25T02:03:22.994Z</dcterms:modified>
</cp:coreProperties>
</file>

<file path=docProps/custom.xml><?xml version="1.0" encoding="utf-8"?>
<Properties xmlns="http://schemas.openxmlformats.org/officeDocument/2006/custom-properties" xmlns:vt="http://schemas.openxmlformats.org/officeDocument/2006/docPropsVTypes"/>
</file>