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160"/>
      </w:pPr>
      <w:r>
        <w:rPr>
          <w:rFonts w:ascii="Arial" w:cs="Arial" w:eastAsia="Arial" w:hAnsi="Arial"/>
          <w:b/>
          <w:bCs/>
          <w:color w:val="1F2937"/>
          <w:sz w:val="48"/>
          <w:szCs w:val="48"/>
        </w:rPr>
        <w:t xml:space="preserve">Agent FinOps GCP</w:t>
      </w:r>
    </w:p>
    <w:p>
      <w:pPr>
        <w:spacing w:after="320"/>
      </w:pPr>
      <w:r>
        <w:rPr>
          <w:rFonts w:ascii="Arial" w:cs="Arial" w:eastAsia="Arial" w:hAnsi="Arial"/>
          <w:color w:val="5F5E5A"/>
          <w:sz w:val="28"/>
          <w:szCs w:val="28"/>
        </w:rPr>
        <w:t xml:space="preserve">Technical Q&amp;A and Architectural Summary</w:t>
      </w:r>
    </w:p>
    <w:p>
      <w:r>
        <w:rPr>
          <w:rFonts w:ascii="Arial" w:cs="Arial" w:eastAsia="Arial" w:hAnsi="Arial"/>
          <w:i/>
          <w:iCs/>
          <w:color w:val="888780"/>
          <w:sz w:val="22"/>
          <w:szCs w:val="22"/>
        </w:rPr>
        <w:t xml:space="preserve">gbhorne/agent-finops-gcp  |  GCP Agentic Systems Portfolio  |  March 2026</w:t>
      </w:r>
    </w:p>
    <w:p>
      <w:r>
        <w:br w:type="page"/>
      </w:r>
    </w:p>
    <w:p>
      <w:pPr>
        <w:pStyle w:val="Heading1"/>
      </w:pPr>
      <w:r>
        <w:t xml:space="preserve">Architectural Summary</w:t>
      </w:r>
    </w:p>
    <w:p>
      <w:pPr>
        <w:spacing w:after="180"/>
      </w:pPr>
      <w:r>
        <w:rPr>
          <w:sz w:val="24"/>
          <w:szCs w:val="24"/>
        </w:rPr>
        <w:t xml:space="preserve">This project demonstrates a complete FinOps instrumentation architecture for agentic AI workloads on Google Cloud. It combines two live agent implementations (one using Google ADK and one using Vertex AI directly) with a runtime token capture layer, a BigQuery cost data warehouse, and a Looker Studio dashboard showing real per-run costs from real Gemini API calls.</w:t>
      </w:r>
    </w:p>
    <w:p>
      <w:pPr>
        <w:spacing w:after="180"/>
      </w:pPr>
      <w:r>
        <w:rPr>
          <w:sz w:val="24"/>
          <w:szCs w:val="24"/>
        </w:rPr>
        <w:t xml:space="preserve">The central technical contribution is the InstrumentedGemini wrapper in cost_tracker.py. This wrapper intercepts every Gemini generate_content call, captures the actual token counts from the API response usageMetadata object, calculates the estimated cost at current Vertex AI pricing, and records the step-level data into a RunTracker accumulator. When the pipeline completes, the CostEventWriter inserts the accumulated records into BigQuery as structured cost events, one row per pipeline step per run.</w:t>
      </w:r>
    </w:p>
    <w:p>
      <w:pPr>
        <w:spacing w:after="180"/>
      </w:pPr>
      <w:r>
        <w:rPr>
          <w:sz w:val="24"/>
          <w:szCs w:val="24"/>
        </w:rPr>
        <w:t xml:space="preserve">Both agents implement an identical two-step document analysis pipeline: classify the document type and priority, then generate a structured summary. The only difference is the orchestration layer. ADK manages the agent loop and tool invocation, while the Vertex agent calls Gemini directly. Both tag their cost events with a distinct agent_name value, enabling side-by-side cost comparison in the Looker Studio dashboard.</w:t>
      </w:r>
    </w:p>
    <w:p>
      <w:pPr>
        <w:pStyle w:val="Heading2"/>
      </w:pPr>
      <w:r>
        <w:t xml:space="preserve">What the live data showed</w:t>
      </w:r>
    </w:p>
    <w:p>
      <w:pPr>
        <w:spacing w:after="180"/>
      </w:pPr>
      <w:r>
        <w:rPr>
          <w:sz w:val="24"/>
          <w:szCs w:val="24"/>
        </w:rPr>
        <w:t xml:space="preserve">The following figures are drawn directly from the BigQuery agent_cost_events table populated during live testing on March 24, 2026. All token counts come from Vertex AI usageMetadata in the API response. All cost figures use Gemini 2.5 Flash pricing of /bin/sh.000075 per 1,000 input tokens and /bin/sh.000300 per 1,000 output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b/>
                <w:bCs/>
                <w:color w:val="1F2937"/>
                <w:sz w:val="22"/>
                <w:szCs w:val="22"/>
              </w:rPr>
              <w:t xml:space="preserve">Metric</w:t>
            </w:r>
          </w:p>
        </w:tc>
        <w:tc>
          <w:tcPr>
            <w:tcW w:type="dxa" w:w="288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b/>
                <w:bCs/>
                <w:color w:val="1F2937"/>
                <w:sz w:val="22"/>
                <w:szCs w:val="22"/>
              </w:rPr>
              <w:t xml:space="preserve">vertex-doc-analyzer</w:t>
            </w:r>
          </w:p>
        </w:tc>
        <w:tc>
          <w:tcPr>
            <w:tcW w:type="dxa" w:w="2880"/>
            <w:tcBorders>
              <w:top w:val="single" w:color="CCCCCC" w:sz="1"/>
              <w:left w:val="single" w:color="CCCCCC" w:sz="1"/>
              <w:bottom w:val="single" w:color="CCCCCC" w:sz="1"/>
              <w:right w:val="single" w:color="CCCCCC" w:sz="1"/>
            </w:tcBorders>
            <w:shd w:fill="EBF2FA" w:val="clear"/>
            <w:tcMar>
              <w:top w:type="dxa" w:w="80"/>
              <w:left w:type="dxa" w:w="120"/>
              <w:bottom w:type="dxa" w:w="80"/>
              <w:right w:type="dxa" w:w="120"/>
            </w:tcMar>
          </w:tcPr>
          <w:p>
            <w:r>
              <w:rPr>
                <w:b/>
                <w:bCs/>
                <w:color w:val="1F2937"/>
                <w:sz w:val="22"/>
                <w:szCs w:val="22"/>
              </w:rPr>
              <w:t xml:space="preserve">adk-doc-analyzer</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Avg input tokens (classify_document)</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288</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189</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Avg input tokens (generate_summary)</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267</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169</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Avg output tokens (generate_summary)</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283</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299</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Avg latency (classify_document)</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3,971ms</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3,277ms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Avg latency (generate_summary)</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6,488ms</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5,660ms</w:t>
            </w:r>
          </w:p>
        </w:tc>
      </w:tr>
      <w:tr>
        <w:tc>
          <w:tcPr>
            <w:tcW w:type="dxa" w:w="3600"/>
            <w:tcBorders>
              <w:top w:val="single" w:color="CCCCCC" w:sz="1"/>
              <w:left w:val="single" w:color="CCCCCC" w:sz="1"/>
              <w:bottom w:val="single" w:color="CCCCCC" w:sz="1"/>
              <w:right w:val="single" w:color="CCCCCC" w:sz="1"/>
            </w:tcBorders>
            <w:shd w:fill="F0F6FF" w:val="clear"/>
            <w:tcMar>
              <w:top w:type="dxa" w:w="80"/>
              <w:left w:type="dxa" w:w="120"/>
              <w:bottom w:type="dxa" w:w="80"/>
              <w:right w:type="dxa" w:w="120"/>
            </w:tcMar>
          </w:tcPr>
          <w:p>
            <w:r>
              <w:rPr>
                <w:b w:val="false"/>
                <w:bCs w:val="false"/>
                <w:color w:val="374151"/>
                <w:sz w:val="22"/>
                <w:szCs w:val="22"/>
              </w:rPr>
              <w:t xml:space="preserve">Avg cost per run</w:t>
            </w:r>
          </w:p>
        </w:tc>
        <w:tc>
          <w:tcPr>
            <w:tcW w:type="dxa" w:w="2880"/>
            <w:tcBorders>
              <w:top w:val="single" w:color="CCCCCC" w:sz="1"/>
              <w:left w:val="single" w:color="CCCCCC" w:sz="1"/>
              <w:bottom w:val="single" w:color="CCCCCC" w:sz="1"/>
              <w:right w:val="single" w:color="CCCCCC" w:sz="1"/>
            </w:tcBorders>
            <w:shd w:fill="F0F6FF" w:val="clear"/>
            <w:tcMar>
              <w:top w:type="dxa" w:w="80"/>
              <w:left w:type="dxa" w:w="120"/>
              <w:bottom w:type="dxa" w:w="80"/>
              <w:right w:type="dxa" w:w="120"/>
            </w:tcMar>
          </w:tcPr>
          <w:p>
            <w:r>
              <w:rPr>
                <w:b w:val="false"/>
                <w:bCs w:val="false"/>
                <w:color w:val="374151"/>
                <w:sz w:val="22"/>
                <w:szCs w:val="22"/>
              </w:rPr>
              <w:t xml:space="preserve">$0.00015780</w:t>
            </w:r>
          </w:p>
        </w:tc>
        <w:tc>
          <w:tcPr>
            <w:tcW w:type="dxa" w:w="2880"/>
            <w:tcBorders>
              <w:top w:val="single" w:color="CCCCCC" w:sz="1"/>
              <w:left w:val="single" w:color="CCCCCC" w:sz="1"/>
              <w:bottom w:val="single" w:color="CCCCCC" w:sz="1"/>
              <w:right w:val="single" w:color="CCCCCC" w:sz="1"/>
            </w:tcBorders>
            <w:shd w:fill="F0F6FF" w:val="clear"/>
            <w:tcMar>
              <w:top w:type="dxa" w:w="80"/>
              <w:left w:type="dxa" w:w="120"/>
              <w:bottom w:type="dxa" w:w="80"/>
              <w:right w:type="dxa" w:w="120"/>
            </w:tcMar>
          </w:tcPr>
          <w:p>
            <w:r>
              <w:rPr>
                <w:b w:val="false"/>
                <w:bCs w:val="false"/>
                <w:color w:val="374151"/>
                <w:sz w:val="22"/>
                <w:szCs w:val="22"/>
              </w:rPr>
              <w:t xml:space="preserve">$0.00013035</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Total runs in test session</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3</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1</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Total tokens in test session</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2,022</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374151"/>
                <w:sz w:val="22"/>
                <w:szCs w:val="22"/>
              </w:rPr>
              <w:t xml:space="preserve">627</w:t>
            </w:r>
          </w:p>
        </w:tc>
      </w:tr>
    </w:tbl>
    <w:p>
      <w:pPr>
        <w:spacing w:after="160"/>
      </w:pPr>
      <w:r>
        <w:t xml:space="preserve"/>
      </w:r>
    </w:p>
    <w:p>
      <w:pPr>
        <w:spacing w:after="180"/>
      </w:pPr>
      <w:r>
        <w:rPr>
          <w:sz w:val="24"/>
          <w:szCs w:val="24"/>
        </w:rPr>
        <w:t xml:space="preserve">The ADK framework used fewer input tokens on both steps despite identical pipeline logic and identical input documents. The ADK runtime constructs the prompt context differently from a direct Vertex AI call. It encapsulates more of the agent instructions in the framework layer rather than passing them as raw prompt text, resulting in a smaller effective prompt reaching Gemini. This difference is directly observable in the usageMetadata token counts and represents a real cost advantage at production volume.</w:t>
      </w:r>
    </w:p>
    <w:p>
      <w:pPr>
        <w:pStyle w:val="Heading2"/>
      </w:pPr>
      <w:r>
        <w:t xml:space="preserve">BigQuery data architecture</w:t>
      </w:r>
    </w:p>
    <w:p>
      <w:pPr>
        <w:spacing w:after="180"/>
      </w:pPr>
      <w:r>
        <w:rPr>
          <w:sz w:val="24"/>
          <w:szCs w:val="24"/>
        </w:rPr>
        <w:t xml:space="preserve">The raw cost event table (agent_finops_raw.agent_cost_events) is partitioned by event date and clustered by agent_name and environment. Partitioning by date means BigQuery scans only the relevant day partitions when a dashboard query filters by date range, rather than scanning the full table history. Clustering by agent_name within each partition physically orders rows by agent, reducing bytes scanned further for per-agent queries.</w:t>
      </w:r>
    </w:p>
    <w:p>
      <w:pPr>
        <w:spacing w:after="180"/>
      </w:pPr>
      <w:r>
        <w:rPr>
          <w:sz w:val="24"/>
          <w:szCs w:val="24"/>
        </w:rPr>
        <w:t xml:space="preserve">The table stores one row per pipeline step per run. A two-step pipeline produces two rows per run. This granularity enables step-level cost attribution that is not available from cloud billing data, which aggregates all Vertex AI costs into a single line item with no per-run or per-step breakdown.</w:t>
      </w:r>
    </w:p>
    <w:p>
      <w:pPr>
        <w:spacing w:after="180"/>
      </w:pPr>
      <w:r>
        <w:rPr>
          <w:sz w:val="24"/>
          <w:szCs w:val="24"/>
        </w:rPr>
        <w:t xml:space="preserve">Six runtime views in agent_finops_mart aggregate the raw events: daily cost by agent (runtime_daily_agent), step-level averages (runtime_step_cost), month-to-date summaries (runtime_mtd), token trend over time (token_trend_daily), cost by urgency or document complexity (runtime_cost_by_urgency), and cost per 1,000 runs (runtime_cost_per_1k). Six dashboard views further shape these aggregates for the specific chart and scorecard types used in Looker Studio.</w:t>
      </w:r>
    </w:p>
    <w:p>
      <w:pPr>
        <w:pStyle w:val="Heading2"/>
      </w:pPr>
      <w:r>
        <w:t xml:space="preserve">Anomaly detection</w:t>
      </w:r>
    </w:p>
    <w:p>
      <w:pPr>
        <w:spacing w:after="180"/>
      </w:pPr>
      <w:r>
        <w:rPr>
          <w:sz w:val="24"/>
          <w:szCs w:val="24"/>
        </w:rPr>
        <w:t xml:space="preserve">A scheduled BigQuery query runs hourly and flags pipeline runs where the estimated cost exceeds three standard deviations from the 30-day baseline for that agent and step combination. The baseline is calculated from all successful runs in the past 30 days using AVG and STDDEV aggregations. Flagged runs are written to the run_cost_anomalies table with a human-readable reason field that classifies the anomaly. Costs exceeding 5x the baseline are flagged as possible retry loops or oversized inputs. Costs exceeding 3x are flagged for investigation of input size or prompt changes. Statistical outliers above the 3-sigma threshold receive a general outlier classification.</w:t>
      </w:r>
    </w:p>
    <w:p>
      <w:r>
        <w:br w:type="page"/>
      </w:r>
    </w:p>
    <w:p>
      <w:pPr>
        <w:pStyle w:val="Heading1"/>
      </w:pPr>
      <w:r>
        <w:t xml:space="preserve">Technical Q&amp;A</w:t>
      </w:r>
    </w:p>
    <w:p>
      <w:pPr>
        <w:pStyle w:val="Heading2"/>
      </w:pPr>
      <w:r>
        <w:t xml:space="preserve">Architecture and instrumentation</w:t>
      </w:r>
    </w:p>
    <w:p>
      <w:pPr>
        <w:pBdr>
          <w:left w:val="single" w:color="2E75B6" w:sz="12" w:space="8"/>
        </w:pBdr>
        <w:spacing w:before="280" w:after="80"/>
        <w:ind w:left="240"/>
      </w:pPr>
      <w:r>
        <w:rPr>
          <w:b/>
          <w:bCs/>
          <w:color w:val="1F4E79"/>
          <w:sz w:val="24"/>
          <w:szCs w:val="24"/>
        </w:rPr>
        <w:t xml:space="preserve">Why capture tokens from usageMetadata rather than estimating from prompt length?</w:t>
      </w:r>
    </w:p>
    <w:p>
      <w:pPr>
        <w:spacing w:after="160"/>
        <w:ind w:left="240"/>
      </w:pPr>
      <w:r>
        <w:rPr>
          <w:sz w:val="24"/>
          <w:szCs w:val="24"/>
        </w:rPr>
        <w:t xml:space="preserve">The usageMetadata object in the Vertex AI API response contains the actual token counts used for billing, the same numbers that appear on the Vertex AI invoice. Estimating from character count or word count produces approximations that diverge from actual costs as model tokenization changes between versions. Capturing from usageMetadata means the cost data in BigQuery is grounded in the same measurement as the billing system. Any discrepancy between the estimated cost in BigQuery and the actual Vertex AI charge is only the pricing rate applied at calculation time, not a measurement error in token counts.</w:t>
      </w:r>
    </w:p>
    <w:p>
      <w:pPr>
        <w:pBdr>
          <w:left w:val="single" w:color="2E75B6" w:sz="12" w:space="8"/>
        </w:pBdr>
        <w:spacing w:before="280" w:after="80"/>
        <w:ind w:left="240"/>
      </w:pPr>
      <w:r>
        <w:rPr>
          <w:b/>
          <w:bCs/>
          <w:color w:val="1F4E79"/>
          <w:sz w:val="24"/>
          <w:szCs w:val="24"/>
        </w:rPr>
        <w:t xml:space="preserve">Why one row per pipeline step rather than one row per run?</w:t>
      </w:r>
    </w:p>
    <w:p>
      <w:pPr>
        <w:spacing w:after="160"/>
        <w:ind w:left="240"/>
      </w:pPr>
      <w:r>
        <w:rPr>
          <w:sz w:val="24"/>
          <w:szCs w:val="24"/>
        </w:rPr>
        <w:t xml:space="preserve">Step-level granularity enables the most actionable cost optimization analysis. A run-level record tells you the total cost of the pipeline. A step-level record tells you that generate_summary consumed 78% of the total token cost for a given run, which means prompt optimization in that step has roughly four times the cost impact of equivalent optimization in the classify_document step. Without step-level data, cost optimization decisions lack the specificity needed to prioritize engineering effort.</w:t>
      </w:r>
    </w:p>
    <w:p>
      <w:pPr>
        <w:pBdr>
          <w:left w:val="single" w:color="2E75B6" w:sz="12" w:space="8"/>
        </w:pBdr>
        <w:spacing w:before="280" w:after="80"/>
        <w:ind w:left="240"/>
      </w:pPr>
      <w:r>
        <w:rPr>
          <w:b/>
          <w:bCs/>
          <w:color w:val="1F4E79"/>
          <w:sz w:val="24"/>
          <w:szCs w:val="24"/>
        </w:rPr>
        <w:t xml:space="preserve">How does the RunTracker accumulate cost across steps?</w:t>
      </w:r>
    </w:p>
    <w:p>
      <w:pPr>
        <w:spacing w:after="160"/>
        <w:ind w:left="240"/>
      </w:pPr>
      <w:r>
        <w:rPr>
          <w:sz w:val="24"/>
          <w:szCs w:val="24"/>
        </w:rPr>
        <w:t xml:space="preserve">RunTracker is a Python dataclass instantiated once per pipeline run and passed as a parameter to the gemini_call() wrapper function. After each Gemini API call completes, gemini_call() appends a StepCost record to the tracker steps list, containing the step name, model name, input tokens, output tokens, estimated cost, and latency for that call. When the pipeline finishes, write_to_bigquery() converts the accumulated steps into a list of row dictionaries and inserts them into BigQuery using the streaming insert API. The write_safe() variant catches and logs errors without raising, ensuring that a BigQuery write failure never causes the primary pipeline to fail.</w:t>
      </w:r>
    </w:p>
    <w:p>
      <w:pPr>
        <w:pBdr>
          <w:left w:val="single" w:color="2E75B6" w:sz="12" w:space="8"/>
        </w:pBdr>
        <w:spacing w:before="280" w:after="80"/>
        <w:ind w:left="240"/>
      </w:pPr>
      <w:r>
        <w:rPr>
          <w:b/>
          <w:bCs/>
          <w:color w:val="1F4E79"/>
          <w:sz w:val="24"/>
          <w:szCs w:val="24"/>
        </w:rPr>
        <w:t xml:space="preserve">Why are both agents identical in pipeline logic but different in cost?</w:t>
      </w:r>
    </w:p>
    <w:p>
      <w:pPr>
        <w:spacing w:after="160"/>
        <w:ind w:left="240"/>
      </w:pPr>
      <w:r>
        <w:rPr>
          <w:sz w:val="24"/>
          <w:szCs w:val="24"/>
        </w:rPr>
        <w:t xml:space="preserve">The difference originates in how each framework constructs the prompt sent to Gemini. The direct Vertex AI implementation passes the full user input plus a manually written system prompt as raw text in the generate_content call. The ADK implementation routes the request through the ADK agent runtime, which manages the conversation context, system instructions, and tool schema. The ADK runtime encapsulates some of this context in a way that results in fewer raw input tokens reaching the Gemini tokenizer. The cost tracker captures this accurately because it reads token counts from usageMetadata after the call, reflecting exactly what Gemini tokenized and billed, rather than measuring only the user-visible portion of the prompt.</w:t>
      </w:r>
    </w:p>
    <w:p>
      <w:pPr>
        <w:pBdr>
          <w:left w:val="single" w:color="2E75B6" w:sz="12" w:space="8"/>
        </w:pBdr>
        <w:spacing w:before="280" w:after="80"/>
        <w:ind w:left="240"/>
      </w:pPr>
      <w:r>
        <w:rPr>
          <w:b/>
          <w:bCs/>
          <w:color w:val="1F4E79"/>
          <w:sz w:val="24"/>
          <w:szCs w:val="24"/>
        </w:rPr>
        <w:t xml:space="preserve">What does write_safe() protect against?</w:t>
      </w:r>
    </w:p>
    <w:p>
      <w:pPr>
        <w:spacing w:after="160"/>
        <w:ind w:left="240"/>
      </w:pPr>
      <w:r>
        <w:rPr>
          <w:sz w:val="24"/>
          <w:szCs w:val="24"/>
        </w:rPr>
        <w:t xml:space="preserve">write_safe() ensures that cost logging never becomes a dependency of pipeline availability. If BigQuery experiences a transient error such as a service interruption, a quota limit, or a network timeout, the exception is caught, logged to stdout, and the function returns False. The pipeline continues normally and the document analysis result is returned to the user. The cost data for that run is lost, which is the correct tradeoff: document processing availability takes precedence over cost telemetry completeness. In a production deployment, write_safe() failure logs would be monitored separately to investigate telemetry gaps rather than trigger pipeline failure alerts.</w:t>
      </w:r>
    </w:p>
    <w:p>
      <w:pPr>
        <w:pStyle w:val="Heading2"/>
      </w:pPr>
      <w:r>
        <w:t xml:space="preserve">BigQuery and views</w:t>
      </w:r>
    </w:p>
    <w:p>
      <w:pPr>
        <w:pBdr>
          <w:left w:val="single" w:color="2E75B6" w:sz="12" w:space="8"/>
        </w:pBdr>
        <w:spacing w:before="280" w:after="80"/>
        <w:ind w:left="240"/>
      </w:pPr>
      <w:r>
        <w:rPr>
          <w:b/>
          <w:bCs/>
          <w:color w:val="1F4E79"/>
          <w:sz w:val="24"/>
          <w:szCs w:val="24"/>
        </w:rPr>
        <w:t xml:space="preserve">Why partition by date and cluster by agent_name rather than the reverse?</w:t>
      </w:r>
    </w:p>
    <w:p>
      <w:pPr>
        <w:spacing w:after="160"/>
        <w:ind w:left="240"/>
      </w:pPr>
      <w:r>
        <w:rPr>
          <w:sz w:val="24"/>
          <w:szCs w:val="24"/>
        </w:rPr>
        <w:t xml:space="preserve">Dashboard queries almost always filter by date range first, for example last 7 days, month to date, or quarter to date. Partitioning by date means BigQuery only opens the relevant day partitions rather than scanning the full table. Clustering by agent_name within each partition further reduces bytes scanned for queries that also filter by agent. The reverse configuration would benefit queries that retrieve all data for a specific agent across all time, which is a less common operational pattern. The chosen configuration aligns with the access patterns of the Looker Studio dashboard.</w:t>
      </w:r>
    </w:p>
    <w:p>
      <w:pPr>
        <w:pBdr>
          <w:left w:val="single" w:color="2E75B6" w:sz="12" w:space="8"/>
        </w:pBdr>
        <w:spacing w:before="280" w:after="80"/>
        <w:ind w:left="240"/>
      </w:pPr>
      <w:r>
        <w:rPr>
          <w:b/>
          <w:bCs/>
          <w:color w:val="1F4E79"/>
          <w:sz w:val="24"/>
          <w:szCs w:val="24"/>
        </w:rPr>
        <w:t xml:space="preserve">What is the difference between the runtime views and the dashboard views?</w:t>
      </w:r>
    </w:p>
    <w:p>
      <w:pPr>
        <w:spacing w:after="160"/>
        <w:ind w:left="240"/>
      </w:pPr>
      <w:r>
        <w:rPr>
          <w:sz w:val="24"/>
          <w:szCs w:val="24"/>
        </w:rPr>
        <w:t xml:space="preserve">Runtime views in 03_runtime_views.sql aggregate raw events into general-purpose analytical shapes including daily totals by agent, step-level averages, month-to-date summaries, and token trends. They are designed to support any BI tool or ad-hoc query. Dashboard views in 04_dashboard_views.sql are purpose-built for the specific chart and scorecard types used in Looker Studio. The dashboard_executive_summary view, for example, pre-calculates est_cost_per_1k_runs_usd so that Looker Studio can display it as a scorecard without requiring a calculated field configuration. This separation keeps the runtime views reusable while optimizing the dashboard views for rendering performance.</w:t>
      </w:r>
    </w:p>
    <w:p>
      <w:pPr>
        <w:pBdr>
          <w:left w:val="single" w:color="2E75B6" w:sz="12" w:space="8"/>
        </w:pBdr>
        <w:spacing w:before="280" w:after="80"/>
        <w:ind w:left="240"/>
      </w:pPr>
      <w:r>
        <w:rPr>
          <w:b/>
          <w:bCs/>
          <w:color w:val="1F4E79"/>
          <w:sz w:val="24"/>
          <w:szCs w:val="24"/>
        </w:rPr>
        <w:t xml:space="preserve">Why does avg_step_cost_usd display as 0 in the Looker Studio table?</w:t>
      </w:r>
    </w:p>
    <w:p>
      <w:pPr>
        <w:spacing w:after="160"/>
        <w:ind w:left="240"/>
      </w:pPr>
      <w:r>
        <w:rPr>
          <w:sz w:val="24"/>
          <w:szCs w:val="24"/>
        </w:rPr>
        <w:t xml:space="preserve">This is a decimal precision display issue rather than a data error. The actual values in BigQuery are correct, approximately 0.00010500 for generate_summary and 0.00003900 for classify_document. Looker Studio defaults to auto precision for numeric fields, which rounds values below 0.005 to zero. The fix is to apply a custom number format of 0.00000000 in the field properties of the table chart, which forces eight decimal places of display precision.</w:t>
      </w:r>
    </w:p>
    <w:p>
      <w:pPr>
        <w:pStyle w:val="Heading2"/>
      </w:pPr>
      <w:r>
        <w:t xml:space="preserve">Framework comparison</w:t>
      </w:r>
    </w:p>
    <w:p>
      <w:pPr>
        <w:pBdr>
          <w:left w:val="single" w:color="2E75B6" w:sz="12" w:space="8"/>
        </w:pBdr>
        <w:spacing w:before="280" w:after="80"/>
        <w:ind w:left="240"/>
      </w:pPr>
      <w:r>
        <w:rPr>
          <w:b/>
          <w:bCs/>
          <w:color w:val="1F4E79"/>
          <w:sz w:val="24"/>
          <w:szCs w:val="24"/>
        </w:rPr>
        <w:t xml:space="preserve">Is ADK cheaper than direct Vertex AI for production workloads?</w:t>
      </w:r>
    </w:p>
    <w:p>
      <w:pPr>
        <w:spacing w:after="160"/>
        <w:ind w:left="240"/>
      </w:pPr>
      <w:r>
        <w:rPr>
          <w:sz w:val="24"/>
          <w:szCs w:val="24"/>
        </w:rPr>
        <w:t xml:space="preserve">The live data shows ADK used fewer input tokens per run than the direct Vertex AI implementation: 189 versus 288 for classify_document and 169 versus 267 for generate_summary. At Gemini 2.5 Flash pricing, the ADK agent cost approximately /bin/sh.00013035 per run versus /bin/sh.00015780 for the Vertex agent, a difference of roughly 17% per run. At 10,000 runs per month this represents approximately 8 versus 4 in monthly model costs. The difference narrows if the direct Vertex implementation is optimized with equivalent prompt engineering. The more durable advantage of ADK is its built-in retry and error handling, which reduces retry-related cost spikes compared to a custom implementation without structured error recovery.</w:t>
      </w:r>
    </w:p>
    <w:p>
      <w:pPr>
        <w:pBdr>
          <w:left w:val="single" w:color="2E75B6" w:sz="12" w:space="8"/>
        </w:pBdr>
        <w:spacing w:before="280" w:after="80"/>
        <w:ind w:left="240"/>
      </w:pPr>
      <w:r>
        <w:rPr>
          <w:b/>
          <w:bCs/>
          <w:color w:val="1F4E79"/>
          <w:sz w:val="24"/>
          <w:szCs w:val="24"/>
        </w:rPr>
        <w:t xml:space="preserve">Would LangGraph be cheaper than ADK for this pipeline?</w:t>
      </w:r>
    </w:p>
    <w:p>
      <w:pPr>
        <w:spacing w:after="160"/>
        <w:ind w:left="240"/>
      </w:pPr>
      <w:r>
        <w:rPr>
          <w:sz w:val="24"/>
          <w:szCs w:val="24"/>
        </w:rPr>
        <w:t xml:space="preserve">For the two-step pipeline in this project, LangGraph would produce similar Gemini token counts because the prompts are identical. However, LangGraph deployments typically integrate with LangSmith for tracing and observability, which adds approximately 0 to 0 per month at moderate production volume on top of Gemini API costs. Google ADK traces execution through Vertex AI and Cloud Logging at standard rates with no separate per-trace charge. For this specific pipeline, ADK has lower total infrastructure cost. For more complex pipelines where LangGraph conditional branching, state management, and LangSmith debugging capabilities meaningfully reduce development and incident response time, the LangSmith cost is likely justified by the engineering productivity gains.</w:t>
      </w:r>
    </w:p>
    <w:p>
      <w:pPr>
        <w:pBdr>
          <w:left w:val="single" w:color="2E75B6" w:sz="12" w:space="8"/>
        </w:pBdr>
        <w:spacing w:before="280" w:after="80"/>
        <w:ind w:left="240"/>
      </w:pPr>
      <w:r>
        <w:rPr>
          <w:b/>
          <w:bCs/>
          <w:color w:val="1F4E79"/>
          <w:sz w:val="24"/>
          <w:szCs w:val="24"/>
        </w:rPr>
        <w:t xml:space="preserve">What is the portfolio story this project tells?</w:t>
      </w:r>
    </w:p>
    <w:p>
      <w:pPr>
        <w:spacing w:after="160"/>
        <w:ind w:left="240"/>
      </w:pPr>
      <w:r>
        <w:rPr>
          <w:sz w:val="24"/>
          <w:szCs w:val="24"/>
        </w:rPr>
        <w:t xml:space="preserve">This project demonstrates that professional-level agentic AI engineering includes financial accountability, not just functional capability. Building an agent that works is a baseline requirement. Building an agent where every run produces a measured cost record, where cost anomalies are detected automatically, where framework cost differences are observable in real data, and where a business stakeholder can look at a dashboard and see exactly what the agent costs per run: that is the architecture that gets deployed in production and receives sustained investment. The side-by-side framework comparison is the most direct illustration. Two implementations, identical logic, different observable costs, explained by measurable differences in how each framework constructs the prompt context.</w:t>
      </w:r>
    </w:p>
    <w:p>
      <w:pPr>
        <w:spacing w:after="400"/>
      </w:pPr>
      <w:r>
        <w:t xml:space="preserve"/>
      </w:r>
    </w:p>
    <w:p>
      <w:r>
        <w:rPr>
          <w:rFonts w:ascii="Arial" w:cs="Arial" w:eastAsia="Arial" w:hAnsi="Arial"/>
          <w:i/>
          <w:iCs/>
          <w:color w:val="888780"/>
          <w:sz w:val="20"/>
          <w:szCs w:val="20"/>
        </w:rPr>
        <w:t xml:space="preserve">Gregory Horne  |  github.com/gbhorne  |  March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2E75B6" w:sz="4" w:space="4"/>
      </w:pBdr>
      <w:spacing w:before="320" w:after="160"/>
      <w:outlineLvl w:val="0"/>
    </w:pPr>
    <w:rPr>
      <w:rFonts w:ascii="Arial" w:cs="Arial" w:eastAsia="Arial" w:hAnsi="Arial"/>
      <w:b/>
      <w:bCs/>
      <w:color w:val="1F2937"/>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2026-03-25T02:26:18.119Z</dcterms:created>
  <dcterms:modified xsi:type="dcterms:W3CDTF">2026-03-25T02:26:18.120Z</dcterms:modified>
</cp:coreProperties>
</file>

<file path=docProps/custom.xml><?xml version="1.0" encoding="utf-8"?>
<Properties xmlns="http://schemas.openxmlformats.org/officeDocument/2006/custom-properties" xmlns:vt="http://schemas.openxmlformats.org/officeDocument/2006/docPropsVTypes"/>
</file>