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p>
    <w:p>
      <w:pPr>
        <w:spacing w:before="0" w:after="40"/>
      </w:pPr>
      <w:r>
        <w:rPr>
          <w:rFonts w:ascii="Arial" w:cs="Arial" w:eastAsia="Arial" w:hAnsi="Arial"/>
          <w:b/>
          <w:bCs/>
          <w:caps/>
          <w:color w:val="0D47A1"/>
          <w:sz w:val="52"/>
          <w:szCs w:val="52"/>
        </w:rPr>
        <w:t xml:space="preserve">RETAILCO FINANCIAL DATA PLATFORM</w:t>
      </w:r>
    </w:p>
    <w:p>
      <w:pPr>
        <w:spacing w:before="0" w:after="40"/>
      </w:pPr>
      <w:r>
        <w:rPr>
          <w:rFonts w:ascii="Arial" w:cs="Arial" w:eastAsia="Arial" w:hAnsi="Arial"/>
          <w:color w:val="1A73E8"/>
          <w:sz w:val="30"/>
          <w:szCs w:val="30"/>
        </w:rPr>
        <w:t xml:space="preserve">Technical Q&amp;A and Architecture Explanation</w:t>
      </w:r>
    </w:p>
    <w:p>
      <w:pPr>
        <w:pBdr>
          <w:bottom w:val="single" w:color="1A73E8" w:sz="8" w:space="6"/>
        </w:pBdr>
        <w:spacing w:before="0" w:after="300"/>
      </w:pPr>
      <w:r>
        <w:rPr>
          <w:rFonts w:ascii="Arial" w:cs="Arial" w:eastAsia="Arial" w:hAnsi="Arial"/>
          <w:i/>
          <w:iCs/>
          <w:color w:val="5F6368"/>
          <w:sz w:val="22"/>
          <w:szCs w:val="22"/>
        </w:rPr>
        <w:t xml:space="preserve">Three-Build GCP Dataflow Portfolio Project</w:t>
      </w:r>
    </w:p>
    <w:p>
      <w:pPr>
        <w:spacing w:before="12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80"/>
              <w:left w:type="dxa" w:w="240"/>
              <w:bottom w:type="dxa" w:w="180"/>
              <w:right w:type="dxa" w:w="240"/>
            </w:tcMar>
          </w:tcPr>
          <w:p>
            <w:pPr>
              <w:spacing w:before="0" w:after="80"/>
            </w:pPr>
            <w:r>
              <w:rPr>
                <w:rFonts w:ascii="Arial" w:cs="Arial" w:eastAsia="Arial" w:hAnsi="Arial"/>
                <w:b/>
                <w:bCs/>
                <w:caps/>
                <w:color w:val="0D47A1"/>
                <w:sz w:val="20"/>
                <w:szCs w:val="20"/>
              </w:rPr>
              <w:t xml:space="preserve">ABOUT THIS DOCUMENT</w:t>
            </w:r>
          </w:p>
          <w:p>
            <w:pPr>
              <w:spacing w:before="0" w:after="60"/>
            </w:pPr>
            <w:r>
              <w:rPr>
                <w:rFonts w:ascii="Arial" w:cs="Arial" w:eastAsia="Arial" w:hAnsi="Arial"/>
                <w:color w:val="202124"/>
                <w:sz w:val="20"/>
                <w:szCs w:val="20"/>
              </w:rPr>
              <w:t xml:space="preserve">This document covers the architecture, design decisions, and technical details behind a three-build financial data platform built on Google Cloud Platform. It is structured as a Q&amp;A to support portfolio review, interviews, and technical blog posts.</w:t>
            </w:r>
          </w:p>
          <w:p>
            <w:pPr>
              <w:spacing w:before="0" w:after="0"/>
            </w:pPr>
            <w:r>
              <w:rPr>
                <w:rFonts w:ascii="Arial" w:cs="Arial" w:eastAsia="Arial" w:hAnsi="Arial"/>
                <w:i/>
                <w:iCs/>
                <w:color w:val="5F6368"/>
                <w:sz w:val="20"/>
                <w:szCs w:val="20"/>
              </w:rPr>
              <w:t xml:space="preserve">All GCP project identifiers and bucket paths have been redacted and replaced with [PROJECT-ID] and [PROJECT-BUCKET].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Build 1</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Streaming pipeline: Pub/Sub to BigQuery via managed Dataflow template</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Build 2</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Batch pipeline: GCS CSV to BigQuery via managed template with JavaScript UDF</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Build 3</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Custom Apache Beam Python pipeline with 5-minute tumbling fraud windows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Verification</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18 of 18 automated checks passed across all three builds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Environment</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GCP Sandbox, us-east1, e2-medium workers, max-workers: 1</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Bucket</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gs://[PROJECT-BUCKET]</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Project</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[PROJECT-ID]</w:t>
            </w:r>
          </w:p>
        </w:tc>
      </w:tr>
    </w:tbl>
    <w:p>
      <w:r>
        <w:br w:type="page"/>
      </w:r>
    </w:p>
    <w:p>
      <w:pPr>
        <w:pStyle w:val="Heading1"/>
        <w:pBdr>
          <w:bottom w:val="single" w:color="1A73E8" w:sz="6" w:space="4"/>
        </w:pBdr>
        <w:spacing w:before="360" w:after="120"/>
      </w:pPr>
      <w:r>
        <w:rPr>
          <w:rFonts w:ascii="Arial" w:cs="Arial" w:eastAsia="Arial" w:hAnsi="Arial"/>
          <w:b/>
          <w:bCs/>
          <w:color w:val="0D47A1"/>
          <w:sz w:val="32"/>
          <w:szCs w:val="32"/>
        </w:rPr>
        <w:t xml:space="preserve">Section 1: Architecture Overview</w:t>
      </w:r>
    </w:p>
    <w:p>
      <w:pPr>
        <w:spacing w:before="60" w:after="100"/>
      </w:pPr>
      <w:r>
        <w:rPr>
          <w:rFonts w:ascii="Arial" w:cs="Arial" w:eastAsia="Arial" w:hAnsi="Arial"/>
          <w:color w:val="202124"/>
          <w:sz w:val="20"/>
          <w:szCs w:val="20"/>
        </w:rPr>
        <w:t xml:space="preserve">The platform consists of three complementary pipelines that together implement a complete financial data engineering pattern used in production payment systems.</w:t>
      </w:r>
    </w:p>
    <w:p>
      <w:pPr>
        <w:spacing w:before="60" w:after="0"/>
      </w:pPr>
    </w:p>
    <w:p>
      <w:pPr>
        <w:pStyle w:val="Heading2"/>
        <w:spacing w:before="280" w:after="100"/>
      </w:pPr>
      <w:r>
        <w:rPr>
          <w:rFonts w:ascii="Arial" w:cs="Arial" w:eastAsia="Arial" w:hAnsi="Arial"/>
          <w:b/>
          <w:bCs/>
          <w:color w:val="0D47A1"/>
          <w:sz w:val="26"/>
          <w:szCs w:val="26"/>
        </w:rPr>
        <w:t xml:space="preserve">1.1 What Was Built</w:t>
      </w:r>
    </w:p>
    <w:p>
      <w:pPr>
        <w:spacing w:before="60" w:after="100"/>
      </w:pPr>
      <w:r>
        <w:rPr>
          <w:rFonts w:ascii="Arial" w:cs="Arial" w:eastAsia="Arial" w:hAnsi="Arial"/>
          <w:color w:val="202124"/>
          <w:sz w:val="20"/>
          <w:szCs w:val="20"/>
        </w:rPr>
        <w:t xml:space="preserve">Build 1 captures every card transaction the moment it happens. A Python publisher generates synthetic financial events and pushes them to Cloud Pub/Sub. A managed Dataflow template reads from the subscription and writes each event to BigQuery within two minutes of it being published. This is the streaming layer.</w:t>
      </w:r>
    </w:p>
    <w:p>
      <w:pPr>
        <w:spacing w:before="60" w:after="0"/>
      </w:pPr>
    </w:p>
    <w:p>
      <w:pPr>
        <w:spacing w:before="60" w:after="100"/>
      </w:pPr>
      <w:r>
        <w:rPr>
          <w:rFonts w:ascii="Arial" w:cs="Arial" w:eastAsia="Arial" w:hAnsi="Arial"/>
          <w:color w:val="202124"/>
          <w:sz w:val="20"/>
          <w:szCs w:val="20"/>
        </w:rPr>
        <w:t xml:space="preserve">Build 2 loads the authoritative daily settlements file from the bank. A Python generator creates a realistic CSV with 200 settlement records in three states: SETTLED, REVERSED, and HELD. A managed Dataflow template reads the file from Cloud Storage, passes each row through a JavaScript UDF for normalisation, and loads the result into BigQuery. A Cloud Scheduler job triggers this automatically at 2 AM every night. This is the batch layer.</w:t>
      </w:r>
    </w:p>
    <w:p>
      <w:pPr>
        <w:spacing w:before="60" w:after="0"/>
      </w:pPr>
    </w:p>
    <w:p>
      <w:pPr>
        <w:spacing w:before="60" w:after="100"/>
      </w:pPr>
      <w:r>
        <w:rPr>
          <w:rFonts w:ascii="Arial" w:cs="Arial" w:eastAsia="Arial" w:hAnsi="Arial"/>
          <w:color w:val="202124"/>
          <w:sz w:val="20"/>
          <w:szCs w:val="20"/>
        </w:rPr>
        <w:t xml:space="preserve">Build 3 adds windowed fraud detection. A custom Apache Beam Python pipeline reads the same Pub/Sub topic as Build 1, groups transactions into 5-minute tumbling windows, computes a fraud rate for each window, and flags any window where fraudulent transactions exceed 10 percent of total volume as HIGH_RISK. This is the custom analytics layer.</w:t>
      </w:r>
    </w:p>
    <w:p>
      <w:pPr>
        <w:spacing w:before="80" w:after="0"/>
      </w:pPr>
    </w:p>
    <w:p>
      <w:pPr>
        <w:pStyle w:val="Heading2"/>
        <w:spacing w:before="280" w:after="100"/>
      </w:pPr>
      <w:r>
        <w:rPr>
          <w:rFonts w:ascii="Arial" w:cs="Arial" w:eastAsia="Arial" w:hAnsi="Arial"/>
          <w:b/>
          <w:bCs/>
          <w:color w:val="0D47A1"/>
          <w:sz w:val="26"/>
          <w:szCs w:val="26"/>
        </w:rPr>
        <w:t xml:space="preserve">1.2 Why Three Separate Pipelines</w:t>
      </w:r>
    </w:p>
    <w:p>
      <w:pPr>
        <w:spacing w:before="60" w:after="100"/>
      </w:pPr>
      <w:r>
        <w:rPr>
          <w:rFonts w:ascii="Arial" w:cs="Arial" w:eastAsia="Arial" w:hAnsi="Arial"/>
          <w:color w:val="202124"/>
          <w:sz w:val="20"/>
          <w:szCs w:val="20"/>
        </w:rPr>
        <w:t xml:space="preserve">Each pipeline solves a different problem and runs on a different cadence. Combining them into a single pipeline would create tight coupling and make each one harder to operate independently.</w:t>
      </w:r>
    </w:p>
    <w:p>
      <w:pPr>
        <w:spacing w:before="40" w:after="0"/>
      </w:pPr>
    </w:p>
    <w:p>
      <w:pPr>
        <w:pStyle w:val="ListParagraph"/>
        <w:numPr>
          <w:ilvl w:val="0"/>
          <w:numId w:val="2"/>
        </w:numPr>
        <w:spacing w:before="40" w:after="40"/>
      </w:pPr>
      <w:r>
        <w:rPr>
          <w:rFonts w:ascii="Arial" w:cs="Arial" w:eastAsia="Arial" w:hAnsi="Arial"/>
          <w:b/>
          <w:bCs/>
          <w:color w:val="202124"/>
          <w:sz w:val="20"/>
          <w:szCs w:val="20"/>
        </w:rPr>
        <w:t xml:space="preserve">Build 1 </w:t>
      </w:r>
      <w:r>
        <w:rPr>
          <w:rFonts w:ascii="Arial" w:cs="Arial" w:eastAsia="Arial" w:hAnsi="Arial"/>
          <w:color w:val="202124"/>
          <w:sz w:val="20"/>
          <w:szCs w:val="20"/>
        </w:rPr>
        <w:t xml:space="preserve">runs continuously. It must never stop because every missed event is a transaction gap in the analytics.</w:t>
      </w:r>
    </w:p>
    <w:p>
      <w:pPr>
        <w:pStyle w:val="ListParagraph"/>
        <w:numPr>
          <w:ilvl w:val="0"/>
          <w:numId w:val="2"/>
        </w:numPr>
        <w:spacing w:before="40" w:after="40"/>
      </w:pPr>
      <w:r>
        <w:rPr>
          <w:rFonts w:ascii="Arial" w:cs="Arial" w:eastAsia="Arial" w:hAnsi="Arial"/>
          <w:b/>
          <w:bCs/>
          <w:color w:val="202124"/>
          <w:sz w:val="20"/>
          <w:szCs w:val="20"/>
        </w:rPr>
        <w:t xml:space="preserve">Build 2 </w:t>
      </w:r>
      <w:r>
        <w:rPr>
          <w:rFonts w:ascii="Arial" w:cs="Arial" w:eastAsia="Arial" w:hAnsi="Arial"/>
          <w:color w:val="202124"/>
          <w:sz w:val="20"/>
          <w:szCs w:val="20"/>
        </w:rPr>
        <w:t xml:space="preserve">runs once per day. The settlements file is a bounded dataset delivered on a schedule. A streaming job would waste resources waiting for a file that arrives once per day.</w:t>
      </w:r>
    </w:p>
    <w:p>
      <w:pPr>
        <w:pStyle w:val="ListParagraph"/>
        <w:numPr>
          <w:ilvl w:val="0"/>
          <w:numId w:val="2"/>
        </w:numPr>
        <w:spacing w:before="40" w:after="40"/>
      </w:pPr>
      <w:r>
        <w:rPr>
          <w:rFonts w:ascii="Arial" w:cs="Arial" w:eastAsia="Arial" w:hAnsi="Arial"/>
          <w:b/>
          <w:bCs/>
          <w:color w:val="202124"/>
          <w:sz w:val="20"/>
          <w:szCs w:val="20"/>
        </w:rPr>
        <w:t xml:space="preserve">Build 3 </w:t>
      </w:r>
      <w:r>
        <w:rPr>
          <w:rFonts w:ascii="Arial" w:cs="Arial" w:eastAsia="Arial" w:hAnsi="Arial"/>
          <w:color w:val="202124"/>
          <w:sz w:val="20"/>
          <w:szCs w:val="20"/>
        </w:rPr>
        <w:t xml:space="preserve">is stateful and windowed. It needs to accumulate transactions over time before emitting results. A managed template cannot do this. A custom Beam pipeline can.</w:t>
      </w:r>
    </w:p>
    <w:p>
      <w:pPr>
        <w:spacing w:before="80" w:after="0"/>
      </w:pPr>
    </w:p>
    <w:p>
      <w:pPr>
        <w:pStyle w:val="Heading2"/>
        <w:spacing w:before="280" w:after="100"/>
      </w:pPr>
      <w:r>
        <w:rPr>
          <w:rFonts w:ascii="Arial" w:cs="Arial" w:eastAsia="Arial" w:hAnsi="Arial"/>
          <w:b/>
          <w:bCs/>
          <w:color w:val="0D47A1"/>
          <w:sz w:val="26"/>
          <w:szCs w:val="26"/>
        </w:rPr>
        <w:t xml:space="preserve">1.3 How the Three Outputs Connect</w:t>
      </w:r>
    </w:p>
    <w:p>
      <w:pPr>
        <w:spacing w:before="60" w:after="100"/>
      </w:pPr>
      <w:r>
        <w:rPr>
          <w:rFonts w:ascii="Arial" w:cs="Arial" w:eastAsia="Arial" w:hAnsi="Arial"/>
          <w:color w:val="202124"/>
          <w:sz w:val="20"/>
          <w:szCs w:val="20"/>
        </w:rPr>
        <w:t xml:space="preserve">All three pipelines write to the same BigQuery dataset. The final reconciliation query joins all three tables using two join conditions: settlement_date matching the window date, and transaction timestamp falling within the window boundaries. This produces a single row per time window showing streaming volume, settled revenue, fraud rate, and reversal counts together.</w:t>
      </w:r>
    </w:p>
    <w:p>
      <w:r>
        <w:br w:type="page"/>
      </w:r>
    </w:p>
    <w:p>
      <w:pPr>
        <w:pStyle w:val="Heading1"/>
        <w:pBdr>
          <w:bottom w:val="single" w:color="1A73E8" w:sz="6" w:space="4"/>
        </w:pBdr>
        <w:spacing w:before="360" w:after="120"/>
      </w:pPr>
      <w:r>
        <w:rPr>
          <w:rFonts w:ascii="Arial" w:cs="Arial" w:eastAsia="Arial" w:hAnsi="Arial"/>
          <w:b/>
          <w:bCs/>
          <w:color w:val="0D47A1"/>
          <w:sz w:val="32"/>
          <w:szCs w:val="32"/>
        </w:rPr>
        <w:t xml:space="preserve">Section 2: Build 1 Questions (Streaming Pipeline)</w:t>
      </w:r>
    </w:p>
    <w:p>
      <w:pPr>
        <w:spacing w:before="6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20"/>
              <w:left w:type="dxa" w:w="180"/>
              <w:bottom w:type="dxa" w:w="120"/>
              <w:right w:type="dxa" w:w="180"/>
            </w:tcMar>
          </w:tcPr>
          <w:p>
            <w:pPr>
              <w:spacing w:before="0" w:after="0"/>
            </w:pPr>
            <w:r>
              <w:rPr>
                <w:rFonts w:ascii="Arial" w:cs="Arial" w:eastAsia="Arial" w:hAnsi="Arial"/>
                <w:b/>
                <w:bCs/>
                <w:caps/>
                <w:color w:val="1A73E8"/>
                <w:sz w:val="18"/>
                <w:szCs w:val="18"/>
              </w:rPr>
              <w:t xml:space="preserve">Q1  </w:t>
            </w:r>
            <w:r>
              <w:rPr>
                <w:rFonts w:ascii="Arial" w:cs="Arial" w:eastAsia="Arial" w:hAnsi="Arial"/>
                <w:b/>
                <w:bCs/>
                <w:color w:val="202124"/>
                <w:sz w:val="20"/>
                <w:szCs w:val="20"/>
              </w:rPr>
              <w:t xml:space="preserve">Why use Pub/Sub as the message broker instead of writing directly to BigQuery?</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Pub/Sub decouples the producer from the consumer. The publisher script does not need to know anything about BigQuery, schemas, or Dataflow. It just pushes a JSON message to a topic and moves on.</w:t>
            </w:r>
          </w:p>
          <w:p>
            <w:pPr>
              <w:spacing w:before="60" w:after="80"/>
            </w:pPr>
            <w:r>
              <w:rPr>
                <w:rFonts w:ascii="Arial" w:cs="Arial" w:eastAsia="Arial" w:hAnsi="Arial"/>
                <w:color w:val="202124"/>
                <w:sz w:val="20"/>
                <w:szCs w:val="20"/>
              </w:rPr>
              <w:t xml:space="preserve">This matters in production because the source system is usually outside your control. A point-of-sale terminal, a mobile app, or a third-party payment processor sends events to your endpoint. If BigQuery has a brief outage or the Dataflow job needs to be restarted, Pub/Sub holds the messages for up to 24 hours. Nothing is lost.</w:t>
            </w:r>
          </w:p>
          <w:p>
            <w:pPr>
              <w:spacing w:before="60" w:after="80"/>
            </w:pPr>
            <w:r>
              <w:rPr>
                <w:rFonts w:ascii="Arial" w:cs="Arial" w:eastAsia="Arial" w:hAnsi="Arial"/>
                <w:color w:val="202124"/>
                <w:sz w:val="20"/>
                <w:szCs w:val="20"/>
              </w:rPr>
              <w:t xml:space="preserve">It also makes the architecture extensible. You can add a second subscriber to the same topic later without touching the publisher or the Dataflow job.</w:t>
            </w:r>
          </w:p>
        </w:tc>
      </w:tr>
    </w:tbl>
    <w:p>
      <w:pPr>
        <w:spacing w:before="8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20"/>
              <w:left w:type="dxa" w:w="180"/>
              <w:bottom w:type="dxa" w:w="120"/>
              <w:right w:type="dxa" w:w="180"/>
            </w:tcMar>
          </w:tcPr>
          <w:p>
            <w:pPr>
              <w:spacing w:before="0" w:after="0"/>
            </w:pPr>
            <w:r>
              <w:rPr>
                <w:rFonts w:ascii="Arial" w:cs="Arial" w:eastAsia="Arial" w:hAnsi="Arial"/>
                <w:b/>
                <w:bCs/>
                <w:caps/>
                <w:color w:val="1A73E8"/>
                <w:sz w:val="18"/>
                <w:szCs w:val="18"/>
              </w:rPr>
              <w:t xml:space="preserve">Q2  </w:t>
            </w:r>
            <w:r>
              <w:rPr>
                <w:rFonts w:ascii="Arial" w:cs="Arial" w:eastAsia="Arial" w:hAnsi="Arial"/>
                <w:b/>
                <w:bCs/>
                <w:color w:val="202124"/>
                <w:sz w:val="20"/>
                <w:szCs w:val="20"/>
              </w:rPr>
              <w:t xml:space="preserve">What is a dead-letter table and why is it important?</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A dead-letter table is a BigQuery table where Dataflow writes any messages it cannot process. In this build, that table is transactions_raw_dlq.</w:t>
            </w:r>
          </w:p>
          <w:p>
            <w:pPr>
              <w:spacing w:before="60" w:after="80"/>
            </w:pPr>
            <w:r>
              <w:rPr>
                <w:rFonts w:ascii="Arial" w:cs="Arial" w:eastAsia="Arial" w:hAnsi="Arial"/>
                <w:color w:val="202124"/>
                <w:sz w:val="20"/>
                <w:szCs w:val="20"/>
              </w:rPr>
              <w:t xml:space="preserve">Without it, a malformed message causes the pipeline to silently discard the event. You would never know a record was lost. With the dead-letter table, every failure is captured with the raw message data, the timestamp, and the error context. You can inspect the table, fix the root cause, and replay the failed messages.</w:t>
            </w:r>
          </w:p>
          <w:p>
            <w:pPr>
              <w:spacing w:before="60" w:after="80"/>
            </w:pPr>
            <w:r>
              <w:rPr>
                <w:rFonts w:ascii="Arial" w:cs="Arial" w:eastAsia="Arial" w:hAnsi="Arial"/>
                <w:color w:val="202124"/>
                <w:sz w:val="20"/>
                <w:szCs w:val="20"/>
              </w:rPr>
              <w:t xml:space="preserve">In this build, the dead-letter count was zero across 3,111 transactions. That means the publisher JSON structure exactly matched the schema JSON uploaded to Cloud Storage. This is the expected result when both are designed together.</w:t>
            </w:r>
          </w:p>
        </w:tc>
      </w:tr>
    </w:tbl>
    <w:p>
      <w:pPr>
        <w:spacing w:before="8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20"/>
              <w:left w:type="dxa" w:w="180"/>
              <w:bottom w:type="dxa" w:w="120"/>
              <w:right w:type="dxa" w:w="180"/>
            </w:tcMar>
          </w:tcPr>
          <w:p>
            <w:pPr>
              <w:spacing w:before="0" w:after="0"/>
            </w:pPr>
            <w:r>
              <w:rPr>
                <w:rFonts w:ascii="Arial" w:cs="Arial" w:eastAsia="Arial" w:hAnsi="Arial"/>
                <w:b/>
                <w:bCs/>
                <w:caps/>
                <w:color w:val="1A73E8"/>
                <w:sz w:val="18"/>
                <w:szCs w:val="18"/>
              </w:rPr>
              <w:t xml:space="preserve">Q3  </w:t>
            </w:r>
            <w:r>
              <w:rPr>
                <w:rFonts w:ascii="Arial" w:cs="Arial" w:eastAsia="Arial" w:hAnsi="Arial"/>
                <w:b/>
                <w:bCs/>
                <w:color w:val="202124"/>
                <w:sz w:val="20"/>
                <w:szCs w:val="20"/>
              </w:rPr>
              <w:t xml:space="preserve">Why did the first attempt fail and how was it fixed?</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The first job was launched with --worker-machine-type=e2-micro. The e2-micro has 1 GB of RAM, which is not enough for a Dataflow worker running the Apache Beam SDK, the JVM, and the streaming pipeline simultaneously.</w:t>
            </w:r>
          </w:p>
          <w:p>
            <w:pPr>
              <w:spacing w:before="60" w:after="80"/>
            </w:pPr>
            <w:r>
              <w:rPr>
                <w:rFonts w:ascii="Arial" w:cs="Arial" w:eastAsia="Arial" w:hAnsi="Arial"/>
                <w:color w:val="202124"/>
                <w:sz w:val="20"/>
                <w:szCs w:val="20"/>
              </w:rPr>
              <w:t xml:space="preserve">The fix was switching to e2-medium, which provides 4 GB of RAM. This is the minimum practical machine type for Dataflow streaming jobs. The job reached JOB_STATE_RUNNING within three minutes on the second attempt.</w:t>
            </w:r>
          </w:p>
          <w:p>
            <w:pPr>
              <w:spacing w:before="60" w:after="80"/>
            </w:pPr>
            <w:r>
              <w:rPr>
                <w:rFonts w:ascii="Arial" w:cs="Arial" w:eastAsia="Arial" w:hAnsi="Arial"/>
                <w:color w:val="202124"/>
                <w:sz w:val="20"/>
                <w:szCs w:val="20"/>
              </w:rPr>
              <w:t xml:space="preserve">This failure is worth keeping in the documentation. It demonstrates real debugging work and shows understanding of why resource sizing matters in managed pipeline services.</w:t>
            </w:r>
          </w:p>
        </w:tc>
      </w:tr>
    </w:tbl>
    <w:p>
      <w:pPr>
        <w:spacing w:before="8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20"/>
              <w:left w:type="dxa" w:w="180"/>
              <w:bottom w:type="dxa" w:w="120"/>
              <w:right w:type="dxa" w:w="180"/>
            </w:tcMar>
          </w:tcPr>
          <w:p>
            <w:pPr>
              <w:spacing w:before="0" w:after="0"/>
            </w:pPr>
            <w:r>
              <w:rPr>
                <w:rFonts w:ascii="Arial" w:cs="Arial" w:eastAsia="Arial" w:hAnsi="Arial"/>
                <w:b/>
                <w:bCs/>
                <w:caps/>
                <w:color w:val="1A73E8"/>
                <w:sz w:val="18"/>
                <w:szCs w:val="18"/>
              </w:rPr>
              <w:t xml:space="preserve">Q4  </w:t>
            </w:r>
            <w:r>
              <w:rPr>
                <w:rFonts w:ascii="Arial" w:cs="Arial" w:eastAsia="Arial" w:hAnsi="Arial"/>
                <w:b/>
                <w:bCs/>
                <w:color w:val="202124"/>
                <w:sz w:val="20"/>
                <w:szCs w:val="20"/>
              </w:rPr>
              <w:t xml:space="preserve">What does the schema JSON file do and where does it live?</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The schema JSON file tells the Dataflow managed template how to map the incoming Pub/Sub message fields to BigQuery columns. Without it, the template does not know what columns to create or what types to use.</w:t>
            </w:r>
          </w:p>
          <w:p>
            <w:pPr>
              <w:spacing w:before="60" w:after="80"/>
            </w:pPr>
            <w:r>
              <w:rPr>
                <w:rFonts w:ascii="Arial" w:cs="Arial" w:eastAsia="Arial" w:hAnsi="Arial"/>
                <w:color w:val="202124"/>
                <w:sz w:val="20"/>
                <w:szCs w:val="20"/>
              </w:rPr>
              <w:t xml:space="preserve">It is stored in Cloud Storage at gs://[PROJECT-BUCKET]/schemas/transactions_schema.json. The file defines 10 fields: transaction_id, user_id, amount, currency, merchant_name, merchant_category, card_type, transaction_type, is_flagged, and timestamp.</w:t>
            </w:r>
          </w:p>
          <w:p>
            <w:pPr>
              <w:spacing w:before="60" w:after="80"/>
            </w:pPr>
            <w:r>
              <w:rPr>
                <w:rFonts w:ascii="Arial" w:cs="Arial" w:eastAsia="Arial" w:hAnsi="Arial"/>
                <w:color w:val="202124"/>
                <w:sz w:val="20"/>
                <w:szCs w:val="20"/>
              </w:rPr>
              <w:t xml:space="preserve">The field names in the schema must exactly match the JSON keys sent by the publisher. Any mismatch sends the record to the dead-letter table instead of the destination table.</w:t>
            </w:r>
          </w:p>
        </w:tc>
      </w:tr>
    </w:tbl>
    <w:p>
      <w:pPr>
        <w:spacing w:before="8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20"/>
              <w:left w:type="dxa" w:w="180"/>
              <w:bottom w:type="dxa" w:w="120"/>
              <w:right w:type="dxa" w:w="180"/>
            </w:tcMar>
          </w:tcPr>
          <w:p>
            <w:pPr>
              <w:spacing w:before="0" w:after="0"/>
            </w:pPr>
            <w:r>
              <w:rPr>
                <w:rFonts w:ascii="Arial" w:cs="Arial" w:eastAsia="Arial" w:hAnsi="Arial"/>
                <w:b/>
                <w:bCs/>
                <w:caps/>
                <w:color w:val="1A73E8"/>
                <w:sz w:val="18"/>
                <w:szCs w:val="18"/>
              </w:rPr>
              <w:t xml:space="preserve">Q5  </w:t>
            </w:r>
            <w:r>
              <w:rPr>
                <w:rFonts w:ascii="Arial" w:cs="Arial" w:eastAsia="Arial" w:hAnsi="Arial"/>
                <w:b/>
                <w:bCs/>
                <w:color w:val="202124"/>
                <w:sz w:val="20"/>
                <w:szCs w:val="20"/>
              </w:rPr>
              <w:t xml:space="preserve">How was the streaming job stopped correctly and why does it matter?</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The job was stopped using drain, not cancel. These are two different operations.</w:t>
            </w:r>
          </w:p>
          <w:p>
            <w:pPr>
              <w:spacing w:before="60" w:after="80"/>
            </w:pPr>
            <w:r>
              <w:rPr>
                <w:rFonts w:ascii="Arial" w:cs="Arial" w:eastAsia="Arial" w:hAnsi="Arial"/>
                <w:b/>
                <w:bCs/>
                <w:color w:val="202124"/>
                <w:sz w:val="20"/>
                <w:szCs w:val="20"/>
              </w:rPr>
              <w:t xml:space="preserve">Drain </w:t>
            </w:r>
            <w:r>
              <w:rPr>
                <w:rFonts w:ascii="Arial" w:cs="Arial" w:eastAsia="Arial" w:hAnsi="Arial"/>
                <w:color w:val="202124"/>
                <w:sz w:val="20"/>
                <w:szCs w:val="20"/>
              </w:rPr>
              <w:t xml:space="preserve">tells Dataflow to stop accepting new messages, finish processing any messages already in flight, and then shut down cleanly. No data is lost.</w:t>
            </w:r>
          </w:p>
          <w:p>
            <w:pPr>
              <w:spacing w:before="60" w:after="80"/>
            </w:pPr>
            <w:r>
              <w:rPr>
                <w:rFonts w:ascii="Arial" w:cs="Arial" w:eastAsia="Arial" w:hAnsi="Arial"/>
                <w:b/>
                <w:bCs/>
                <w:color w:val="202124"/>
                <w:sz w:val="20"/>
                <w:szCs w:val="20"/>
              </w:rPr>
              <w:t xml:space="preserve">Cancel </w:t>
            </w:r>
            <w:r>
              <w:rPr>
                <w:rFonts w:ascii="Arial" w:cs="Arial" w:eastAsia="Arial" w:hAnsi="Arial"/>
                <w:color w:val="202124"/>
                <w:sz w:val="20"/>
                <w:szCs w:val="20"/>
              </w:rPr>
              <w:t xml:space="preserve">stops the job immediately regardless of what is in flight. Any messages being processed at that moment are discarded.</w:t>
            </w:r>
          </w:p>
          <w:p>
            <w:pPr>
              <w:spacing w:before="60" w:after="80"/>
            </w:pPr>
            <w:r>
              <w:rPr>
                <w:rFonts w:ascii="Arial" w:cs="Arial" w:eastAsia="Arial" w:hAnsi="Arial"/>
                <w:color w:val="202124"/>
                <w:sz w:val="20"/>
                <w:szCs w:val="20"/>
              </w:rPr>
              <w:t xml:space="preserve">In a financial data pipeline, using cancel instead of drain could result in transactions appearing in the Pub/Sub backlog but never landing in BigQuery. Drain is the correct production practice.</w:t>
            </w:r>
          </w:p>
        </w:tc>
      </w:tr>
    </w:tbl>
    <w:p>
      <w:pPr>
        <w:spacing w:before="80" w:after="0"/>
      </w:pPr>
    </w:p>
    <w:p>
      <w:r>
        <w:br w:type="page"/>
      </w:r>
    </w:p>
    <w:p>
      <w:pPr>
        <w:pStyle w:val="Heading1"/>
        <w:pBdr>
          <w:bottom w:val="single" w:color="1A73E8" w:sz="6" w:space="4"/>
        </w:pBdr>
        <w:spacing w:before="360" w:after="120"/>
      </w:pPr>
      <w:r>
        <w:rPr>
          <w:rFonts w:ascii="Arial" w:cs="Arial" w:eastAsia="Arial" w:hAnsi="Arial"/>
          <w:b/>
          <w:bCs/>
          <w:color w:val="0D47A1"/>
          <w:sz w:val="32"/>
          <w:szCs w:val="32"/>
        </w:rPr>
        <w:t xml:space="preserve">Section 3: Build 2 Questions (Batch Pipeline)</w:t>
      </w:r>
    </w:p>
    <w:p>
      <w:pPr>
        <w:spacing w:before="60" w:after="0"/>
      </w:pPr>
    </w:p>
    <w:tbl>
      <w:tblPr>
        <w:tblW w:type="dxa" w:w="9360"/>
        <w:tblBorders>
          <w:top w:val="single" w:color="DADCE0" w:sz="1"/>
          <w:left w:val="single" w:color="137333"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37333" w:sz="16"/>
              <w:bottom w:val="single" w:color="DADCE0" w:sz="1"/>
              <w:right w:val="single" w:color="DADCE0" w:sz="1"/>
            </w:tcBorders>
            <w:shd w:fill="E6F4EA" w:val="clear"/>
            <w:tcMar>
              <w:top w:type="dxa" w:w="120"/>
              <w:left w:type="dxa" w:w="180"/>
              <w:bottom w:type="dxa" w:w="120"/>
              <w:right w:type="dxa" w:w="180"/>
            </w:tcMar>
          </w:tcPr>
          <w:p>
            <w:pPr>
              <w:spacing w:before="0" w:after="0"/>
            </w:pPr>
            <w:r>
              <w:rPr>
                <w:rFonts w:ascii="Arial" w:cs="Arial" w:eastAsia="Arial" w:hAnsi="Arial"/>
                <w:b/>
                <w:bCs/>
                <w:caps/>
                <w:color w:val="137333"/>
                <w:sz w:val="18"/>
                <w:szCs w:val="18"/>
              </w:rPr>
              <w:t xml:space="preserve">Q6  </w:t>
            </w:r>
            <w:r>
              <w:rPr>
                <w:rFonts w:ascii="Arial" w:cs="Arial" w:eastAsia="Arial" w:hAnsi="Arial"/>
                <w:b/>
                <w:bCs/>
                <w:color w:val="202124"/>
                <w:sz w:val="20"/>
                <w:szCs w:val="20"/>
              </w:rPr>
              <w:t xml:space="preserve">What is a JavaScript UDF and what did it do in this build?</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A UDF is a User Defined Function. In the GCS Text to BigQuery managed template, you can supply a JavaScript function that runs on each row of the input file before it is written to BigQuery.</w:t>
            </w:r>
          </w:p>
          <w:p>
            <w:pPr>
              <w:spacing w:before="60" w:after="80"/>
            </w:pPr>
            <w:r>
              <w:rPr>
                <w:rFonts w:ascii="Arial" w:cs="Arial" w:eastAsia="Arial" w:hAnsi="Arial"/>
                <w:color w:val="202124"/>
                <w:sz w:val="20"/>
                <w:szCs w:val="20"/>
              </w:rPr>
              <w:t xml:space="preserve">In this build, the function transformSettlement did three things. First, it skipped the CSV header row by returning null when the first field was the literal string settlement_id. Second, it skipped any malformed rows with fewer than 10 fields. Third, it normalised the settlement_status field to uppercase using toUpperCase(), ensuring values like settled or Settled all become SETTLED in BigQuery.</w:t>
            </w:r>
          </w:p>
          <w:p>
            <w:pPr>
              <w:spacing w:before="60" w:after="80"/>
            </w:pPr>
            <w:r>
              <w:rPr>
                <w:rFonts w:ascii="Arial" w:cs="Arial" w:eastAsia="Arial" w:hAnsi="Arial"/>
                <w:color w:val="202124"/>
                <w:sz w:val="20"/>
                <w:szCs w:val="20"/>
              </w:rPr>
              <w:t xml:space="preserve">Without the UDF, the header row would appear as a data row in BigQuery and the status field would have mixed-case values that break GROUP BY queries.</w:t>
            </w:r>
          </w:p>
        </w:tc>
      </w:tr>
    </w:tbl>
    <w:p>
      <w:pPr>
        <w:spacing w:before="80" w:after="0"/>
      </w:pPr>
    </w:p>
    <w:tbl>
      <w:tblPr>
        <w:tblW w:type="dxa" w:w="9360"/>
        <w:tblBorders>
          <w:top w:val="single" w:color="DADCE0" w:sz="1"/>
          <w:left w:val="single" w:color="137333"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37333" w:sz="16"/>
              <w:bottom w:val="single" w:color="DADCE0" w:sz="1"/>
              <w:right w:val="single" w:color="DADCE0" w:sz="1"/>
            </w:tcBorders>
            <w:shd w:fill="E6F4EA" w:val="clear"/>
            <w:tcMar>
              <w:top w:type="dxa" w:w="120"/>
              <w:left w:type="dxa" w:w="180"/>
              <w:bottom w:type="dxa" w:w="120"/>
              <w:right w:type="dxa" w:w="180"/>
            </w:tcMar>
          </w:tcPr>
          <w:p>
            <w:pPr>
              <w:spacing w:before="0" w:after="0"/>
            </w:pPr>
            <w:r>
              <w:rPr>
                <w:rFonts w:ascii="Arial" w:cs="Arial" w:eastAsia="Arial" w:hAnsi="Arial"/>
                <w:b/>
                <w:bCs/>
                <w:caps/>
                <w:color w:val="137333"/>
                <w:sz w:val="18"/>
                <w:szCs w:val="18"/>
              </w:rPr>
              <w:t xml:space="preserve">Q7  </w:t>
            </w:r>
            <w:r>
              <w:rPr>
                <w:rFonts w:ascii="Arial" w:cs="Arial" w:eastAsia="Arial" w:hAnsi="Arial"/>
                <w:b/>
                <w:bCs/>
                <w:color w:val="202124"/>
                <w:sz w:val="20"/>
                <w:szCs w:val="20"/>
              </w:rPr>
              <w:t xml:space="preserve">How was data quality verified after the batch job completed?</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Three checks were run after the job reached JOB_STATE_DONE.</w:t>
            </w:r>
          </w:p>
          <w:p>
            <w:pPr>
              <w:spacing w:before="60" w:after="80"/>
            </w:pPr>
            <w:r>
              <w:rPr>
                <w:rFonts w:ascii="Arial" w:cs="Arial" w:eastAsia="Arial" w:hAnsi="Arial"/>
                <w:b/>
                <w:bCs/>
                <w:color w:val="202124"/>
                <w:sz w:val="20"/>
                <w:szCs w:val="20"/>
              </w:rPr>
              <w:t xml:space="preserve">Row count: </w:t>
            </w:r>
            <w:r>
              <w:rPr>
                <w:rFonts w:ascii="Arial" w:cs="Arial" w:eastAsia="Arial" w:hAnsi="Arial"/>
                <w:color w:val="202124"/>
                <w:sz w:val="20"/>
                <w:szCs w:val="20"/>
              </w:rPr>
              <w:t xml:space="preserve">The Python generator printed the total number of records before uploading. After the job, a BigQuery COUNT(*) confirmed the same number of rows loaded. The counts matched exactly: 200 rows.</w:t>
            </w:r>
          </w:p>
          <w:p>
            <w:pPr>
              <w:spacing w:before="60" w:after="80"/>
            </w:pPr>
            <w:r>
              <w:rPr>
                <w:rFonts w:ascii="Arial" w:cs="Arial" w:eastAsia="Arial" w:hAnsi="Arial"/>
                <w:b/>
                <w:bCs/>
                <w:color w:val="202124"/>
                <w:sz w:val="20"/>
                <w:szCs w:val="20"/>
              </w:rPr>
              <w:t xml:space="preserve">Net amount: </w:t>
            </w:r>
            <w:r>
              <w:rPr>
                <w:rFonts w:ascii="Arial" w:cs="Arial" w:eastAsia="Arial" w:hAnsi="Arial"/>
                <w:color w:val="202124"/>
                <w:sz w:val="20"/>
                <w:szCs w:val="20"/>
              </w:rPr>
              <w:t xml:space="preserve">The generator printed the total net_amount for SETTLED records. After loading, a SUM(net_amount) query in BigQuery returned the same value: 396,306.72. This confirmed the UDF arithmetic ran correctly on every row.</w:t>
            </w:r>
          </w:p>
          <w:p>
            <w:pPr>
              <w:spacing w:before="60" w:after="80"/>
            </w:pPr>
            <w:r>
              <w:rPr>
                <w:rFonts w:ascii="Arial" w:cs="Arial" w:eastAsia="Arial" w:hAnsi="Arial"/>
                <w:b/>
                <w:bCs/>
                <w:color w:val="202124"/>
                <w:sz w:val="20"/>
                <w:szCs w:val="20"/>
              </w:rPr>
              <w:t xml:space="preserve">Null check: </w:t>
            </w:r>
            <w:r>
              <w:rPr>
                <w:rFonts w:ascii="Arial" w:cs="Arial" w:eastAsia="Arial" w:hAnsi="Arial"/>
                <w:color w:val="202124"/>
                <w:sz w:val="20"/>
                <w:szCs w:val="20"/>
              </w:rPr>
              <w:t xml:space="preserve">A query checked for null values in settlement_id and transaction_id, the two required fields. Both returned zero nulls.</w:t>
            </w:r>
          </w:p>
          <w:p>
            <w:pPr>
              <w:spacing w:before="60" w:after="80"/>
            </w:pPr>
            <w:r>
              <w:rPr>
                <w:rFonts w:ascii="Arial" w:cs="Arial" w:eastAsia="Arial" w:hAnsi="Arial"/>
                <w:color w:val="202124"/>
                <w:sz w:val="20"/>
                <w:szCs w:val="20"/>
              </w:rPr>
              <w:t xml:space="preserve">These three checks form a lightweight data quality gate. In production you would automate them as a post-load validation step before the data is available to downstream consumers.</w:t>
            </w:r>
          </w:p>
        </w:tc>
      </w:tr>
    </w:tbl>
    <w:p>
      <w:pPr>
        <w:spacing w:before="80" w:after="0"/>
      </w:pPr>
    </w:p>
    <w:tbl>
      <w:tblPr>
        <w:tblW w:type="dxa" w:w="9360"/>
        <w:tblBorders>
          <w:top w:val="single" w:color="DADCE0" w:sz="1"/>
          <w:left w:val="single" w:color="137333"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37333" w:sz="16"/>
              <w:bottom w:val="single" w:color="DADCE0" w:sz="1"/>
              <w:right w:val="single" w:color="DADCE0" w:sz="1"/>
            </w:tcBorders>
            <w:shd w:fill="E6F4EA" w:val="clear"/>
            <w:tcMar>
              <w:top w:type="dxa" w:w="120"/>
              <w:left w:type="dxa" w:w="180"/>
              <w:bottom w:type="dxa" w:w="120"/>
              <w:right w:type="dxa" w:w="180"/>
            </w:tcMar>
          </w:tcPr>
          <w:p>
            <w:pPr>
              <w:spacing w:before="0" w:after="0"/>
            </w:pPr>
            <w:r>
              <w:rPr>
                <w:rFonts w:ascii="Arial" w:cs="Arial" w:eastAsia="Arial" w:hAnsi="Arial"/>
                <w:b/>
                <w:bCs/>
                <w:caps/>
                <w:color w:val="137333"/>
                <w:sz w:val="18"/>
                <w:szCs w:val="18"/>
              </w:rPr>
              <w:t xml:space="preserve">Q8  </w:t>
            </w:r>
            <w:r>
              <w:rPr>
                <w:rFonts w:ascii="Arial" w:cs="Arial" w:eastAsia="Arial" w:hAnsi="Arial"/>
                <w:b/>
                <w:bCs/>
                <w:color w:val="202124"/>
                <w:sz w:val="20"/>
                <w:szCs w:val="20"/>
              </w:rPr>
              <w:t xml:space="preserve">What does the Cloud Scheduler job actually do?</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Cloud Scheduler is a fully managed cron service on GCP. It does not run code. Instead, it sends an HTTP POST request to a target URL on a defined schedule.</w:t>
            </w:r>
          </w:p>
          <w:p>
            <w:pPr>
              <w:spacing w:before="60" w:after="80"/>
            </w:pPr>
            <w:r>
              <w:rPr>
                <w:rFonts w:ascii="Arial" w:cs="Arial" w:eastAsia="Arial" w:hAnsi="Arial"/>
                <w:color w:val="202124"/>
                <w:sz w:val="20"/>
                <w:szCs w:val="20"/>
              </w:rPr>
              <w:t xml:space="preserve">In this build, the target URL is the Dataflow REST API templates:launch endpoint. The request body contains all the job parameters: the input file path, the schema path, the destination table, the UDF path, and the worker configuration. When Dataflow receives the request, it starts a new batch job with those parameters.</w:t>
            </w:r>
          </w:p>
          <w:p>
            <w:pPr>
              <w:spacing w:before="60" w:after="80"/>
            </w:pPr>
            <w:r>
              <w:rPr>
                <w:rFonts w:ascii="Arial" w:cs="Arial" w:eastAsia="Arial" w:hAnsi="Arial"/>
                <w:color w:val="202124"/>
                <w:sz w:val="20"/>
                <w:szCs w:val="20"/>
              </w:rPr>
              <w:t xml:space="preserve">The schedule is 0 2 * * *, which means the job fires at 2:00 AM in the America/New_York timezone every day. This gives the bank time to deposit the settlements file before the load job runs.</w:t>
            </w:r>
          </w:p>
          <w:p>
            <w:pPr>
              <w:spacing w:before="60" w:after="80"/>
            </w:pPr>
            <w:r>
              <w:rPr>
                <w:rFonts w:ascii="Arial" w:cs="Arial" w:eastAsia="Arial" w:hAnsi="Arial"/>
                <w:color w:val="202124"/>
                <w:sz w:val="20"/>
                <w:szCs w:val="20"/>
              </w:rPr>
              <w:t xml:space="preserve">The scheduler job was tested using a Force Run, which triggers it immediately without affecting the normal schedule. A new Dataflow job appeared in the console within 30 seconds of the force run.</w:t>
            </w:r>
          </w:p>
        </w:tc>
      </w:tr>
    </w:tbl>
    <w:p>
      <w:pPr>
        <w:spacing w:before="80" w:after="0"/>
      </w:pPr>
    </w:p>
    <w:tbl>
      <w:tblPr>
        <w:tblW w:type="dxa" w:w="9360"/>
        <w:tblBorders>
          <w:top w:val="single" w:color="DADCE0" w:sz="1"/>
          <w:left w:val="single" w:color="137333"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37333" w:sz="16"/>
              <w:bottom w:val="single" w:color="DADCE0" w:sz="1"/>
              <w:right w:val="single" w:color="DADCE0" w:sz="1"/>
            </w:tcBorders>
            <w:shd w:fill="E6F4EA" w:val="clear"/>
            <w:tcMar>
              <w:top w:type="dxa" w:w="120"/>
              <w:left w:type="dxa" w:w="180"/>
              <w:bottom w:type="dxa" w:w="120"/>
              <w:right w:type="dxa" w:w="180"/>
            </w:tcMar>
          </w:tcPr>
          <w:p>
            <w:pPr>
              <w:spacing w:before="0" w:after="0"/>
            </w:pPr>
            <w:r>
              <w:rPr>
                <w:rFonts w:ascii="Arial" w:cs="Arial" w:eastAsia="Arial" w:hAnsi="Arial"/>
                <w:b/>
                <w:bCs/>
                <w:caps/>
                <w:color w:val="137333"/>
                <w:sz w:val="18"/>
                <w:szCs w:val="18"/>
              </w:rPr>
              <w:t xml:space="preserve">Q9  </w:t>
            </w:r>
            <w:r>
              <w:rPr>
                <w:rFonts w:ascii="Arial" w:cs="Arial" w:eastAsia="Arial" w:hAnsi="Arial"/>
                <w:b/>
                <w:bCs/>
                <w:color w:val="202124"/>
                <w:sz w:val="20"/>
                <w:szCs w:val="20"/>
              </w:rPr>
              <w:t xml:space="preserve">What is the difference between a managed template and a custom pipeline?</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A managed template is a pre-built, parameterised Dataflow pipeline that Google maintains. You provide the source, the sink, and a few options. You do not write any pipeline code. Builds 1 and 2 used managed templates.</w:t>
            </w:r>
          </w:p>
          <w:p>
            <w:pPr>
              <w:spacing w:before="60" w:after="80"/>
            </w:pPr>
            <w:r>
              <w:rPr>
                <w:rFonts w:ascii="Arial" w:cs="Arial" w:eastAsia="Arial" w:hAnsi="Arial"/>
                <w:color w:val="202124"/>
                <w:sz w:val="20"/>
                <w:szCs w:val="20"/>
              </w:rPr>
              <w:t xml:space="preserve">A custom pipeline is Apache Beam code you write yourself. You define every transform, every step, and every output. You are responsible for the correctness of the logic. Build 3 used a custom pipeline.</w:t>
            </w:r>
          </w:p>
          <w:p>
            <w:pPr>
              <w:spacing w:before="60" w:after="80"/>
            </w:pPr>
            <w:r>
              <w:rPr>
                <w:rFonts w:ascii="Arial" w:cs="Arial" w:eastAsia="Arial" w:hAnsi="Arial"/>
                <w:b/>
                <w:bCs/>
                <w:color w:val="202124"/>
                <w:sz w:val="20"/>
                <w:szCs w:val="20"/>
              </w:rPr>
              <w:t xml:space="preserve">Managed templates </w:t>
            </w:r>
            <w:r>
              <w:rPr>
                <w:rFonts w:ascii="Arial" w:cs="Arial" w:eastAsia="Arial" w:hAnsi="Arial"/>
                <w:color w:val="202124"/>
                <w:sz w:val="20"/>
                <w:szCs w:val="20"/>
              </w:rPr>
              <w:t xml:space="preserve">are faster to deploy, require no Beam knowledge, and are maintained and updated by Google. They work well for standard patterns like file-to-table or topic-to-table.</w:t>
            </w:r>
          </w:p>
          <w:p>
            <w:pPr>
              <w:spacing w:before="60" w:after="80"/>
            </w:pPr>
            <w:r>
              <w:rPr>
                <w:rFonts w:ascii="Arial" w:cs="Arial" w:eastAsia="Arial" w:hAnsi="Arial"/>
                <w:b/>
                <w:bCs/>
                <w:color w:val="202124"/>
                <w:sz w:val="20"/>
                <w:szCs w:val="20"/>
              </w:rPr>
              <w:t xml:space="preserve">Custom pipelines </w:t>
            </w:r>
            <w:r>
              <w:rPr>
                <w:rFonts w:ascii="Arial" w:cs="Arial" w:eastAsia="Arial" w:hAnsi="Arial"/>
                <w:color w:val="202124"/>
                <w:sz w:val="20"/>
                <w:szCs w:val="20"/>
              </w:rPr>
              <w:t xml:space="preserve">are required when you need custom business logic, stateful processing, windowing, aggregations across time, or any transform that a managed template cannot express.</w:t>
            </w:r>
          </w:p>
          <w:p>
            <w:pPr>
              <w:spacing w:before="60" w:after="80"/>
            </w:pPr>
            <w:r>
              <w:rPr>
                <w:rFonts w:ascii="Arial" w:cs="Arial" w:eastAsia="Arial" w:hAnsi="Arial"/>
                <w:color w:val="202124"/>
                <w:sz w:val="20"/>
                <w:szCs w:val="20"/>
              </w:rPr>
              <w:t xml:space="preserve">The windowed fraud aggregation in Build 3 requires stateful processing across time. No managed template provides this. It required writing custom DoFn classes.</w:t>
            </w:r>
          </w:p>
        </w:tc>
      </w:tr>
    </w:tbl>
    <w:p>
      <w:pPr>
        <w:spacing w:before="80" w:after="0"/>
      </w:pPr>
    </w:p>
    <w:p>
      <w:r>
        <w:br w:type="page"/>
      </w:r>
    </w:p>
    <w:p>
      <w:pPr>
        <w:pStyle w:val="Heading1"/>
        <w:pBdr>
          <w:bottom w:val="single" w:color="1A73E8" w:sz="6" w:space="4"/>
        </w:pBdr>
        <w:spacing w:before="360" w:after="120"/>
      </w:pPr>
      <w:r>
        <w:rPr>
          <w:rFonts w:ascii="Arial" w:cs="Arial" w:eastAsia="Arial" w:hAnsi="Arial"/>
          <w:b/>
          <w:bCs/>
          <w:color w:val="0D47A1"/>
          <w:sz w:val="32"/>
          <w:szCs w:val="32"/>
        </w:rPr>
        <w:t xml:space="preserve">Section 4: Build 3 Questions (Custom Beam Pipeline)</w:t>
      </w:r>
    </w:p>
    <w:p>
      <w:pPr>
        <w:spacing w:before="60" w:after="0"/>
      </w:pPr>
    </w:p>
    <w:tbl>
      <w:tblPr>
        <w:tblW w:type="dxa" w:w="9360"/>
        <w:tblBorders>
          <w:top w:val="single" w:color="DADCE0" w:sz="1"/>
          <w:left w:val="single" w:color="7B2FBE"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7B2FBE" w:sz="16"/>
              <w:bottom w:val="single" w:color="DADCE0" w:sz="1"/>
              <w:right w:val="single" w:color="DADCE0" w:sz="1"/>
            </w:tcBorders>
            <w:shd w:fill="F3E8FF" w:val="clear"/>
            <w:tcMar>
              <w:top w:type="dxa" w:w="120"/>
              <w:left w:type="dxa" w:w="180"/>
              <w:bottom w:type="dxa" w:w="120"/>
              <w:right w:type="dxa" w:w="180"/>
            </w:tcMar>
          </w:tcPr>
          <w:p>
            <w:pPr>
              <w:spacing w:before="0" w:after="0"/>
            </w:pPr>
            <w:r>
              <w:rPr>
                <w:rFonts w:ascii="Arial" w:cs="Arial" w:eastAsia="Arial" w:hAnsi="Arial"/>
                <w:b/>
                <w:bCs/>
                <w:caps/>
                <w:color w:val="7B2FBE"/>
                <w:sz w:val="18"/>
                <w:szCs w:val="18"/>
              </w:rPr>
              <w:t xml:space="preserve">Q10  </w:t>
            </w:r>
            <w:r>
              <w:rPr>
                <w:rFonts w:ascii="Arial" w:cs="Arial" w:eastAsia="Arial" w:hAnsi="Arial"/>
                <w:b/>
                <w:bCs/>
                <w:color w:val="202124"/>
                <w:sz w:val="20"/>
                <w:szCs w:val="20"/>
              </w:rPr>
              <w:t xml:space="preserve">What is a tumbling window and why was 5 minutes chosen?</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A tumbling window is a fixed-size, non-overlapping time interval. Every event belongs to exactly one window. When the window closes, Dataflow emits the aggregated result for that window and opens the next one.</w:t>
            </w:r>
          </w:p>
          <w:p>
            <w:pPr>
              <w:spacing w:before="60" w:after="80"/>
            </w:pPr>
            <w:r>
              <w:rPr>
                <w:rFonts w:ascii="Arial" w:cs="Arial" w:eastAsia="Arial" w:hAnsi="Arial"/>
                <w:color w:val="202124"/>
                <w:sz w:val="20"/>
                <w:szCs w:val="20"/>
              </w:rPr>
              <w:t xml:space="preserve">In this build, the window size is 5 minutes. The pipeline uses FixedWindows(5 * 60), where 5 * 60 is 300 seconds. Events are grouped by which 5-minute bucket their timestamp falls into. When the clock passes the end of a bucket, Dataflow runs the AggregateWindow DoFn on all the events in that bucket and writes one row to BigQuery.</w:t>
            </w:r>
          </w:p>
          <w:p>
            <w:pPr>
              <w:spacing w:before="60" w:after="80"/>
            </w:pPr>
            <w:r>
              <w:rPr>
                <w:rFonts w:ascii="Arial" w:cs="Arial" w:eastAsia="Arial" w:hAnsi="Arial"/>
                <w:color w:val="202124"/>
                <w:sz w:val="20"/>
                <w:szCs w:val="20"/>
              </w:rPr>
              <w:t xml:space="preserve">5 minutes was chosen as a balance between latency and signal quality. A 1-minute window would produce results faster but with fewer transactions per window, making the fraud rate noisier. A 30-minute window would give a more stable rate but delay alerts by half an hour. 5 minutes is a common choice in real-time fraud detection.</w:t>
            </w:r>
          </w:p>
        </w:tc>
      </w:tr>
    </w:tbl>
    <w:p>
      <w:pPr>
        <w:spacing w:before="80" w:after="0"/>
      </w:pPr>
    </w:p>
    <w:tbl>
      <w:tblPr>
        <w:tblW w:type="dxa" w:w="9360"/>
        <w:tblBorders>
          <w:top w:val="single" w:color="DADCE0" w:sz="1"/>
          <w:left w:val="single" w:color="7B2FBE"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7B2FBE" w:sz="16"/>
              <w:bottom w:val="single" w:color="DADCE0" w:sz="1"/>
              <w:right w:val="single" w:color="DADCE0" w:sz="1"/>
            </w:tcBorders>
            <w:shd w:fill="F3E8FF" w:val="clear"/>
            <w:tcMar>
              <w:top w:type="dxa" w:w="120"/>
              <w:left w:type="dxa" w:w="180"/>
              <w:bottom w:type="dxa" w:w="120"/>
              <w:right w:type="dxa" w:w="180"/>
            </w:tcMar>
          </w:tcPr>
          <w:p>
            <w:pPr>
              <w:spacing w:before="0" w:after="0"/>
            </w:pPr>
            <w:r>
              <w:rPr>
                <w:rFonts w:ascii="Arial" w:cs="Arial" w:eastAsia="Arial" w:hAnsi="Arial"/>
                <w:b/>
                <w:bCs/>
                <w:caps/>
                <w:color w:val="7B2FBE"/>
                <w:sz w:val="18"/>
                <w:szCs w:val="18"/>
              </w:rPr>
              <w:t xml:space="preserve">Q11  </w:t>
            </w:r>
            <w:r>
              <w:rPr>
                <w:rFonts w:ascii="Arial" w:cs="Arial" w:eastAsia="Arial" w:hAnsi="Arial"/>
                <w:b/>
                <w:bCs/>
                <w:color w:val="202124"/>
                <w:sz w:val="20"/>
                <w:szCs w:val="20"/>
              </w:rPr>
              <w:t xml:space="preserve">What is a DoFn and how were the two custom ones used?</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DoFn stands for Do Function. It is the core processing unit in Apache Beam. A DoFn is a class with a process method that Beam calls once for each element in the pipeline. You write the business logic inside process.</w:t>
            </w:r>
          </w:p>
          <w:p>
            <w:pPr>
              <w:spacing w:before="60" w:after="80"/>
            </w:pPr>
            <w:r>
              <w:rPr>
                <w:rFonts w:ascii="Arial" w:cs="Arial" w:eastAsia="Arial" w:hAnsi="Arial"/>
                <w:b/>
                <w:bCs/>
                <w:color w:val="202124"/>
                <w:sz w:val="20"/>
                <w:szCs w:val="20"/>
              </w:rPr>
              <w:t xml:space="preserve">ParseTransaction </w:t>
            </w:r>
            <w:r>
              <w:rPr>
                <w:rFonts w:ascii="Arial" w:cs="Arial" w:eastAsia="Arial" w:hAnsi="Arial"/>
                <w:color w:val="202124"/>
                <w:sz w:val="20"/>
                <w:szCs w:val="20"/>
              </w:rPr>
              <w:t xml:space="preserve">is the first DoFn. It receives raw bytes from Pub/Sub, decodes them as UTF-8, parses the JSON string into a Python dictionary, and yields the dictionary. It catches exceptions silently, which drops malformed messages rather than crashing the pipeline.</w:t>
            </w:r>
          </w:p>
          <w:p>
            <w:pPr>
              <w:spacing w:before="60" w:after="80"/>
            </w:pPr>
            <w:r>
              <w:rPr>
                <w:rFonts w:ascii="Arial" w:cs="Arial" w:eastAsia="Arial" w:hAnsi="Arial"/>
                <w:b/>
                <w:bCs/>
                <w:color w:val="202124"/>
                <w:sz w:val="20"/>
                <w:szCs w:val="20"/>
              </w:rPr>
              <w:t xml:space="preserve">AggregateWindow </w:t>
            </w:r>
            <w:r>
              <w:rPr>
                <w:rFonts w:ascii="Arial" w:cs="Arial" w:eastAsia="Arial" w:hAnsi="Arial"/>
                <w:color w:val="202124"/>
                <w:sz w:val="20"/>
                <w:szCs w:val="20"/>
              </w:rPr>
              <w:t xml:space="preserve">is the second DoFn. It receives a list of all transactions in a completed window. It counts total and flagged transactions, sums volume, finds the top merchant and card type, computes the fraud rate percentage, assigns a risk level of HIGH_RISK or NORMAL, and yields one output dictionary per window.</w:t>
            </w:r>
          </w:p>
          <w:p>
            <w:pPr>
              <w:spacing w:before="60" w:after="80"/>
            </w:pPr>
            <w:r>
              <w:rPr>
                <w:rFonts w:ascii="Arial" w:cs="Arial" w:eastAsia="Arial" w:hAnsi="Arial"/>
                <w:color w:val="202124"/>
                <w:sz w:val="20"/>
                <w:szCs w:val="20"/>
              </w:rPr>
              <w:t xml:space="preserve">The two DoFns together implement the fraud detection logic entirely in Python, with no dependency on external libraries beyond the Beam SDK.</w:t>
            </w:r>
          </w:p>
        </w:tc>
      </w:tr>
    </w:tbl>
    <w:p>
      <w:pPr>
        <w:spacing w:before="80" w:after="0"/>
      </w:pPr>
    </w:p>
    <w:tbl>
      <w:tblPr>
        <w:tblW w:type="dxa" w:w="9360"/>
        <w:tblBorders>
          <w:top w:val="single" w:color="DADCE0" w:sz="1"/>
          <w:left w:val="single" w:color="7B2FBE"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7B2FBE" w:sz="16"/>
              <w:bottom w:val="single" w:color="DADCE0" w:sz="1"/>
              <w:right w:val="single" w:color="DADCE0" w:sz="1"/>
            </w:tcBorders>
            <w:shd w:fill="F3E8FF" w:val="clear"/>
            <w:tcMar>
              <w:top w:type="dxa" w:w="120"/>
              <w:left w:type="dxa" w:w="180"/>
              <w:bottom w:type="dxa" w:w="120"/>
              <w:right w:type="dxa" w:w="180"/>
            </w:tcMar>
          </w:tcPr>
          <w:p>
            <w:pPr>
              <w:spacing w:before="0" w:after="0"/>
            </w:pPr>
            <w:r>
              <w:rPr>
                <w:rFonts w:ascii="Arial" w:cs="Arial" w:eastAsia="Arial" w:hAnsi="Arial"/>
                <w:b/>
                <w:bCs/>
                <w:caps/>
                <w:color w:val="7B2FBE"/>
                <w:sz w:val="18"/>
                <w:szCs w:val="18"/>
              </w:rPr>
              <w:t xml:space="preserve">Q12  </w:t>
            </w:r>
            <w:r>
              <w:rPr>
                <w:rFonts w:ascii="Arial" w:cs="Arial" w:eastAsia="Arial" w:hAnsi="Arial"/>
                <w:b/>
                <w:bCs/>
                <w:color w:val="202124"/>
                <w:sz w:val="20"/>
                <w:szCs w:val="20"/>
              </w:rPr>
              <w:t xml:space="preserve">What did the fraud windows data show?</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Two windows were captured during the build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color w:val="FFFFFF"/>
                      <w:sz w:val="20"/>
                      <w:szCs w:val="20"/>
                    </w:rPr>
                    <w:t xml:space="preserve">Window 1 (18:15-18:20)</w:t>
                  </w:r>
                </w:p>
              </w:tc>
            </w:tr>
          </w:tbl>
          <w:p/>
        </w:tc>
      </w:tr>
    </w:tbl>
    <w:p>
      <w:pPr>
        <w:spacing w:before="80" w:after="0"/>
      </w:pPr>
    </w:p>
    <w:tbl>
      <w:tblPr>
        <w:tblW w:type="dxa" w:w="9360"/>
        <w:tblBorders>
          <w:top w:val="single" w:color="DADCE0" w:sz="1"/>
          <w:left w:val="single" w:color="7B2FBE"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7B2FBE" w:sz="16"/>
              <w:bottom w:val="single" w:color="DADCE0" w:sz="1"/>
              <w:right w:val="single" w:color="DADCE0" w:sz="1"/>
            </w:tcBorders>
            <w:shd w:fill="F3E8FF" w:val="clear"/>
            <w:tcMar>
              <w:top w:type="dxa" w:w="120"/>
              <w:left w:type="dxa" w:w="180"/>
              <w:bottom w:type="dxa" w:w="120"/>
              <w:right w:type="dxa" w:w="180"/>
            </w:tcMar>
          </w:tcPr>
          <w:p>
            <w:pPr>
              <w:spacing w:before="0" w:after="0"/>
            </w:pPr>
            <w:r>
              <w:rPr>
                <w:rFonts w:ascii="Arial" w:cs="Arial" w:eastAsia="Arial" w:hAnsi="Arial"/>
                <w:b/>
                <w:bCs/>
                <w:caps/>
                <w:color w:val="7B2FBE"/>
                <w:sz w:val="18"/>
                <w:szCs w:val="18"/>
              </w:rPr>
              <w:t xml:space="preserve">Q12  </w:t>
            </w:r>
            <w:r>
              <w:rPr>
                <w:rFonts w:ascii="Arial" w:cs="Arial" w:eastAsia="Arial" w:hAnsi="Arial"/>
                <w:b/>
                <w:bCs/>
                <w:color w:val="202124"/>
                <w:sz w:val="20"/>
                <w:szCs w:val="20"/>
              </w:rPr>
              <w:t xml:space="preserve">What did the fraud windows data show?</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Two complete windows were captured during the build session.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980"/>
              <w:gridCol w:w="2980"/>
            </w:tblGrid>
            <w:tr>
              <w:tc>
                <w:tcPr>
                  <w:tcW w:type="dxa" w:w="300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98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Window 1 (18:15-18:20)</w:t>
                  </w:r>
                </w:p>
              </w:tc>
              <w:tc>
                <w:tcPr>
                  <w:tcW w:type="dxa" w:w="298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Window 2 (18:20-18:25)</w:t>
                  </w:r>
                </w:p>
              </w:tc>
            </w:tr>
            <w:tr>
              <w:tc>
                <w:tcPr>
                  <w:tcW w:type="dxa" w:w="3000"/>
                  <w:tcBorders>
                    <w:top w:val="single" w:color="DADCE0" w:sz="1"/>
                    <w:left w:val="single" w:color="DADCE0" w:sz="1"/>
                    <w:bottom w:val="single" w:color="DADCE0" w:sz="1"/>
                    <w:right w:val="single" w:color="DADCE0" w:sz="1"/>
                  </w:tcBorders>
                  <w:shd w:fill="F8F9FA" w:val="clear"/>
                  <w:tcMar>
                    <w:top w:type="dxa" w:w="70"/>
                    <w:left w:type="dxa" w:w="120"/>
                    <w:bottom w:type="dxa" w:w="70"/>
                    <w:right w:type="dxa" w:w="120"/>
                  </w:tcMar>
                </w:tcPr>
                <w:p>
                  <w:r>
                    <w:rPr>
                      <w:rFonts w:ascii="Arial" w:cs="Arial" w:eastAsia="Arial" w:hAnsi="Arial"/>
                      <w:b/>
                      <w:bCs/>
                      <w:color w:val="202124"/>
                      <w:sz w:val="19"/>
                      <w:szCs w:val="19"/>
                    </w:rPr>
                    <w:t xml:space="preserve">Total Transactions</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238</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201</w:t>
                  </w:r>
                </w:p>
              </w:tc>
            </w:tr>
            <w:tr>
              <w:tc>
                <w:tcPr>
                  <w:tcW w:type="dxa" w:w="3000"/>
                  <w:tcBorders>
                    <w:top w:val="single" w:color="DADCE0" w:sz="1"/>
                    <w:left w:val="single" w:color="DADCE0" w:sz="1"/>
                    <w:bottom w:val="single" w:color="DADCE0" w:sz="1"/>
                    <w:right w:val="single" w:color="DADCE0" w:sz="1"/>
                  </w:tcBorders>
                  <w:shd w:fill="F8F9FA" w:val="clear"/>
                  <w:tcMar>
                    <w:top w:type="dxa" w:w="70"/>
                    <w:left w:type="dxa" w:w="120"/>
                    <w:bottom w:type="dxa" w:w="70"/>
                    <w:right w:type="dxa" w:w="120"/>
                  </w:tcMar>
                </w:tcPr>
                <w:p>
                  <w:r>
                    <w:rPr>
                      <w:rFonts w:ascii="Arial" w:cs="Arial" w:eastAsia="Arial" w:hAnsi="Arial"/>
                      <w:b/>
                      <w:bCs/>
                      <w:color w:val="202124"/>
                      <w:sz w:val="19"/>
                      <w:szCs w:val="19"/>
                    </w:rPr>
                    <w:t xml:space="preserve">Total Volume</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$551,200.51</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(not captured)</w:t>
                  </w:r>
                </w:p>
              </w:tc>
            </w:tr>
            <w:tr>
              <w:tc>
                <w:tcPr>
                  <w:tcW w:type="dxa" w:w="3000"/>
                  <w:tcBorders>
                    <w:top w:val="single" w:color="DADCE0" w:sz="1"/>
                    <w:left w:val="single" w:color="DADCE0" w:sz="1"/>
                    <w:bottom w:val="single" w:color="DADCE0" w:sz="1"/>
                    <w:right w:val="single" w:color="DADCE0" w:sz="1"/>
                  </w:tcBorders>
                  <w:shd w:fill="F8F9FA" w:val="clear"/>
                  <w:tcMar>
                    <w:top w:type="dxa" w:w="70"/>
                    <w:left w:type="dxa" w:w="120"/>
                    <w:bottom w:type="dxa" w:w="70"/>
                    <w:right w:type="dxa" w:w="120"/>
                  </w:tcMar>
                </w:tcPr>
                <w:p>
                  <w:r>
                    <w:rPr>
                      <w:rFonts w:ascii="Arial" w:cs="Arial" w:eastAsia="Arial" w:hAnsi="Arial"/>
                      <w:b/>
                      <w:bCs/>
                      <w:color w:val="202124"/>
                      <w:sz w:val="19"/>
                      <w:szCs w:val="19"/>
                    </w:rPr>
                    <w:t xml:space="preserve">Flagged Transactions</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88</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88</w:t>
                  </w:r>
                </w:p>
              </w:tc>
            </w:tr>
            <w:tr>
              <w:tc>
                <w:tcPr>
                  <w:tcW w:type="dxa" w:w="3000"/>
                  <w:tcBorders>
                    <w:top w:val="single" w:color="DADCE0" w:sz="1"/>
                    <w:left w:val="single" w:color="DADCE0" w:sz="1"/>
                    <w:bottom w:val="single" w:color="DADCE0" w:sz="1"/>
                    <w:right w:val="single" w:color="DADCE0" w:sz="1"/>
                  </w:tcBorders>
                  <w:shd w:fill="F8F9FA" w:val="clear"/>
                  <w:tcMar>
                    <w:top w:type="dxa" w:w="70"/>
                    <w:left w:type="dxa" w:w="120"/>
                    <w:bottom w:type="dxa" w:w="70"/>
                    <w:right w:type="dxa" w:w="120"/>
                  </w:tcMar>
                </w:tcPr>
                <w:p>
                  <w:r>
                    <w:rPr>
                      <w:rFonts w:ascii="Arial" w:cs="Arial" w:eastAsia="Arial" w:hAnsi="Arial"/>
                      <w:b/>
                      <w:bCs/>
                      <w:color w:val="202124"/>
                      <w:sz w:val="19"/>
                      <w:szCs w:val="19"/>
                    </w:rPr>
                    <w:t xml:space="preserve">Fraud Rate</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36.97%</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43.78%</w:t>
                  </w:r>
                </w:p>
              </w:tc>
            </w:tr>
            <w:tr>
              <w:tc>
                <w:tcPr>
                  <w:tcW w:type="dxa" w:w="3000"/>
                  <w:tcBorders>
                    <w:top w:val="single" w:color="DADCE0" w:sz="1"/>
                    <w:left w:val="single" w:color="DADCE0" w:sz="1"/>
                    <w:bottom w:val="single" w:color="DADCE0" w:sz="1"/>
                    <w:right w:val="single" w:color="DADCE0" w:sz="1"/>
                  </w:tcBorders>
                  <w:shd w:fill="F8F9FA" w:val="clear"/>
                  <w:tcMar>
                    <w:top w:type="dxa" w:w="70"/>
                    <w:left w:type="dxa" w:w="120"/>
                    <w:bottom w:type="dxa" w:w="70"/>
                    <w:right w:type="dxa" w:w="120"/>
                  </w:tcMar>
                </w:tcPr>
                <w:p>
                  <w:r>
                    <w:rPr>
                      <w:rFonts w:ascii="Arial" w:cs="Arial" w:eastAsia="Arial" w:hAnsi="Arial"/>
                      <w:b/>
                      <w:bCs/>
                      <w:color w:val="202124"/>
                      <w:sz w:val="19"/>
                      <w:szCs w:val="19"/>
                    </w:rPr>
                    <w:t xml:space="preserve">Risk Level</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HIGH_RISK</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HIGH_RISK</w:t>
                  </w:r>
                </w:p>
              </w:tc>
            </w:tr>
            <w:tr>
              <w:tc>
                <w:tcPr>
                  <w:tcW w:type="dxa" w:w="3000"/>
                  <w:tcBorders>
                    <w:top w:val="single" w:color="DADCE0" w:sz="1"/>
                    <w:left w:val="single" w:color="DADCE0" w:sz="1"/>
                    <w:bottom w:val="single" w:color="DADCE0" w:sz="1"/>
                    <w:right w:val="single" w:color="DADCE0" w:sz="1"/>
                  </w:tcBorders>
                  <w:shd w:fill="F8F9FA" w:val="clear"/>
                  <w:tcMar>
                    <w:top w:type="dxa" w:w="70"/>
                    <w:left w:type="dxa" w:w="120"/>
                    <w:bottom w:type="dxa" w:w="70"/>
                    <w:right w:type="dxa" w:w="120"/>
                  </w:tcMar>
                </w:tcPr>
                <w:p>
                  <w:r>
                    <w:rPr>
                      <w:rFonts w:ascii="Arial" w:cs="Arial" w:eastAsia="Arial" w:hAnsi="Arial"/>
                      <w:b/>
                      <w:bCs/>
                      <w:color w:val="202124"/>
                      <w:sz w:val="19"/>
                      <w:szCs w:val="19"/>
                    </w:rPr>
                    <w:t xml:space="preserve">Top Merchant</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McDonalds</w:t>
                  </w:r>
                </w:p>
              </w:tc>
              <w:tc>
                <w:tcPr>
                  <w:tcW w:type="dxa" w:w="2980"/>
                  <w:tcBorders>
                    <w:top w:val="single" w:color="DADCE0" w:sz="1"/>
                    <w:left w:val="single" w:color="DADCE0" w:sz="1"/>
                    <w:bottom w:val="single" w:color="DADCE0" w:sz="1"/>
                    <w:right w:val="single" w:color="DADCE0" w:sz="1"/>
                  </w:tcBorders>
                  <w:shd w:fill="FFFFFF" w:val="clear"/>
                  <w:tcMar>
                    <w:top w:type="dxa" w:w="70"/>
                    <w:left w:type="dxa" w:w="120"/>
                    <w:bottom w:type="dxa" w:w="70"/>
                    <w:right w:type="dxa" w:w="120"/>
                  </w:tcMar>
                </w:tcPr>
                <w:p>
                  <w:r>
                    <w:rPr>
                      <w:rFonts w:ascii="Arial" w:cs="Arial" w:eastAsia="Arial" w:hAnsi="Arial"/>
                      <w:color w:val="202124"/>
                      <w:sz w:val="19"/>
                      <w:szCs w:val="19"/>
                    </w:rPr>
                    <w:t xml:space="preserve">Uber</w:t>
                  </w:r>
                </w:p>
              </w:tc>
            </w:tr>
          </w:tbl>
          <w:p>
            <w:pPr>
              <w:spacing w:before="60" w:after="0"/>
            </w:pPr>
          </w:p>
          <w:p>
            <w:pPr>
              <w:spacing w:before="60" w:after="80"/>
            </w:pPr>
            <w:r>
              <w:rPr>
                <w:rFonts w:ascii="Arial" w:cs="Arial" w:eastAsia="Arial" w:hAnsi="Arial"/>
                <w:color w:val="202124"/>
                <w:sz w:val="20"/>
                <w:szCs w:val="20"/>
              </w:rPr>
              <w:t xml:space="preserve">Both windows were flagged HIGH_RISK because the synthetic publisher generates transactions with amounts above $3,000 as flagged, and approximately 30 to 40 percent of random transactions exceed this threshold. In a production system you would calibrate the threshold to match historical fraud rates, typically below 2 percent.</w:t>
            </w:r>
          </w:p>
        </w:tc>
      </w:tr>
    </w:tbl>
    <w:p>
      <w:pPr>
        <w:spacing w:before="80" w:after="0"/>
      </w:pPr>
    </w:p>
    <w:tbl>
      <w:tblPr>
        <w:tblW w:type="dxa" w:w="9360"/>
        <w:tblBorders>
          <w:top w:val="single" w:color="DADCE0" w:sz="1"/>
          <w:left w:val="single" w:color="7B2FBE"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7B2FBE" w:sz="16"/>
              <w:bottom w:val="single" w:color="DADCE0" w:sz="1"/>
              <w:right w:val="single" w:color="DADCE0" w:sz="1"/>
            </w:tcBorders>
            <w:shd w:fill="F3E8FF" w:val="clear"/>
            <w:tcMar>
              <w:top w:type="dxa" w:w="120"/>
              <w:left w:type="dxa" w:w="180"/>
              <w:bottom w:type="dxa" w:w="120"/>
              <w:right w:type="dxa" w:w="180"/>
            </w:tcMar>
          </w:tcPr>
          <w:p>
            <w:pPr>
              <w:spacing w:before="0" w:after="0"/>
            </w:pPr>
            <w:r>
              <w:rPr>
                <w:rFonts w:ascii="Arial" w:cs="Arial" w:eastAsia="Arial" w:hAnsi="Arial"/>
                <w:b/>
                <w:bCs/>
                <w:caps/>
                <w:color w:val="7B2FBE"/>
                <w:sz w:val="18"/>
                <w:szCs w:val="18"/>
              </w:rPr>
              <w:t xml:space="preserve">Q13  </w:t>
            </w:r>
            <w:r>
              <w:rPr>
                <w:rFonts w:ascii="Arial" w:cs="Arial" w:eastAsia="Arial" w:hAnsi="Arial"/>
                <w:b/>
                <w:bCs/>
                <w:color w:val="202124"/>
                <w:sz w:val="20"/>
                <w:szCs w:val="20"/>
              </w:rPr>
              <w:t xml:space="preserve">Why does the three-way reconciliation join show SETTLEMENT_ONLY and not MATCHED rows?</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The reconciliation join uses transaction_id as the key between the streaming table and the settlements table. In production, both tables would receive the same transaction_id from the point-of-sale system at the moment the card is swiped.</w:t>
            </w:r>
          </w:p>
          <w:p>
            <w:pPr>
              <w:spacing w:before="60" w:after="80"/>
            </w:pPr>
            <w:r>
              <w:rPr>
                <w:rFonts w:ascii="Arial" w:cs="Arial" w:eastAsia="Arial" w:hAnsi="Arial"/>
                <w:color w:val="202124"/>
                <w:sz w:val="20"/>
                <w:szCs w:val="20"/>
              </w:rPr>
              <w:t xml:space="preserve">In this build, the streaming publisher generates new random UUIDs for each transaction using uuid.uuid4(), and the settlements generator also generates new random UUIDs independently. There is no shared ID source, so the join finds no matches.</w:t>
            </w:r>
          </w:p>
          <w:p>
            <w:pPr>
              <w:spacing w:before="60" w:after="80"/>
            </w:pPr>
            <w:r>
              <w:rPr>
                <w:rFonts w:ascii="Arial" w:cs="Arial" w:eastAsia="Arial" w:hAnsi="Arial"/>
                <w:color w:val="202124"/>
                <w:sz w:val="20"/>
                <w:szCs w:val="20"/>
              </w:rPr>
              <w:t xml:space="preserve">The result is SETTLEMENT_ONLY for all 200 settlement records, meaning every settlement exists in the batch table but has no corresponding streaming record. This is the expected result with synthetic data.</w:t>
            </w:r>
          </w:p>
          <w:p>
            <w:pPr>
              <w:spacing w:before="60" w:after="80"/>
            </w:pPr>
            <w:r>
              <w:rPr>
                <w:rFonts w:ascii="Arial" w:cs="Arial" w:eastAsia="Arial" w:hAnsi="Arial"/>
                <w:color w:val="202124"/>
                <w:sz w:val="20"/>
                <w:szCs w:val="20"/>
              </w:rPr>
              <w:t xml:space="preserve">The query structure is what matters for the portfolio. A hiring manager or technical reviewer reading the query can see that the join logic is correct. The synthetic data limitation is an honest and expected constraint that should be noted in the GitHub README.</w:t>
            </w:r>
          </w:p>
        </w:tc>
      </w:tr>
    </w:tbl>
    <w:p>
      <w:pPr>
        <w:spacing w:before="80" w:after="0"/>
      </w:pPr>
    </w:p>
    <w:p>
      <w:r>
        <w:br w:type="page"/>
      </w:r>
    </w:p>
    <w:p>
      <w:pPr>
        <w:pStyle w:val="Heading1"/>
        <w:pBdr>
          <w:bottom w:val="single" w:color="1A73E8" w:sz="6" w:space="4"/>
        </w:pBdr>
        <w:spacing w:before="360" w:after="120"/>
      </w:pPr>
      <w:r>
        <w:rPr>
          <w:rFonts w:ascii="Arial" w:cs="Arial" w:eastAsia="Arial" w:hAnsi="Arial"/>
          <w:b/>
          <w:bCs/>
          <w:color w:val="0D47A1"/>
          <w:sz w:val="32"/>
          <w:szCs w:val="32"/>
        </w:rPr>
        <w:t xml:space="preserve">Section 5: Architecture and Design Questions</w:t>
      </w:r>
    </w:p>
    <w:p>
      <w:pPr>
        <w:spacing w:before="6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20"/>
              <w:left w:type="dxa" w:w="180"/>
              <w:bottom w:type="dxa" w:w="120"/>
              <w:right w:type="dxa" w:w="180"/>
            </w:tcMar>
          </w:tcPr>
          <w:p>
            <w:pPr>
              <w:spacing w:before="0" w:after="0"/>
            </w:pPr>
            <w:r>
              <w:rPr>
                <w:rFonts w:ascii="Arial" w:cs="Arial" w:eastAsia="Arial" w:hAnsi="Arial"/>
                <w:b/>
                <w:bCs/>
                <w:caps/>
                <w:color w:val="1A73E8"/>
                <w:sz w:val="18"/>
                <w:szCs w:val="18"/>
              </w:rPr>
              <w:t xml:space="preserve">Q14  </w:t>
            </w:r>
            <w:r>
              <w:rPr>
                <w:rFonts w:ascii="Arial" w:cs="Arial" w:eastAsia="Arial" w:hAnsi="Arial"/>
                <w:b/>
                <w:bCs/>
                <w:color w:val="202124"/>
                <w:sz w:val="20"/>
                <w:szCs w:val="20"/>
              </w:rPr>
              <w:t xml:space="preserve">Why were all three builds run in a GCP sandbox instead of a personal account?</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The sandbox provides a real GCP environment with genuine services, not a simulation. Every command, every job, and every query ran on actual GCP infrastructure. The results are real.</w:t>
            </w:r>
          </w:p>
          <w:p>
            <w:pPr>
              <w:spacing w:before="60" w:after="80"/>
            </w:pPr>
            <w:r>
              <w:rPr>
                <w:rFonts w:ascii="Arial" w:cs="Arial" w:eastAsia="Arial" w:hAnsi="Arial"/>
                <w:color w:val="202124"/>
                <w:sz w:val="20"/>
                <w:szCs w:val="20"/>
              </w:rPr>
              <w:t xml:space="preserve">Running in a sandbox also demonstrates the ability to work within constraints. The sandbox restricts IAM role assignment, which meant the custom service account pattern from the original design could not be used. The workaround was to use the Compute Engine default service account, which Dataflow picks up automatically.</w:t>
            </w:r>
          </w:p>
          <w:p>
            <w:pPr>
              <w:spacing w:before="60" w:after="80"/>
            </w:pPr>
            <w:r>
              <w:rPr>
                <w:rFonts w:ascii="Arial" w:cs="Arial" w:eastAsia="Arial" w:hAnsi="Arial"/>
                <w:color w:val="202124"/>
                <w:sz w:val="20"/>
                <w:szCs w:val="20"/>
              </w:rPr>
              <w:t xml:space="preserve">This kind of constraint handling is realistic. Production environments always have security restrictions, limited permissions, and organisational policies that require adapting the textbook approach to what is actually available.</w:t>
            </w:r>
          </w:p>
        </w:tc>
      </w:tr>
    </w:tbl>
    <w:p>
      <w:pPr>
        <w:spacing w:before="8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20"/>
              <w:left w:type="dxa" w:w="180"/>
              <w:bottom w:type="dxa" w:w="120"/>
              <w:right w:type="dxa" w:w="180"/>
            </w:tcMar>
          </w:tcPr>
          <w:p>
            <w:pPr>
              <w:spacing w:before="0" w:after="0"/>
            </w:pPr>
            <w:r>
              <w:rPr>
                <w:rFonts w:ascii="Arial" w:cs="Arial" w:eastAsia="Arial" w:hAnsi="Arial"/>
                <w:b/>
                <w:bCs/>
                <w:caps/>
                <w:color w:val="1A73E8"/>
                <w:sz w:val="18"/>
                <w:szCs w:val="18"/>
              </w:rPr>
              <w:t xml:space="preserve">Q15  </w:t>
            </w:r>
            <w:r>
              <w:rPr>
                <w:rFonts w:ascii="Arial" w:cs="Arial" w:eastAsia="Arial" w:hAnsi="Arial"/>
                <w:b/>
                <w:bCs/>
                <w:color w:val="202124"/>
                <w:sz w:val="20"/>
                <w:szCs w:val="20"/>
              </w:rPr>
              <w:t xml:space="preserve">What would you add if you were taking this to production?</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Several things would change or be added in a production deployment.</w:t>
            </w:r>
          </w:p>
          <w:p>
            <w:pPr>
              <w:pStyle w:val="ListParagraph"/>
              <w:numPr>
                <w:ilvl w:val="0"/>
                <w:numId w:val="2"/>
              </w:numPr>
              <w:spacing w:before="30" w:after="30"/>
            </w:pPr>
            <w:r>
              <w:rPr>
                <w:rFonts w:ascii="Arial" w:cs="Arial" w:eastAsia="Arial" w:hAnsi="Arial"/>
                <w:color w:val="202124"/>
                <w:sz w:val="20"/>
                <w:szCs w:val="20"/>
              </w:rPr>
              <w:t xml:space="preserve">A dedicated Dataflow service account with minimum required roles rather than the Compute Engine default SA. This follows the principle of least privilege.</w:t>
            </w:r>
          </w:p>
          <w:p>
            <w:pPr>
              <w:pStyle w:val="ListParagraph"/>
              <w:numPr>
                <w:ilvl w:val="0"/>
                <w:numId w:val="2"/>
              </w:numPr>
              <w:spacing w:before="30" w:after="30"/>
            </w:pPr>
            <w:r>
              <w:rPr>
                <w:rFonts w:ascii="Arial" w:cs="Arial" w:eastAsia="Arial" w:hAnsi="Arial"/>
                <w:color w:val="202124"/>
                <w:sz w:val="20"/>
                <w:szCs w:val="20"/>
              </w:rPr>
              <w:t xml:space="preserve">Schema registry or schema validation before the streaming job. Currently a publisher change that renames a field would silently route records to the dead-letter table with no alerting.</w:t>
            </w:r>
          </w:p>
          <w:p>
            <w:pPr>
              <w:pStyle w:val="ListParagraph"/>
              <w:numPr>
                <w:ilvl w:val="0"/>
                <w:numId w:val="2"/>
              </w:numPr>
              <w:spacing w:before="30" w:after="30"/>
            </w:pPr>
            <w:r>
              <w:rPr>
                <w:rFonts w:ascii="Arial" w:cs="Arial" w:eastAsia="Arial" w:hAnsi="Arial"/>
                <w:color w:val="202124"/>
                <w:sz w:val="20"/>
                <w:szCs w:val="20"/>
              </w:rPr>
              <w:t xml:space="preserve">Cloud Monitoring alerts on the dead-letter table row count. Any non-zero value should page the on-call engineer.</w:t>
            </w:r>
          </w:p>
          <w:p>
            <w:pPr>
              <w:pStyle w:val="ListParagraph"/>
              <w:numPr>
                <w:ilvl w:val="0"/>
                <w:numId w:val="2"/>
              </w:numPr>
              <w:spacing w:before="30" w:after="30"/>
            </w:pPr>
            <w:r>
              <w:rPr>
                <w:rFonts w:ascii="Arial" w:cs="Arial" w:eastAsia="Arial" w:hAnsi="Arial"/>
                <w:color w:val="202124"/>
                <w:sz w:val="20"/>
                <w:szCs w:val="20"/>
              </w:rPr>
              <w:t xml:space="preserve">The batch job trigger would move from Cloud Scheduler to an Eventarc trigger on the GCS bucket. The job would fire the moment the settlements file lands rather than at a fixed time, which is more robust when the bank delivers the file late.</w:t>
            </w:r>
          </w:p>
          <w:p>
            <w:pPr>
              <w:pStyle w:val="ListParagraph"/>
              <w:numPr>
                <w:ilvl w:val="0"/>
                <w:numId w:val="2"/>
              </w:numPr>
              <w:spacing w:before="30" w:after="30"/>
            </w:pPr>
            <w:r>
              <w:rPr>
                <w:rFonts w:ascii="Arial" w:cs="Arial" w:eastAsia="Arial" w:hAnsi="Arial"/>
                <w:color w:val="202124"/>
                <w:sz w:val="20"/>
                <w:szCs w:val="20"/>
              </w:rPr>
              <w:t xml:space="preserve">Data partitioning on the BigQuery tables by date. At scale, querying an unpartitioned transactions_raw table becomes expensive. Partitioning by DATE(timestamp) makes queries over a single day cheap.</w:t>
            </w:r>
          </w:p>
          <w:p>
            <w:pPr>
              <w:pStyle w:val="ListParagraph"/>
              <w:numPr>
                <w:ilvl w:val="0"/>
                <w:numId w:val="2"/>
              </w:numPr>
              <w:spacing w:before="30" w:after="30"/>
            </w:pPr>
            <w:r>
              <w:rPr>
                <w:rFonts w:ascii="Arial" w:cs="Arial" w:eastAsia="Arial" w:hAnsi="Arial"/>
                <w:color w:val="202124"/>
                <w:sz w:val="20"/>
                <w:szCs w:val="20"/>
              </w:rPr>
              <w:t xml:space="preserve">A Terraform module for all resources. The current setup uses gcloud commands. Terraform makes the infrastructure reproducible, version-controlled, and reviewable.</w:t>
            </w:r>
          </w:p>
        </w:tc>
      </w:tr>
    </w:tbl>
    <w:p>
      <w:pPr>
        <w:spacing w:before="8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120"/>
              <w:left w:type="dxa" w:w="180"/>
              <w:bottom w:type="dxa" w:w="120"/>
              <w:right w:type="dxa" w:w="180"/>
            </w:tcMar>
          </w:tcPr>
          <w:p>
            <w:pPr>
              <w:spacing w:before="0" w:after="0"/>
            </w:pPr>
            <w:r>
              <w:rPr>
                <w:rFonts w:ascii="Arial" w:cs="Arial" w:eastAsia="Arial" w:hAnsi="Arial"/>
                <w:b/>
                <w:bCs/>
                <w:caps/>
                <w:color w:val="1A73E8"/>
                <w:sz w:val="18"/>
                <w:szCs w:val="18"/>
              </w:rPr>
              <w:t xml:space="preserve">Q16  </w:t>
            </w:r>
            <w:r>
              <w:rPr>
                <w:rFonts w:ascii="Arial" w:cs="Arial" w:eastAsia="Arial" w:hAnsi="Arial"/>
                <w:b/>
                <w:bCs/>
                <w:color w:val="202124"/>
                <w:sz w:val="20"/>
                <w:szCs w:val="20"/>
              </w:rPr>
              <w:t xml:space="preserve">How does this project demonstrate the lambda architecture pattern?</w:t>
            </w:r>
          </w:p>
        </w:tc>
      </w:tr>
    </w:tbl>
    <w:tbl>
      <w:tblPr>
        <w:tblW w:type="dxa" w:w="9360"/>
        <w:tblBorders>
          <w:top w:val="none" w:color="FFFFFF" w:sz="0"/>
          <w:left w:val="single" w:color="DADCE0" w:sz="4"/>
          <w:bottom w:val="single" w:color="DADCE0" w:sz="1"/>
          <w:right w:val="single" w:color="DADCE0" w:sz="1"/>
          <w:insideH w:val="single" w:color="auto" w:sz="4"/>
          <w:insideV w:val="single" w:color="auto" w:sz="4"/>
        </w:tblBorders>
      </w:tblPr>
      <w:tblGrid>
        <w:gridCol w:w="9360"/>
      </w:tblGrid>
      <w:tr>
        <w:tc>
          <w:tcPr>
            <w:tcW w:type="dxa" w:w="9360"/>
            <w:tcBorders>
              <w:top w:val="none" w:color="FFFFFF" w:sz="0"/>
              <w:left w:val="single" w:color="DADCE0" w:sz="4"/>
              <w:bottom w:val="single" w:color="DADCE0" w:sz="1"/>
              <w:right w:val="single" w:color="DADCE0" w:sz="1"/>
            </w:tcBorders>
            <w:shd w:fill="FFFFFF" w:val="clear"/>
            <w:tcMar>
              <w:top w:type="dxa" w:w="140"/>
              <w:left w:type="dxa" w:w="200"/>
              <w:bottom w:type="dxa" w:w="140"/>
              <w:right w:type="dxa" w:w="200"/>
            </w:tcMar>
          </w:tcPr>
          <w:p>
            <w:pPr>
              <w:spacing w:before="60" w:after="80"/>
            </w:pPr>
            <w:r>
              <w:rPr>
                <w:rFonts w:ascii="Arial" w:cs="Arial" w:eastAsia="Arial" w:hAnsi="Arial"/>
                <w:color w:val="202124"/>
                <w:sz w:val="20"/>
                <w:szCs w:val="20"/>
              </w:rPr>
              <w:t xml:space="preserve">The lambda architecture is a data processing pattern that combines a fast streaming layer with a slow batch layer to give both low-latency results and high-accuracy results.</w:t>
            </w:r>
          </w:p>
          <w:p>
            <w:pPr>
              <w:spacing w:before="60" w:after="80"/>
            </w:pPr>
            <w:r>
              <w:rPr>
                <w:rFonts w:ascii="Arial" w:cs="Arial" w:eastAsia="Arial" w:hAnsi="Arial"/>
                <w:b/>
                <w:bCs/>
                <w:color w:val="202124"/>
                <w:sz w:val="20"/>
                <w:szCs w:val="20"/>
              </w:rPr>
              <w:t xml:space="preserve">Speed layer (Build 1): </w:t>
            </w:r>
            <w:r>
              <w:rPr>
                <w:rFonts w:ascii="Arial" w:cs="Arial" w:eastAsia="Arial" w:hAnsi="Arial"/>
                <w:color w:val="202124"/>
                <w:sz w:val="20"/>
                <w:szCs w:val="20"/>
              </w:rPr>
              <w:t xml:space="preserve">Streaming transactions land in BigQuery within two minutes. You can query them immediately but they are not authoritative. A transaction can still reverse.</w:t>
            </w:r>
          </w:p>
          <w:p>
            <w:pPr>
              <w:spacing w:before="60" w:after="80"/>
            </w:pPr>
            <w:r>
              <w:rPr>
                <w:rFonts w:ascii="Arial" w:cs="Arial" w:eastAsia="Arial" w:hAnsi="Arial"/>
                <w:b/>
                <w:bCs/>
                <w:color w:val="202124"/>
                <w:sz w:val="20"/>
                <w:szCs w:val="20"/>
              </w:rPr>
              <w:t xml:space="preserve">Batch layer (Build 2): </w:t>
            </w:r>
            <w:r>
              <w:rPr>
                <w:rFonts w:ascii="Arial" w:cs="Arial" w:eastAsia="Arial" w:hAnsi="Arial"/>
                <w:color w:val="202124"/>
                <w:sz w:val="20"/>
                <w:szCs w:val="20"/>
              </w:rPr>
              <w:t xml:space="preserve">The daily settlements file represents what the bank confirmed actually moved money. It arrives hours after the transactions but is the source of truth.</w:t>
            </w:r>
          </w:p>
          <w:p>
            <w:pPr>
              <w:spacing w:before="60" w:after="80"/>
            </w:pPr>
            <w:r>
              <w:rPr>
                <w:rFonts w:ascii="Arial" w:cs="Arial" w:eastAsia="Arial" w:hAnsi="Arial"/>
                <w:b/>
                <w:bCs/>
                <w:color w:val="202124"/>
                <w:sz w:val="20"/>
                <w:szCs w:val="20"/>
              </w:rPr>
              <w:t xml:space="preserve">Serving layer (the join): </w:t>
            </w:r>
            <w:r>
              <w:rPr>
                <w:rFonts w:ascii="Arial" w:cs="Arial" w:eastAsia="Arial" w:hAnsi="Arial"/>
                <w:color w:val="202124"/>
                <w:sz w:val="20"/>
                <w:szCs w:val="20"/>
              </w:rPr>
              <w:t xml:space="preserve">The reconciliation query combines both layers into a single view. This is how you serve a question like 'how much revenue did we actually collect yesterday' accurately.</w:t>
            </w:r>
          </w:p>
          <w:p>
            <w:pPr>
              <w:spacing w:before="60" w:after="80"/>
            </w:pPr>
            <w:r>
              <w:rPr>
                <w:rFonts w:ascii="Arial" w:cs="Arial" w:eastAsia="Arial" w:hAnsi="Arial"/>
                <w:color w:val="202124"/>
                <w:sz w:val="20"/>
                <w:szCs w:val="20"/>
              </w:rPr>
              <w:t xml:space="preserve">Build 3 adds a kappa-style windowed analytics layer on top, which processes the streaming data with stateful aggregations. Together the three builds demonstrate all three layers of the lambda pattern on a single dataset.</w:t>
            </w:r>
          </w:p>
        </w:tc>
      </w:tr>
    </w:tbl>
    <w:p>
      <w:pPr>
        <w:spacing w:before="80" w:after="0"/>
      </w:pPr>
    </w:p>
    <w:p>
      <w:r>
        <w:br w:type="page"/>
      </w:r>
    </w:p>
    <w:p>
      <w:pPr>
        <w:pStyle w:val="Heading1"/>
        <w:pBdr>
          <w:bottom w:val="single" w:color="1A73E8" w:sz="6" w:space="4"/>
        </w:pBdr>
        <w:spacing w:before="360" w:after="120"/>
      </w:pPr>
      <w:r>
        <w:rPr>
          <w:rFonts w:ascii="Arial" w:cs="Arial" w:eastAsia="Arial" w:hAnsi="Arial"/>
          <w:b/>
          <w:bCs/>
          <w:color w:val="0D47A1"/>
          <w:sz w:val="32"/>
          <w:szCs w:val="32"/>
        </w:rPr>
        <w:t xml:space="preserve">Section 6: Build Metrics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DADCE0" w:sz="1"/>
              <w:left w:val="single" w:color="DADCE0" w:sz="1"/>
              <w:bottom w:val="single" w:color="DADCE0" w:sz="1"/>
              <w:right w:val="single" w:color="DADCE0" w:sz="1"/>
            </w:tcBorders>
            <w:shd w:fill="0D47A1"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Total streaming events captured</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3,111 transactions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Total streaming volume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$7,097,837.92</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Flagged transactions (streaming)</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1,181 (38% of total)</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Dead-letter errors</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0</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Batch records loaded</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200 settlements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Batch net revenue loaded</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$396,306.72</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Batch job runtime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 minutes 16 seconds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Batch data quality checks</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 of 3 passed (count, net amount, nulls)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Fraud windows captured</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2 windows (5 minutes each)</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Window 1 fraud rate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36.97% -- HIGH_RISK -- top merchant McDonalds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Window 2 fraud rate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43.78% -- HIGH_RISK -- top merchant Uber</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Verification score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18 of 18 automated checks passed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Total Dataflow jobs run</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4 (1 failed e2-micro, 3 succeeded)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Region</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us-east1</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color w:val="202124"/>
                <w:sz w:val="20"/>
                <w:szCs w:val="20"/>
              </w:rPr>
              <w:t xml:space="preserve">Worker type</w:t>
            </w:r>
          </w:p>
        </w:tc>
        <w:tc>
          <w:tcPr>
            <w:tcW w:type="dxa" w:w="63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02124"/>
                <w:sz w:val="20"/>
                <w:szCs w:val="20"/>
              </w:rPr>
              <w:t xml:space="preserve">e2-medium, max-workers: 1</w:t>
            </w:r>
          </w:p>
        </w:tc>
      </w:tr>
    </w:tbl>
    <w:p>
      <w:pPr>
        <w:spacing w:before="100" w:after="0"/>
      </w:pPr>
    </w:p>
    <w:tbl>
      <w:tblPr>
        <w:tblW w:type="dxa" w:w="9360"/>
        <w:tblBorders>
          <w:top w:val="single" w:color="DADCE0" w:sz="1"/>
          <w:left w:val="single" w:color="1A73E8" w:sz="16"/>
          <w:bottom w:val="single" w:color="DADCE0" w:sz="1"/>
          <w:right w:val="single" w:color="DADCE0" w:sz="1"/>
          <w:insideH w:val="single" w:color="auto" w:sz="4"/>
          <w:insideV w:val="single" w:color="auto" w:sz="4"/>
        </w:tblBorders>
      </w:tblPr>
      <w:tblGrid>
        <w:gridCol w:w="9360"/>
      </w:tblGrid>
      <w:tr>
        <w:tc>
          <w:tcPr>
            <w:tcW w:type="dxa" w:w="9360"/>
            <w:tcBorders>
              <w:top w:val="single" w:color="DADCE0" w:sz="1"/>
              <w:left w:val="single" w:color="1A73E8" w:sz="16"/>
              <w:bottom w:val="single" w:color="DADCE0" w:sz="1"/>
              <w:right w:val="single" w:color="DADCE0" w:sz="1"/>
            </w:tcBorders>
            <w:shd w:fill="E8F0FE" w:val="clear"/>
            <w:tcMar>
              <w:top w:type="dxa" w:w="200"/>
              <w:left w:type="dxa" w:w="240"/>
              <w:bottom w:type="dxa" w:w="200"/>
              <w:right w:type="dxa" w:w="240"/>
            </w:tcMar>
          </w:tcPr>
          <w:p>
            <w:pPr>
              <w:spacing w:before="0" w:after="80"/>
              <w:jc w:val="center"/>
            </w:pPr>
            <w:r>
              <w:rPr>
                <w:rFonts w:ascii="Arial" w:cs="Arial" w:eastAsia="Arial" w:hAnsi="Arial"/>
                <w:b/>
                <w:bCs/>
                <w:color w:val="0D47A1"/>
                <w:sz w:val="24"/>
                <w:szCs w:val="24"/>
              </w:rPr>
              <w:t xml:space="preserve">Three pipelines. One dataset. One reconciliation query.</w:t>
            </w:r>
          </w:p>
          <w:p>
            <w:pPr>
              <w:spacing w:before="0" w:after="80"/>
              <w:jc w:val="center"/>
            </w:pPr>
            <w:r>
              <w:rPr>
                <w:rFonts w:ascii="Arial" w:cs="Arial" w:eastAsia="Arial" w:hAnsi="Arial"/>
                <w:color w:val="202124"/>
                <w:sz w:val="20"/>
                <w:szCs w:val="20"/>
              </w:rPr>
              <w:t xml:space="preserve">Streaming captures what happened. Batch confirms what settled. Custom Beam detects fraud patterns across time. The join between all three is the architecture.</w:t>
            </w:r>
          </w:p>
          <w:p>
            <w:pPr>
              <w:spacing w:before="0" w:after="0"/>
              <w:jc w:val="center"/>
            </w:pPr>
            <w:r>
              <w:rPr>
                <w:rFonts w:ascii="Arial" w:cs="Arial" w:eastAsia="Arial" w:hAnsi="Arial"/>
                <w:b/>
                <w:bCs/>
                <w:i/>
                <w:iCs/>
                <w:color w:val="1A73E8"/>
                <w:sz w:val="20"/>
                <w:szCs w:val="20"/>
              </w:rPr>
              <w:t xml:space="preserve">18 of 18 checks passed. Ready for GitHub and Medium.</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2" w:space="4"/>
      </w:pBdr>
      <w:tabs>
        <w:tab w:val="right" w:pos="9026"/>
      </w:tabs>
      <w:spacing w:before="80" w:after="0"/>
    </w:pPr>
    <w:r>
      <w:rPr>
        <w:rFonts w:ascii="Arial" w:cs="Arial" w:eastAsia="Arial" w:hAnsi="Arial"/>
        <w:color w:val="5F6368"/>
        <w:sz w:val="16"/>
        <w:szCs w:val="16"/>
      </w:rPr>
      <w:t xml:space="preserve">GCP Dataflow   |   Streaming + Batch + Custom Beam   |   18/18 Verified</w:t>
    </w:r>
    <w:r>
      <w:rPr>
        <w:rFonts w:ascii="Arial" w:cs="Arial" w:eastAsia="Arial" w:hAnsi="Arial"/>
        <w:color w:val="5F6368"/>
        <w:sz w:val="16"/>
        <w:szCs w:val="16"/>
      </w:rPr>
      <w:t xml:space="preserve">	[PROJECT-ID]   |   us-east1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tabs>
        <w:tab w:val="right" w:pos="9026"/>
      </w:tabs>
      <w:spacing w:before="0" w:after="80"/>
    </w:pPr>
    <w:r>
      <w:rPr>
        <w:rFonts w:ascii="Arial" w:cs="Arial" w:eastAsia="Arial" w:hAnsi="Arial"/>
        <w:b/>
        <w:bCs/>
        <w:color w:val="1A73E8"/>
        <w:sz w:val="18"/>
        <w:szCs w:val="18"/>
      </w:rPr>
      <w:t xml:space="preserve">RetailCo Financial Data Platform</w:t>
    </w:r>
    <w:r>
      <w:rPr>
        <w:rFonts w:ascii="Arial" w:cs="Arial" w:eastAsia="Arial" w:hAnsi="Arial"/>
        <w:color w:val="5F6368"/>
        <w:sz w:val="18"/>
        <w:szCs w:val="18"/>
      </w:rPr>
      <w:t xml:space="preserve">	Q&amp;A and Technical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47A1"/>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D47A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73E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2026-03-05T18:56:02.795Z</dcterms:created>
  <dcterms:modified xsi:type="dcterms:W3CDTF">2026-03-05T18:56:02.796Z</dcterms:modified>
</cp:coreProperties>
</file>

<file path=docProps/custom.xml><?xml version="1.0" encoding="utf-8"?>
<Properties xmlns="http://schemas.openxmlformats.org/officeDocument/2006/custom-properties" xmlns:vt="http://schemas.openxmlformats.org/officeDocument/2006/docPropsVTypes"/>
</file>