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 crisis exercise proposal</w:t>
      </w:r>
    </w:p>
    <w:p>
      <w:r>
        <w:t>Prepared for Northwind Health, regional hospital group.</w:t>
      </w:r>
    </w:p>
    <w:p>
      <w:pPr>
        <w:pStyle w:val="Heading1"/>
      </w:pPr>
      <w:r>
        <w:t>Context</w:t>
      </w:r>
    </w:p>
    <w:p>
      <w:r>
        <w:t>Northwind Health runs 6 hospitals and 40 clinics. Its EHR was migrated to a hosted platform in 2025.</w:t>
      </w:r>
    </w:p>
    <w:p>
      <w:pPr>
        <w:pStyle w:val="Heading1"/>
      </w:pPr>
      <w:r>
        <w:t>Exercise objectives</w:t>
      </w:r>
    </w:p>
    <w:p>
      <w:pPr>
        <w:pStyle w:val="ListBullet"/>
      </w:pPr>
      <w:r>
        <w:t>Executives: decide on isolating the EHR under uncertainty</w:t>
      </w:r>
    </w:p>
    <w:p>
      <w:pPr>
        <w:pStyle w:val="ListBullet"/>
      </w:pPr>
      <w:r>
        <w:t>Communication: brief patients and the press consistently</w:t>
      </w:r>
    </w:p>
    <w:p>
      <w:pPr>
        <w:pStyle w:val="ListBullet"/>
      </w:pPr>
      <w:r>
        <w:t>Legal: notify the regulator within 72 hours</w:t>
      </w:r>
    </w:p>
    <w:p>
      <w:pPr>
        <w:pStyle w:val="Heading1"/>
      </w:pPr>
      <w:r>
        <w:t>Participants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</w:t>
            </w:r>
          </w:p>
        </w:tc>
        <w:tc>
          <w:tcPr>
            <w:tcW w:type="dxa" w:w="4320"/>
          </w:tcPr>
          <w:p>
            <w:r>
              <w:t>Players</w:t>
            </w:r>
          </w:p>
        </w:tc>
      </w:tr>
      <w:tr>
        <w:tc>
          <w:tcPr>
            <w:tcW w:type="dxa" w:w="4320"/>
          </w:tcPr>
          <w:p>
            <w:r>
              <w:t>Executive crisis cell</w:t>
            </w:r>
          </w:p>
        </w:tc>
        <w:tc>
          <w:tcPr>
            <w:tcW w:type="dxa" w:w="4320"/>
          </w:tcPr>
          <w:p>
            <w:r>
              <w:t>CEO, CMO, CFO, General counsel</w:t>
            </w:r>
          </w:p>
        </w:tc>
      </w:tr>
      <w:tr>
        <w:tc>
          <w:tcPr>
            <w:tcW w:type="dxa" w:w="4320"/>
          </w:tcPr>
          <w:p>
            <w:r>
              <w:t>IT crisis cell</w:t>
            </w:r>
          </w:p>
        </w:tc>
        <w:tc>
          <w:tcPr>
            <w:tcW w:type="dxa" w:w="4320"/>
          </w:tcPr>
          <w:p>
            <w:r>
              <w:t>CIO, CISO, SOC lead</w:t>
            </w:r>
          </w:p>
        </w:tc>
      </w:tr>
    </w:tbl>
    <w:p>
      <w:pPr>
        <w:pStyle w:val="Heading1"/>
      </w:pPr>
      <w:r>
        <w:t>Approach and budget</w:t>
      </w:r>
    </w:p>
    <w:p>
      <w:r>
        <w:t>Two design workshops, one 3-hour exercise, a debrief report. 12 days in total.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Proposal: cyber crisis exercise for Northwind Health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