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C993" w14:textId="77777777" w:rsidR="00F01F20" w:rsidRPr="00F01F20" w:rsidRDefault="00F01F20" w:rsidP="00F01F20">
      <w:r w:rsidRPr="00F01F20">
        <w:t>Based on the EAGLE documentation, the knowledge base is organized into 7 primary domain folders, each supporting a specific specialist role. Here's the complete structure:</w:t>
      </w:r>
    </w:p>
    <w:p w14:paraId="3A70D229" w14:textId="77777777" w:rsidR="00F01F20" w:rsidRPr="00F01F20" w:rsidRDefault="00F01F20" w:rsidP="00F01F20">
      <w:r w:rsidRPr="00F01F20">
        <w:t>EAGLE Knowledge Base Architecture</w:t>
      </w:r>
    </w:p>
    <w:p w14:paraId="153B4CDC" w14:textId="77777777" w:rsidR="00F01F20" w:rsidRPr="00F01F20" w:rsidRDefault="00F01F20" w:rsidP="00F01F20">
      <w:r w:rsidRPr="00F01F20">
        <w:t>1. supervisor-core/</w:t>
      </w:r>
    </w:p>
    <w:p w14:paraId="1F003EDC" w14:textId="77777777" w:rsidR="00F01F20" w:rsidRPr="00F01F20" w:rsidRDefault="00F01F20" w:rsidP="00F01F20">
      <w:r w:rsidRPr="00F01F20">
        <w:t>The orchestration layer containing cross-cutting resources:</w:t>
      </w:r>
    </w:p>
    <w:p w14:paraId="67783478" w14:textId="77777777" w:rsidR="00F01F20" w:rsidRPr="00F01F20" w:rsidRDefault="00F01F20" w:rsidP="00F01F20">
      <w:pPr>
        <w:numPr>
          <w:ilvl w:val="0"/>
          <w:numId w:val="1"/>
        </w:numPr>
      </w:pPr>
      <w:r w:rsidRPr="00F01F20">
        <w:t>checklists/ - Acquisition type-specific checklists (e.g., Checklist A-1 for GSA Schedule acquisitions, negotiated acquisition checklists)</w:t>
      </w:r>
    </w:p>
    <w:p w14:paraId="0981C26E" w14:textId="77777777" w:rsidR="00F01F20" w:rsidRPr="00F01F20" w:rsidRDefault="00F01F20" w:rsidP="00F01F20">
      <w:pPr>
        <w:numPr>
          <w:ilvl w:val="0"/>
          <w:numId w:val="1"/>
        </w:numPr>
      </w:pPr>
      <w:r w:rsidRPr="00F01F20">
        <w:t>essential-templates/ - Core acquisition document templates (SOW/PWS, Acquisition Plans, etc.)</w:t>
      </w:r>
    </w:p>
    <w:p w14:paraId="520C997A" w14:textId="77777777" w:rsidR="00F01F20" w:rsidRPr="00F01F20" w:rsidRDefault="00F01F20" w:rsidP="00F01F20">
      <w:pPr>
        <w:numPr>
          <w:ilvl w:val="0"/>
          <w:numId w:val="1"/>
        </w:numPr>
      </w:pPr>
      <w:r w:rsidRPr="00F01F20">
        <w:t>workflows/ - Process flows for different acquisition scenarios</w:t>
      </w:r>
    </w:p>
    <w:p w14:paraId="4868BAE8" w14:textId="77777777" w:rsidR="00F01F20" w:rsidRPr="00F01F20" w:rsidRDefault="00F01F20" w:rsidP="00F01F20">
      <w:r w:rsidRPr="00F01F20">
        <w:t>2. compliance-strategist/</w:t>
      </w:r>
    </w:p>
    <w:p w14:paraId="74D72B19" w14:textId="77777777" w:rsidR="00F01F20" w:rsidRPr="00F01F20" w:rsidRDefault="00F01F20" w:rsidP="00F01F20">
      <w:r w:rsidRPr="00F01F20">
        <w:t>Regulatory compliance expertise:</w:t>
      </w:r>
    </w:p>
    <w:p w14:paraId="7D9D4F98" w14:textId="77777777" w:rsidR="00F01F20" w:rsidRPr="00F01F20" w:rsidRDefault="00F01F20" w:rsidP="00F01F20">
      <w:pPr>
        <w:numPr>
          <w:ilvl w:val="0"/>
          <w:numId w:val="2"/>
        </w:numPr>
      </w:pPr>
      <w:r w:rsidRPr="00F01F20">
        <w:t>FAR-guidance/ - Federal Acquisition Regulation interpretations and guidance (e.g., FAR_Part_15_RFO.txt, Simplified_Acquisition.txt)</w:t>
      </w:r>
    </w:p>
    <w:p w14:paraId="1703819E" w14:textId="77777777" w:rsidR="00F01F20" w:rsidRPr="00F01F20" w:rsidRDefault="00F01F20" w:rsidP="00F01F20">
      <w:pPr>
        <w:numPr>
          <w:ilvl w:val="0"/>
          <w:numId w:val="2"/>
        </w:numPr>
      </w:pPr>
      <w:r w:rsidRPr="00F01F20">
        <w:t>NIH-policies/ - NIH Policy Manual sections, NIH-specific acquisition procedures (e.g., 63xx series on consultant compensation)</w:t>
      </w:r>
    </w:p>
    <w:p w14:paraId="7C904690" w14:textId="77777777" w:rsidR="00F01F20" w:rsidRPr="00F01F20" w:rsidRDefault="00F01F20" w:rsidP="00F01F20">
      <w:pPr>
        <w:numPr>
          <w:ilvl w:val="0"/>
          <w:numId w:val="2"/>
        </w:numPr>
      </w:pPr>
      <w:r w:rsidRPr="00F01F20">
        <w:t>regulatory-policies/ - Buy American Act, Trade Agreements Act, other regulatory requirements</w:t>
      </w:r>
    </w:p>
    <w:p w14:paraId="45EFFD0C" w14:textId="77777777" w:rsidR="00F01F20" w:rsidRPr="00F01F20" w:rsidRDefault="00F01F20" w:rsidP="00F01F20">
      <w:pPr>
        <w:numPr>
          <w:ilvl w:val="0"/>
          <w:numId w:val="2"/>
        </w:numPr>
      </w:pPr>
      <w:r w:rsidRPr="00F01F20">
        <w:t>thresholds/ - Current acquisition thresholds (SAT, JOFOC, etc.) with effective dates</w:t>
      </w:r>
    </w:p>
    <w:p w14:paraId="22CB7D38" w14:textId="77777777" w:rsidR="00F01F20" w:rsidRPr="00F01F20" w:rsidRDefault="00F01F20" w:rsidP="00F01F20">
      <w:r w:rsidRPr="00F01F20">
        <w:t xml:space="preserve">3. </w:t>
      </w:r>
      <w:proofErr w:type="gramStart"/>
      <w:r w:rsidRPr="00F01F20">
        <w:t>legal-counselor</w:t>
      </w:r>
      <w:proofErr w:type="gramEnd"/>
      <w:r w:rsidRPr="00F01F20">
        <w:t>/</w:t>
      </w:r>
    </w:p>
    <w:p w14:paraId="738F883C" w14:textId="77777777" w:rsidR="00F01F20" w:rsidRPr="00F01F20" w:rsidRDefault="00F01F20" w:rsidP="00F01F20">
      <w:r w:rsidRPr="00F01F20">
        <w:t>Legal analysis and risk management:</w:t>
      </w:r>
    </w:p>
    <w:p w14:paraId="646A5D28" w14:textId="77777777" w:rsidR="00F01F20" w:rsidRPr="00F01F20" w:rsidRDefault="00F01F20" w:rsidP="00F01F20">
      <w:pPr>
        <w:numPr>
          <w:ilvl w:val="0"/>
          <w:numId w:val="3"/>
        </w:numPr>
      </w:pPr>
      <w:r w:rsidRPr="00F01F20">
        <w:t>protest-guidance/ - GAO protest procedures, COFC procedures, protest statistics</w:t>
      </w:r>
    </w:p>
    <w:p w14:paraId="5F84AF01" w14:textId="77777777" w:rsidR="00F01F20" w:rsidRPr="00F01F20" w:rsidRDefault="00F01F20" w:rsidP="00F01F20">
      <w:pPr>
        <w:numPr>
          <w:ilvl w:val="0"/>
          <w:numId w:val="3"/>
        </w:numPr>
      </w:pPr>
      <w:r w:rsidRPr="00F01F20">
        <w:t>case-law/ - GAO decisions, COFC cases, organized by topic (OCI, evaluation, data rights, etc.)</w:t>
      </w:r>
    </w:p>
    <w:p w14:paraId="003AB3A7" w14:textId="77777777" w:rsidR="00F01F20" w:rsidRPr="00F01F20" w:rsidRDefault="00F01F20" w:rsidP="00F01F20">
      <w:pPr>
        <w:numPr>
          <w:ilvl w:val="0"/>
          <w:numId w:val="3"/>
        </w:numPr>
      </w:pPr>
      <w:r w:rsidRPr="00F01F20">
        <w:t>IP-data-rights/ - Software rights (FAR 52.227-14), patent rights (FAR 52.227-11), technical data rights</w:t>
      </w:r>
    </w:p>
    <w:p w14:paraId="670AAB90" w14:textId="77777777" w:rsidR="00F01F20" w:rsidRPr="00F01F20" w:rsidRDefault="00F01F20" w:rsidP="00F01F20">
      <w:pPr>
        <w:numPr>
          <w:ilvl w:val="0"/>
          <w:numId w:val="3"/>
        </w:numPr>
      </w:pPr>
      <w:r w:rsidRPr="00F01F20">
        <w:t>contract-interpretation/ - Legal principles for contract disputes</w:t>
      </w:r>
    </w:p>
    <w:p w14:paraId="1F649F5D" w14:textId="77777777" w:rsidR="00F01F20" w:rsidRPr="00F01F20" w:rsidRDefault="00F01F20" w:rsidP="00F01F20">
      <w:r w:rsidRPr="00F01F20">
        <w:t xml:space="preserve">4. </w:t>
      </w:r>
      <w:proofErr w:type="gramStart"/>
      <w:r w:rsidRPr="00F01F20">
        <w:t>financial-advisor</w:t>
      </w:r>
      <w:proofErr w:type="gramEnd"/>
      <w:r w:rsidRPr="00F01F20">
        <w:t>/</w:t>
      </w:r>
    </w:p>
    <w:p w14:paraId="724271CC" w14:textId="77777777" w:rsidR="00F01F20" w:rsidRPr="00F01F20" w:rsidRDefault="00F01F20" w:rsidP="00F01F20">
      <w:r w:rsidRPr="00F01F20">
        <w:t>Cost analysis and fiscal law:</w:t>
      </w:r>
    </w:p>
    <w:p w14:paraId="7A149618" w14:textId="77777777" w:rsidR="00F01F20" w:rsidRPr="00F01F20" w:rsidRDefault="00F01F20" w:rsidP="00F01F20">
      <w:pPr>
        <w:numPr>
          <w:ilvl w:val="0"/>
          <w:numId w:val="4"/>
        </w:numPr>
      </w:pPr>
      <w:r w:rsidRPr="00F01F20">
        <w:t>cost-analysis-guides/ - IGCE methodology, cost realism vs. price reasonableness guidance, indirect rate analysis</w:t>
      </w:r>
    </w:p>
    <w:p w14:paraId="02CF01A5" w14:textId="77777777" w:rsidR="00F01F20" w:rsidRPr="00F01F20" w:rsidRDefault="00F01F20" w:rsidP="00F01F20">
      <w:pPr>
        <w:numPr>
          <w:ilvl w:val="0"/>
          <w:numId w:val="4"/>
        </w:numPr>
      </w:pPr>
      <w:r w:rsidRPr="00F01F20">
        <w:t>appropriations-law/ - Bona fide needs rule (31 U.S.C. § 1502), GAO Red Book principles, fiscal year guidance</w:t>
      </w:r>
    </w:p>
    <w:p w14:paraId="5A7ED235" w14:textId="77777777" w:rsidR="00F01F20" w:rsidRPr="00F01F20" w:rsidRDefault="00F01F20" w:rsidP="00F01F20">
      <w:pPr>
        <w:numPr>
          <w:ilvl w:val="0"/>
          <w:numId w:val="4"/>
        </w:numPr>
      </w:pPr>
      <w:r w:rsidRPr="00F01F20">
        <w:t>pricing-methods/ - Catalog pricing, market-based pricing, cost buildup methods</w:t>
      </w:r>
    </w:p>
    <w:p w14:paraId="4E532F18" w14:textId="77777777" w:rsidR="00F01F20" w:rsidRPr="00F01F20" w:rsidRDefault="00F01F20" w:rsidP="00F01F20">
      <w:r w:rsidRPr="00F01F20">
        <w:lastRenderedPageBreak/>
        <w:t>5. market-intelligence/</w:t>
      </w:r>
    </w:p>
    <w:p w14:paraId="68429584" w14:textId="77777777" w:rsidR="00F01F20" w:rsidRPr="00F01F20" w:rsidRDefault="00F01F20" w:rsidP="00F01F20">
      <w:r w:rsidRPr="00F01F20">
        <w:t>Market research and contractor data:</w:t>
      </w:r>
    </w:p>
    <w:p w14:paraId="5D6ED513" w14:textId="77777777" w:rsidR="00F01F20" w:rsidRPr="00F01F20" w:rsidRDefault="00F01F20" w:rsidP="00F01F20">
      <w:pPr>
        <w:numPr>
          <w:ilvl w:val="0"/>
          <w:numId w:val="5"/>
        </w:numPr>
      </w:pPr>
      <w:r w:rsidRPr="00F01F20">
        <w:t>vehicle-information/ - GSA Schedules, GWACs (NASA SEWP, NIH CIO-SP4, etc.), IDIQs</w:t>
      </w:r>
    </w:p>
    <w:p w14:paraId="7FF117DC" w14:textId="77777777" w:rsidR="00F01F20" w:rsidRPr="00F01F20" w:rsidRDefault="00F01F20" w:rsidP="00F01F20">
      <w:pPr>
        <w:numPr>
          <w:ilvl w:val="0"/>
          <w:numId w:val="5"/>
        </w:numPr>
      </w:pPr>
      <w:r w:rsidRPr="00F01F20">
        <w:t>small-business/ - Set-aside rules (FAR 19.502-2), NAICS codes, size standards, socioeconomic programs (8(a), SDVOSB, WOSB)</w:t>
      </w:r>
    </w:p>
    <w:p w14:paraId="5F2D4A95" w14:textId="77777777" w:rsidR="00F01F20" w:rsidRPr="00F01F20" w:rsidRDefault="00F01F20" w:rsidP="00F01F20">
      <w:pPr>
        <w:numPr>
          <w:ilvl w:val="0"/>
          <w:numId w:val="5"/>
        </w:numPr>
      </w:pPr>
      <w:r w:rsidRPr="00F01F20">
        <w:t>pricing-benchmarks/ - Historical contract data, labor rate ranges by category, market pricing studies</w:t>
      </w:r>
    </w:p>
    <w:p w14:paraId="6793131D" w14:textId="77777777" w:rsidR="00F01F20" w:rsidRPr="00F01F20" w:rsidRDefault="00F01F20" w:rsidP="00F01F20">
      <w:pPr>
        <w:numPr>
          <w:ilvl w:val="0"/>
          <w:numId w:val="5"/>
        </w:numPr>
      </w:pPr>
      <w:r w:rsidRPr="00F01F20">
        <w:t>contractor-capabilities/ - Vendor research, past performance data sources</w:t>
      </w:r>
    </w:p>
    <w:p w14:paraId="10512956" w14:textId="77777777" w:rsidR="00F01F20" w:rsidRPr="00F01F20" w:rsidRDefault="00F01F20" w:rsidP="00F01F20">
      <w:r w:rsidRPr="00F01F20">
        <w:t>6. technical-translator/</w:t>
      </w:r>
    </w:p>
    <w:p w14:paraId="14AB8E01" w14:textId="77777777" w:rsidR="00F01F20" w:rsidRPr="00F01F20" w:rsidRDefault="00F01F20" w:rsidP="00F01F20">
      <w:proofErr w:type="gramStart"/>
      <w:r w:rsidRPr="00F01F20">
        <w:t>Requirements</w:t>
      </w:r>
      <w:proofErr w:type="gramEnd"/>
      <w:r w:rsidRPr="00F01F20">
        <w:t xml:space="preserve"> development and technical documentation:</w:t>
      </w:r>
    </w:p>
    <w:p w14:paraId="147373F7" w14:textId="77777777" w:rsidR="00F01F20" w:rsidRPr="00F01F20" w:rsidRDefault="00F01F20" w:rsidP="00F01F20">
      <w:pPr>
        <w:numPr>
          <w:ilvl w:val="0"/>
          <w:numId w:val="6"/>
        </w:numPr>
      </w:pPr>
      <w:r w:rsidRPr="00F01F20">
        <w:t>SOW-examples/ - Templates by acquisition type (IT services, R&amp;D, clinical research, lab support)</w:t>
      </w:r>
    </w:p>
    <w:p w14:paraId="2C3475AA" w14:textId="77777777" w:rsidR="00F01F20" w:rsidRPr="00F01F20" w:rsidRDefault="00F01F20" w:rsidP="00F01F20">
      <w:pPr>
        <w:numPr>
          <w:ilvl w:val="0"/>
          <w:numId w:val="6"/>
        </w:numPr>
      </w:pPr>
      <w:r w:rsidRPr="00F01F20">
        <w:t>technical-templates/ - QASP templates, acceptance criteria frameworks, deliverable specifications</w:t>
      </w:r>
    </w:p>
    <w:p w14:paraId="7392D7AB" w14:textId="77777777" w:rsidR="00F01F20" w:rsidRPr="00F01F20" w:rsidRDefault="00F01F20" w:rsidP="00F01F20">
      <w:pPr>
        <w:numPr>
          <w:ilvl w:val="0"/>
          <w:numId w:val="6"/>
        </w:numPr>
      </w:pPr>
      <w:r w:rsidRPr="00F01F20">
        <w:t>specialized-guidance/ - Agile software contracting (FAR 39.103), AI/ML acquisitions, cloud computing, HPC</w:t>
      </w:r>
    </w:p>
    <w:p w14:paraId="63689DF3" w14:textId="77777777" w:rsidR="00F01F20" w:rsidRPr="00F01F20" w:rsidRDefault="00F01F20" w:rsidP="00F01F20">
      <w:pPr>
        <w:numPr>
          <w:ilvl w:val="0"/>
          <w:numId w:val="6"/>
        </w:numPr>
      </w:pPr>
      <w:r w:rsidRPr="00F01F20">
        <w:t>standards/ - Data standards (HL7, FHIR, CDISC), interoperability requirements</w:t>
      </w:r>
    </w:p>
    <w:p w14:paraId="3F806398" w14:textId="77777777" w:rsidR="00F01F20" w:rsidRPr="00F01F20" w:rsidRDefault="00F01F20" w:rsidP="00F01F20">
      <w:r w:rsidRPr="00F01F20">
        <w:t>7. public-interest-guardian/</w:t>
      </w:r>
    </w:p>
    <w:p w14:paraId="3B79A2C6" w14:textId="77777777" w:rsidR="00F01F20" w:rsidRPr="00F01F20" w:rsidRDefault="00F01F20" w:rsidP="00F01F20">
      <w:r w:rsidRPr="00F01F20">
        <w:t>Ethics, transparency, and accountability:</w:t>
      </w:r>
    </w:p>
    <w:p w14:paraId="446656A1" w14:textId="77777777" w:rsidR="00F01F20" w:rsidRPr="00F01F20" w:rsidRDefault="00F01F20" w:rsidP="00F01F20">
      <w:pPr>
        <w:numPr>
          <w:ilvl w:val="0"/>
          <w:numId w:val="7"/>
        </w:numPr>
      </w:pPr>
      <w:r w:rsidRPr="00F01F20">
        <w:t>OCI-guidance/ - FAR 9.505 organizational conflicts, mitigation strategies, assessment frameworks</w:t>
      </w:r>
    </w:p>
    <w:p w14:paraId="25162A05" w14:textId="77777777" w:rsidR="00F01F20" w:rsidRPr="00F01F20" w:rsidRDefault="00F01F20" w:rsidP="00F01F20">
      <w:pPr>
        <w:numPr>
          <w:ilvl w:val="0"/>
          <w:numId w:val="7"/>
        </w:numPr>
      </w:pPr>
      <w:r w:rsidRPr="00F01F20">
        <w:t xml:space="preserve">ethics-rules/ - </w:t>
      </w:r>
      <w:proofErr w:type="gramStart"/>
      <w:r w:rsidRPr="00F01F20">
        <w:t>Post-employment</w:t>
      </w:r>
      <w:proofErr w:type="gramEnd"/>
      <w:r w:rsidRPr="00F01F20">
        <w:t xml:space="preserve"> restrictions (18 U.S.C. § 207), procurement integrity, recusal guidance</w:t>
      </w:r>
    </w:p>
    <w:p w14:paraId="5E56B8E3" w14:textId="77777777" w:rsidR="00F01F20" w:rsidRPr="00F01F20" w:rsidRDefault="00F01F20" w:rsidP="00F01F20">
      <w:pPr>
        <w:numPr>
          <w:ilvl w:val="0"/>
          <w:numId w:val="7"/>
        </w:numPr>
      </w:pPr>
      <w:r w:rsidRPr="00F01F20">
        <w:t>transparency-standards/ - Documentation requirements for high-visibility acquisitions, public accountability principles</w:t>
      </w:r>
    </w:p>
    <w:p w14:paraId="3FFFC9B6" w14:textId="77777777" w:rsidR="00F01F20" w:rsidRPr="00F01F20" w:rsidRDefault="00F01F20" w:rsidP="00F01F20">
      <w:pPr>
        <w:numPr>
          <w:ilvl w:val="0"/>
          <w:numId w:val="7"/>
        </w:numPr>
      </w:pPr>
      <w:r w:rsidRPr="00F01F20">
        <w:t>oversight-preparation/ - Congressional inquiry response, OIG audit preparation, transparency best practices</w:t>
      </w:r>
    </w:p>
    <w:p w14:paraId="52EA1E83" w14:textId="77777777" w:rsidR="00F01F20" w:rsidRPr="00F01F20" w:rsidRDefault="00F01F20" w:rsidP="00F01F20">
      <w:r w:rsidRPr="00F01F20">
        <w:pict w14:anchorId="30BD436A">
          <v:rect id="_x0000_i1037" style="width:0;height:1.5pt" o:hralign="center" o:hrstd="t" o:hr="t" fillcolor="#a0a0a0" stroked="f"/>
        </w:pict>
      </w:r>
    </w:p>
    <w:p w14:paraId="7AA167CB" w14:textId="77777777" w:rsidR="00F01F20" w:rsidRPr="00F01F20" w:rsidRDefault="00F01F20" w:rsidP="00F01F20">
      <w:r w:rsidRPr="00F01F20">
        <w:t>Key Characteristics of the KB Structure:</w:t>
      </w:r>
    </w:p>
    <w:p w14:paraId="1D17DFA4" w14:textId="77777777" w:rsidR="00F01F20" w:rsidRPr="00F01F20" w:rsidRDefault="00F01F20" w:rsidP="00F01F20">
      <w:r w:rsidRPr="00F01F20">
        <w:t>Role-Aligned Organization: Each folder maps to a specialist role, making retrieval efficient and contextual</w:t>
      </w:r>
    </w:p>
    <w:p w14:paraId="37EB6B06" w14:textId="77777777" w:rsidR="00F01F20" w:rsidRPr="00F01F20" w:rsidRDefault="00F01F20" w:rsidP="00F01F20">
      <w:r w:rsidRPr="00F01F20">
        <w:t>Hierarchical Depth: Primary folders contain 3-5 subfolders with specific topic areas</w:t>
      </w:r>
    </w:p>
    <w:p w14:paraId="5D7593DA" w14:textId="77777777" w:rsidR="00F01F20" w:rsidRPr="00F01F20" w:rsidRDefault="00F01F20" w:rsidP="00F01F20">
      <w:r w:rsidRPr="00F01F20">
        <w:lastRenderedPageBreak/>
        <w:t>Cross-References: Files reference each other (e.g., Legal Counselor case law cites Compliance Strategist FAR guidance)</w:t>
      </w:r>
    </w:p>
    <w:p w14:paraId="02B607C3" w14:textId="77777777" w:rsidR="00F01F20" w:rsidRPr="00F01F20" w:rsidRDefault="00F01F20" w:rsidP="00F01F20">
      <w:r w:rsidRPr="00F01F20">
        <w:t>Template-Rich: Extensive templates and examples rather than just policy text</w:t>
      </w:r>
    </w:p>
    <w:p w14:paraId="1C547718" w14:textId="77777777" w:rsidR="00F01F20" w:rsidRPr="00F01F20" w:rsidRDefault="00F01F20" w:rsidP="00F01F20">
      <w:r w:rsidRPr="00F01F20">
        <w:t>Currency Tracking: Files include effective dates and FAC (Federal Acquisition Circular) references to track regulatory changes</w:t>
      </w:r>
    </w:p>
    <w:p w14:paraId="6F69907C" w14:textId="77777777" w:rsidR="00F01F20" w:rsidRPr="00F01F20" w:rsidRDefault="00F01F20" w:rsidP="00F01F20">
      <w:r w:rsidRPr="00F01F20">
        <w:t>Practical Focus: Emphasis on "how-to" guidance and real-world application, not just regulatory text</w:t>
      </w:r>
    </w:p>
    <w:p w14:paraId="3FD8E1CE" w14:textId="77777777" w:rsidR="00F01F20" w:rsidRPr="00F01F20" w:rsidRDefault="00F01F20" w:rsidP="00F01F20">
      <w:r w:rsidRPr="00F01F20">
        <w:t>Multi-Format: Mix of guidance documents, templates, checklists, case citations, and examples</w:t>
      </w:r>
    </w:p>
    <w:p w14:paraId="7E5B5FF1" w14:textId="77777777" w:rsidR="00F01F20" w:rsidRPr="00F01F20" w:rsidRDefault="00F01F20" w:rsidP="00F01F20">
      <w:r w:rsidRPr="00F01F20">
        <w:pict w14:anchorId="67D0167E">
          <v:rect id="_x0000_i1038" style="width:0;height:1.5pt" o:hralign="center" o:hrstd="t" o:hr="t" fillcolor="#a0a0a0" stroked="f"/>
        </w:pict>
      </w:r>
    </w:p>
    <w:p w14:paraId="127CA507" w14:textId="77777777" w:rsidR="00F01F20" w:rsidRPr="00F01F20" w:rsidRDefault="00F01F20" w:rsidP="00F01F20">
      <w:r w:rsidRPr="00F01F20">
        <w:t>How EAGLE Uses the KB:</w:t>
      </w:r>
    </w:p>
    <w:p w14:paraId="52D3B66A" w14:textId="77777777" w:rsidR="00F01F20" w:rsidRPr="00F01F20" w:rsidRDefault="00F01F20" w:rsidP="00F01F20">
      <w:r w:rsidRPr="00F01F20">
        <w:t xml:space="preserve">KB-First Approach: Every query starts with a search </w:t>
      </w:r>
      <w:proofErr w:type="gramStart"/>
      <w:r w:rsidRPr="00F01F20">
        <w:t>of</w:t>
      </w:r>
      <w:proofErr w:type="gramEnd"/>
      <w:r w:rsidRPr="00F01F20">
        <w:t xml:space="preserve"> relevant domain folders</w:t>
      </w:r>
    </w:p>
    <w:p w14:paraId="1F09D52E" w14:textId="77777777" w:rsidR="00F01F20" w:rsidRPr="00F01F20" w:rsidRDefault="00F01F20" w:rsidP="00F01F20">
      <w:r w:rsidRPr="00F01F20">
        <w:t>Multi-Domain Queries: Complex acquisitions automatically search across multiple specialist domains</w:t>
      </w:r>
    </w:p>
    <w:p w14:paraId="574402ED" w14:textId="77777777" w:rsidR="00F01F20" w:rsidRPr="00F01F20" w:rsidRDefault="00F01F20" w:rsidP="00F01F20">
      <w:r w:rsidRPr="00F01F20">
        <w:t>Context-Aware Retrieval: EAGLE selects appropriate folders based on dollar threshold, acquisition type, and special requirements</w:t>
      </w:r>
    </w:p>
    <w:p w14:paraId="6731274B" w14:textId="77777777" w:rsidR="00F01F20" w:rsidRPr="00F01F20" w:rsidRDefault="00F01F20" w:rsidP="00F01F20">
      <w:r w:rsidRPr="00F01F20">
        <w:t>Template Loading: Automatically loads relevant templates and checklists based on the acquisition scenario</w:t>
      </w:r>
    </w:p>
    <w:p w14:paraId="63BD6958" w14:textId="77777777" w:rsidR="00F01F20" w:rsidRPr="00F01F20" w:rsidRDefault="00F01F20" w:rsidP="00F01F20">
      <w:r w:rsidRPr="00F01F20">
        <w:t>Citation Grounding: All EAGLE recommendations cite specific KB files, FAR sections, or case law from the KB</w:t>
      </w:r>
    </w:p>
    <w:p w14:paraId="747F53E5" w14:textId="77777777" w:rsidR="00F01F20" w:rsidRPr="00F01F20" w:rsidRDefault="00F01F20" w:rsidP="00F01F20">
      <w:r w:rsidRPr="00F01F20">
        <w:t xml:space="preserve">The structure supports EAGLE's ability to provide comprehensive, compliant acquisition guidance by organizing federal acquisition knowledge in a way that mirrors how acquisition professionals </w:t>
      </w:r>
      <w:proofErr w:type="gramStart"/>
      <w:r w:rsidRPr="00F01F20">
        <w:t>actually work</w:t>
      </w:r>
      <w:proofErr w:type="gramEnd"/>
      <w:r w:rsidRPr="00F01F20">
        <w:t xml:space="preserve"> through complex requirements.</w:t>
      </w:r>
    </w:p>
    <w:p w14:paraId="0B0DEAF7" w14:textId="77777777" w:rsidR="00195ABB" w:rsidRDefault="00195ABB"/>
    <w:sectPr w:rsidR="0019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23D"/>
    <w:multiLevelType w:val="multilevel"/>
    <w:tmpl w:val="D3B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2797"/>
    <w:multiLevelType w:val="multilevel"/>
    <w:tmpl w:val="120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01C92"/>
    <w:multiLevelType w:val="multilevel"/>
    <w:tmpl w:val="727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1F4"/>
    <w:multiLevelType w:val="multilevel"/>
    <w:tmpl w:val="708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E733B"/>
    <w:multiLevelType w:val="multilevel"/>
    <w:tmpl w:val="FBF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217DD"/>
    <w:multiLevelType w:val="multilevel"/>
    <w:tmpl w:val="630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63C93"/>
    <w:multiLevelType w:val="multilevel"/>
    <w:tmpl w:val="1022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454726">
    <w:abstractNumId w:val="1"/>
  </w:num>
  <w:num w:numId="2" w16cid:durableId="100609195">
    <w:abstractNumId w:val="2"/>
  </w:num>
  <w:num w:numId="3" w16cid:durableId="683171429">
    <w:abstractNumId w:val="5"/>
  </w:num>
  <w:num w:numId="4" w16cid:durableId="183370934">
    <w:abstractNumId w:val="0"/>
  </w:num>
  <w:num w:numId="5" w16cid:durableId="300426093">
    <w:abstractNumId w:val="6"/>
  </w:num>
  <w:num w:numId="6" w16cid:durableId="826822002">
    <w:abstractNumId w:val="3"/>
  </w:num>
  <w:num w:numId="7" w16cid:durableId="56394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20"/>
    <w:rsid w:val="00181925"/>
    <w:rsid w:val="00195ABB"/>
    <w:rsid w:val="00215251"/>
    <w:rsid w:val="003F7900"/>
    <w:rsid w:val="006A38D0"/>
    <w:rsid w:val="0083612D"/>
    <w:rsid w:val="00F01F20"/>
    <w:rsid w:val="00F9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2ADD"/>
  <w15:chartTrackingRefBased/>
  <w15:docId w15:val="{769D2F6E-55FD-48B1-AFDE-A5FA1811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4055</Characters>
  <Application>Microsoft Office Word</Application>
  <DocSecurity>0</DocSecurity>
  <Lines>33</Lines>
  <Paragraphs>9</Paragraphs>
  <ScaleCrop>false</ScaleCrop>
  <Company>National Cancer Institute</Company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Jitong (NIH/NCI) [C]</dc:creator>
  <cp:keywords/>
  <dc:description/>
  <cp:lastModifiedBy>Li, Jitong (NIH/NCI) [C]</cp:lastModifiedBy>
  <cp:revision>1</cp:revision>
  <dcterms:created xsi:type="dcterms:W3CDTF">2026-02-06T03:22:00Z</dcterms:created>
  <dcterms:modified xsi:type="dcterms:W3CDTF">2026-02-06T03:23:00Z</dcterms:modified>
</cp:coreProperties>
</file>