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26"/>
          <w:szCs w:val="26"/>
        </w:rPr>
        <w:t xml:space="preserve">COMPILADORES</w:t>
      </w:r>
    </w:p>
    <w:p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 xml:space="preserve">Códigos dos casos de teste</w:t>
      </w:r>
    </w:p>
    <w:p>
      <w:pPr>
        <w:spacing w:after="280"/>
        <w:jc w:val="center"/>
      </w:pPr>
      <w:r>
        <w:rPr>
          <w:i/>
          <w:iCs/>
          <w:color w:val="555555"/>
          <w:sz w:val="23"/>
          <w:szCs w:val="23"/>
        </w:rPr>
        <w:t xml:space="preserve">Entradas para execução ou simulação</w:t>
      </w:r>
    </w:p>
    <w:p>
      <w:pPr>
        <w:pStyle w:val="Heading1"/>
      </w:pPr>
      <w:r>
        <w:t xml:space="preserve">Códigos dos casos de teste</w:t>
      </w:r>
    </w:p>
    <w:p>
      <w:pPr>
        <w:spacing w:after="100" w:line="270"/>
      </w:pPr>
      <w:r>
        <w:t xml:space="preserve">Os trechos abaixo são pequenos casos de entrada. O estudante pode implementá-los em seu parser ou usá-los para rastreamento manual.</w:t>
      </w:r>
    </w:p>
    <w:p>
      <w:pPr>
        <w:pStyle w:val="Heading1"/>
      </w:pPr>
      <w:r>
        <w:t xml:space="preserve">Exercício 1 — Da especificação léxica à gramática sintática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num * id</w:t>
      </w:r>
    </w:p>
    <w:p>
      <w:pPr>
        <w:spacing w:after="100" w:line="270"/>
      </w:pPr>
      <w:r>
        <w:t xml:space="preserve">Convenção: id representa identificador; num representa literal inteiro; $ representa fim de entrada.</w:t>
      </w:r>
    </w:p>
    <w:p>
      <w:pPr>
        <w:pStyle w:val="Heading1"/>
      </w:pPr>
      <w:r>
        <w:t xml:space="preserve">Exercício 2 — Eliminação de recursão à esquerda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id * id</w:t>
      </w:r>
    </w:p>
    <w:p>
      <w:pPr>
        <w:spacing w:after="100" w:line="270"/>
      </w:pPr>
      <w:r>
        <w:t xml:space="preserve">Convenção: id representa identificador; num representa literal inteiro; $ representa fim de entrada.</w:t>
      </w:r>
    </w:p>
    <w:p>
      <w:pPr>
        <w:pStyle w:val="Heading1"/>
      </w:pPr>
      <w:r>
        <w:t xml:space="preserve">Exercício 3 — Construção de AST para comandos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x = 4; if (x) y = x + 1;</w:t>
      </w:r>
    </w:p>
    <w:p>
      <w:pPr>
        <w:spacing w:after="100" w:line="270"/>
      </w:pPr>
      <w:r>
        <w:t xml:space="preserve">Convenção: id representa identificador; num representa literal inteiro; $ representa fim de entrada.</w:t>
      </w:r>
    </w:p>
    <w:p>
      <w:pPr>
        <w:pStyle w:val="Heading1"/>
      </w:pPr>
      <w:r>
        <w:t xml:space="preserve">Exercício 4 — Escolha de produção com FIRST e FOLLOW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id + id * id $</w:t>
      </w:r>
    </w:p>
    <w:p>
      <w:pPr>
        <w:spacing w:after="100" w:line="270"/>
      </w:pPr>
      <w:r>
        <w:t xml:space="preserve">Convenção: id representa identificador; num representa literal inteiro; $ representa fim de entrada.</w:t>
      </w:r>
    </w:p>
    <w:p>
      <w:pPr>
        <w:pStyle w:val="Heading1"/>
      </w:pPr>
      <w:r>
        <w:t xml:space="preserve">Exercício 5 — Diagnóstico de estratégia sintática</w:t>
      </w:r>
    </w:p>
    <w:p>
      <w:pPr>
        <w:shd w:fill="F4F6F7" w:val="clear"/>
        <w:spacing w:after="100" w:before="60"/>
        <w:ind w:left="180" w:right="180"/>
      </w:pPr>
      <w:r>
        <w:rPr>
          <w:rFonts w:ascii="Courier New" w:cs="Courier New" w:eastAsia="Courier New" w:hAnsi="Courier New"/>
          <w:sz w:val="18"/>
          <w:szCs w:val="18"/>
        </w:rPr>
        <w:t xml:space="preserve">a a b b</w:t>
      </w:r>
    </w:p>
    <w:p>
      <w:pPr>
        <w:spacing w:after="100" w:line="270"/>
      </w:pPr>
      <w:r>
        <w:t xml:space="preserve">Convenção: id representa identificador; num representa literal inteiro; $ representa fim de entrada.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Compiladores — Atividades práticas |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2026-09-02T01:49:39.677Z</dcterms:created>
  <dcterms:modified xsi:type="dcterms:W3CDTF">2026-09-02T01:49:39.677Z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