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9"/>
          <w:sz w:val="26"/>
          <w:szCs w:val="26"/>
        </w:rPr>
        <w:t xml:space="preserve">COMPILADORES</w:t>
      </w:r>
    </w:p>
    <w:p>
      <w:pPr>
        <w:spacing w:after="80"/>
        <w:jc w:val="center"/>
      </w:pPr>
      <w:r>
        <w:rPr>
          <w:b/>
          <w:bCs/>
          <w:color w:val="1F4E79"/>
          <w:sz w:val="38"/>
          <w:szCs w:val="38"/>
        </w:rPr>
        <w:t xml:space="preserve">Gabarito orientativo</w:t>
      </w:r>
    </w:p>
    <w:p>
      <w:pPr>
        <w:spacing w:after="280"/>
        <w:jc w:val="center"/>
      </w:pPr>
      <w:r>
        <w:rPr>
          <w:i/>
          <w:iCs/>
          <w:color w:val="555555"/>
          <w:sz w:val="23"/>
          <w:szCs w:val="23"/>
        </w:rPr>
        <w:t xml:space="preserve">Respostas de referência e critérios de correção</w:t>
      </w:r>
    </w:p>
    <w:p>
      <w:pPr>
        <w:pStyle w:val="Heading1"/>
      </w:pPr>
      <w:r>
        <w:t xml:space="preserve">Gabarito orientativo</w:t>
      </w:r>
    </w:p>
    <w:p>
      <w:pPr>
        <w:spacing w:after="100" w:line="270"/>
      </w:pPr>
      <w:r>
        <w:t xml:space="preserve">As respostas abaixo são uma referência de correção. Outras soluções equivalentes podem ser aceitas quando preservarem a linguagem, a precedência e a estrutura semântica.</w:t>
      </w:r>
    </w:p>
    <w:p>
      <w:pPr>
        <w:pStyle w:val="Heading1"/>
      </w:pPr>
      <w:r>
        <w:t xml:space="preserve">Exercício 1</w:t>
      </w:r>
    </w:p>
    <w:p>
      <w:pPr>
        <w:shd w:fill="F4F6F7" w:val="clear"/>
        <w:spacing w:after="100" w:before="60"/>
        <w:ind w:left="180" w:right="180"/>
      </w:pPr>
      <w:r>
        <w:rPr>
          <w:rFonts w:ascii="Courier New" w:cs="Courier New" w:eastAsia="Courier New" w:hAnsi="Courier New"/>
          <w:sz w:val="18"/>
          <w:szCs w:val="18"/>
        </w:rPr>
        <w:t xml:space="preserve">E  → T E’
E’ → + T E’ | ε
T  → F T’
T’ → * F T’ | ε
F  → id | num | ( E )</w:t>
      </w:r>
    </w:p>
    <w:p>
      <w:pPr>
        <w:spacing w:after="100" w:line="270"/>
      </w:pPr>
      <w:r>
        <w:t xml:space="preserve">A análise descendente escolhe E→TE’, T→FT’ e F→id para o primeiro id; após +, escolhe novamente T→FT’; após *, T’→*FT’. A AST é +(id, *(num, id)) conforme a associação dos operadores.</w:t>
      </w:r>
    </w:p>
    <w:p>
      <w:pPr>
        <w:pStyle w:val="Heading1"/>
      </w:pPr>
      <w:r>
        <w:t xml:space="preserve">Exercício 2</w:t>
      </w:r>
    </w:p>
    <w:p>
      <w:pPr>
        <w:spacing w:after="100" w:line="270"/>
      </w:pPr>
      <w:r>
        <w:t xml:space="preserve">A transformação apresentada no Exercício 1 elimina a recursão à esquerda por meio dos não terminais auxiliares E’ e T’. A separação entre E e T preserva + com menor precedência que *.</w:t>
      </w:r>
    </w:p>
    <w:p>
      <w:pPr>
        <w:pStyle w:val="Heading1"/>
      </w:pPr>
      <w:r>
        <w:t xml:space="preserve">Exercício 3</w:t>
      </w:r>
    </w:p>
    <w:p>
      <w:pPr>
        <w:spacing w:after="100" w:line="270"/>
      </w:pPr>
      <w:r>
        <w:t xml:space="preserve">Uma AST possível é: Assign(Var(x), Int(4)); If(Var(x), Assign(Var(y), Add(Var(x), Int(1))), Empty). Os símbolos de pontuação podem ser consumidos pelo parser sem virar nós.</w:t>
      </w:r>
    </w:p>
    <w:p>
      <w:pPr>
        <w:pStyle w:val="Heading1"/>
      </w:pPr>
      <w:r>
        <w:t xml:space="preserve">Exercício 4</w:t>
      </w:r>
    </w:p>
    <w:p>
      <w:pPr>
        <w:spacing w:after="100" w:line="270"/>
      </w:pPr>
      <w:r>
        <w:t xml:space="preserve">FIRST(F)={id,num,(}; FIRST(T’)={*, ε}; FIRST(T)={id,num,(}; FIRST(E’)={+, ε}; FIRST(E)={id,num,(}. FOLLOW(E)={),$}; FOLLOW(E’)={),$}; FOLLOW(T)={+,),$}; FOLLOW(T’)={+,),$}; FOLLOW(F)={*,+,),$}. A tabela é determinística para a gramática.</w:t>
      </w:r>
    </w:p>
    <w:p>
      <w:pPr>
        <w:pStyle w:val="Heading1"/>
      </w:pPr>
      <w:r>
        <w:t xml:space="preserve">Exercício 5</w:t>
      </w:r>
    </w:p>
    <w:p>
      <w:pPr>
        <w:spacing w:after="100" w:line="270"/>
      </w:pPr>
      <w:r>
        <w:t xml:space="preserve">A gramática reconhece blocos aninhados de a’s seguidos de b’s. Para a a b b: S⇒aSb⇒aaSbb⇒aabb, usando S⇒ab no caso interno. Uma implementação descendente direta precisa controlar a expansão; uma abordagem ascendente pode realizar reduções até S.</w:t>
      </w:r>
    </w:p>
    <w:p>
      <w:pPr>
        <w:pStyle w:val="Heading1"/>
      </w:pPr>
      <w:r>
        <w:t xml:space="preserve">Nota de correção</w:t>
      </w:r>
    </w:p>
    <w:p>
      <w:pPr>
        <w:spacing w:after="100" w:line="270"/>
      </w:pPr>
      <w:r>
        <w:t xml:space="preserve">Valorize mais a justificativa e a coerência entre gramática, estratégia, rastreamento e AST do que a adoção literal de uma notação única.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Compiladores — Atividades práticas | Página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2026-09-02T01:49:39.686Z</dcterms:created>
  <dcterms:modified xsi:type="dcterms:W3CDTF">2026-09-02T01:49:39.686Z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