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4C3C" w14:textId="77777777" w:rsidR="00401043" w:rsidRDefault="00E305A5" w:rsidP="00401043">
      <w:pPr>
        <w:spacing w:after="0"/>
        <w:rPr>
          <w:b/>
          <w:bCs/>
          <w:sz w:val="28"/>
          <w:szCs w:val="28"/>
        </w:rPr>
      </w:pPr>
      <w:bookmarkStart w:id="0" w:name="_Hlk128401765"/>
      <w:bookmarkEnd w:id="0"/>
      <w:r w:rsidRPr="00BD647B">
        <w:rPr>
          <w:b/>
          <w:bCs/>
          <w:sz w:val="28"/>
          <w:szCs w:val="28"/>
        </w:rPr>
        <w:t xml:space="preserve">Crowdfunding Campaigns – </w:t>
      </w:r>
    </w:p>
    <w:p w14:paraId="4405F968" w14:textId="7CB230C7" w:rsidR="00701554" w:rsidRPr="00BD647B" w:rsidRDefault="00E305A5" w:rsidP="00701554">
      <w:pPr>
        <w:rPr>
          <w:b/>
          <w:bCs/>
          <w:sz w:val="28"/>
          <w:szCs w:val="28"/>
        </w:rPr>
      </w:pPr>
      <w:r w:rsidRPr="00BD647B">
        <w:rPr>
          <w:b/>
          <w:bCs/>
          <w:sz w:val="28"/>
          <w:szCs w:val="28"/>
        </w:rPr>
        <w:t xml:space="preserve">Are they just </w:t>
      </w:r>
      <w:r w:rsidR="00C13BDF">
        <w:rPr>
          <w:b/>
          <w:bCs/>
          <w:sz w:val="28"/>
          <w:szCs w:val="28"/>
        </w:rPr>
        <w:t xml:space="preserve">a </w:t>
      </w:r>
      <w:r w:rsidRPr="00BD647B">
        <w:rPr>
          <w:b/>
          <w:bCs/>
          <w:sz w:val="28"/>
          <w:szCs w:val="28"/>
        </w:rPr>
        <w:t xml:space="preserve">“fad du jour”? </w:t>
      </w:r>
      <w:r w:rsidR="00BD647B" w:rsidRPr="00BD647B">
        <w:rPr>
          <w:b/>
          <w:bCs/>
          <w:sz w:val="28"/>
          <w:szCs w:val="28"/>
        </w:rPr>
        <w:t xml:space="preserve"> I</w:t>
      </w:r>
      <w:r w:rsidR="00BD647B">
        <w:rPr>
          <w:b/>
          <w:bCs/>
          <w:sz w:val="28"/>
          <w:szCs w:val="28"/>
        </w:rPr>
        <w:t>f</w:t>
      </w:r>
      <w:r w:rsidR="00BD647B" w:rsidRPr="00BD647B">
        <w:rPr>
          <w:b/>
          <w:bCs/>
          <w:sz w:val="28"/>
          <w:szCs w:val="28"/>
        </w:rPr>
        <w:t xml:space="preserve"> not, when do they deliver on their goal</w:t>
      </w:r>
      <w:r w:rsidR="00394995">
        <w:rPr>
          <w:b/>
          <w:bCs/>
          <w:sz w:val="28"/>
          <w:szCs w:val="28"/>
        </w:rPr>
        <w:t>s</w:t>
      </w:r>
      <w:r w:rsidR="00BD647B" w:rsidRPr="00BD647B">
        <w:rPr>
          <w:b/>
          <w:bCs/>
          <w:sz w:val="28"/>
          <w:szCs w:val="28"/>
        </w:rPr>
        <w:t>?</w:t>
      </w:r>
    </w:p>
    <w:p w14:paraId="42C3B89A" w14:textId="3D79DEC9" w:rsidR="00701554" w:rsidRDefault="00701554" w:rsidP="00701554">
      <w:pPr>
        <w:rPr>
          <w:b/>
          <w:bCs/>
          <w:u w:val="single"/>
        </w:rPr>
      </w:pPr>
      <w:r w:rsidRPr="00701554">
        <w:rPr>
          <w:b/>
          <w:bCs/>
          <w:u w:val="single"/>
        </w:rPr>
        <w:t>Executive Summary of Insights:</w:t>
      </w:r>
    </w:p>
    <w:p w14:paraId="07649EB6" w14:textId="3094E72B" w:rsidR="00701554" w:rsidRPr="00735971" w:rsidRDefault="00701554" w:rsidP="00735971">
      <w:pPr>
        <w:pStyle w:val="ListParagraph"/>
        <w:numPr>
          <w:ilvl w:val="0"/>
          <w:numId w:val="1"/>
        </w:numPr>
        <w:ind w:left="360"/>
        <w:rPr>
          <w:b/>
          <w:bCs/>
          <w:u w:val="single"/>
        </w:rPr>
      </w:pPr>
      <w:r>
        <w:t xml:space="preserve">The </w:t>
      </w:r>
      <w:r w:rsidR="00735971">
        <w:t xml:space="preserve">sample </w:t>
      </w:r>
      <w:r>
        <w:t xml:space="preserve">data of 1000 Crowdfunding </w:t>
      </w:r>
      <w:r w:rsidR="00735971">
        <w:t>Campaigns is dominated by the US market campaigns, which represents 76.3% of the data.</w:t>
      </w:r>
    </w:p>
    <w:p w14:paraId="2581A22D" w14:textId="5212CB23" w:rsidR="00735971" w:rsidRDefault="00735971" w:rsidP="00BD647B">
      <w:pPr>
        <w:pStyle w:val="ListParagraph"/>
        <w:jc w:val="center"/>
        <w:rPr>
          <w:b/>
          <w:bCs/>
          <w:u w:val="single"/>
        </w:rPr>
      </w:pPr>
      <w:r w:rsidRPr="00735971">
        <w:rPr>
          <w:noProof/>
        </w:rPr>
        <w:drawing>
          <wp:inline distT="0" distB="0" distL="0" distR="0" wp14:anchorId="39C79B16" wp14:editId="41EE5D0B">
            <wp:extent cx="3552825" cy="196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4008" cy="1983644"/>
                    </a:xfrm>
                    <a:prstGeom prst="rect">
                      <a:avLst/>
                    </a:prstGeom>
                    <a:noFill/>
                    <a:ln>
                      <a:noFill/>
                    </a:ln>
                  </pic:spPr>
                </pic:pic>
              </a:graphicData>
            </a:graphic>
          </wp:inline>
        </w:drawing>
      </w:r>
    </w:p>
    <w:p w14:paraId="3607E50B" w14:textId="77777777" w:rsidR="00735971" w:rsidRPr="00701554" w:rsidRDefault="00735971" w:rsidP="00735971">
      <w:pPr>
        <w:pStyle w:val="ListParagraph"/>
        <w:jc w:val="center"/>
        <w:rPr>
          <w:b/>
          <w:bCs/>
          <w:u w:val="single"/>
        </w:rPr>
      </w:pPr>
    </w:p>
    <w:p w14:paraId="77700A87" w14:textId="75E3BB77" w:rsidR="00D93678" w:rsidRPr="00C13BDF" w:rsidRDefault="00735971" w:rsidP="00BD647B">
      <w:pPr>
        <w:pStyle w:val="ListParagraph"/>
        <w:numPr>
          <w:ilvl w:val="0"/>
          <w:numId w:val="1"/>
        </w:numPr>
        <w:ind w:left="360"/>
        <w:rPr>
          <w:b/>
          <w:bCs/>
          <w:i/>
          <w:iCs/>
          <w:u w:val="single"/>
        </w:rPr>
      </w:pPr>
      <w:r>
        <w:t xml:space="preserve">Regardless of country, the top 3 types of </w:t>
      </w:r>
      <w:r w:rsidR="00C13BDF">
        <w:t>c</w:t>
      </w:r>
      <w:r>
        <w:t xml:space="preserve">rowdfunding </w:t>
      </w:r>
      <w:r w:rsidR="00E305A5">
        <w:t xml:space="preserve">categories </w:t>
      </w:r>
      <w:r>
        <w:t>are for Theater</w:t>
      </w:r>
      <w:r w:rsidR="00D93678">
        <w:t xml:space="preserve"> (specifically </w:t>
      </w:r>
      <w:r w:rsidR="00C13BDF" w:rsidRPr="00C13BDF">
        <w:rPr>
          <w:i/>
          <w:iCs/>
        </w:rPr>
        <w:t>P</w:t>
      </w:r>
      <w:r w:rsidR="00D93678" w:rsidRPr="00C13BDF">
        <w:rPr>
          <w:i/>
          <w:iCs/>
        </w:rPr>
        <w:t>lays</w:t>
      </w:r>
      <w:r w:rsidR="00D93678">
        <w:t xml:space="preserve"> at 34.4% of total campaigns)</w:t>
      </w:r>
      <w:r>
        <w:t xml:space="preserve">, Film &amp; Video, and Music campaigns.  In Australia, Technology campaigns surpass </w:t>
      </w:r>
      <w:r w:rsidR="00E305A5">
        <w:t xml:space="preserve">Music campaigns; however, one needs to be cautious in making conclusions given that the total number of campaigns are small in general in Australia (a total of 43 out of 1000).  </w:t>
      </w:r>
      <w:r w:rsidR="00E305A5" w:rsidRPr="00E305A5">
        <w:rPr>
          <w:i/>
          <w:iCs/>
        </w:rPr>
        <w:t>Please refer to the enclosed spreadsheet, Outcome Type by Category tab, and fi</w:t>
      </w:r>
      <w:r w:rsidR="00E10E57">
        <w:rPr>
          <w:i/>
          <w:iCs/>
        </w:rPr>
        <w:t>l</w:t>
      </w:r>
      <w:r w:rsidR="00E305A5" w:rsidRPr="00E305A5">
        <w:rPr>
          <w:i/>
          <w:iCs/>
        </w:rPr>
        <w:t>ter on Country, selecting AU.</w:t>
      </w:r>
    </w:p>
    <w:p w14:paraId="3C9BAA0F" w14:textId="77777777" w:rsidR="00C13BDF" w:rsidRPr="00D93678" w:rsidRDefault="00C13BDF" w:rsidP="00C13BDF">
      <w:pPr>
        <w:pStyle w:val="ListParagraph"/>
        <w:ind w:left="360"/>
        <w:rPr>
          <w:b/>
          <w:bCs/>
          <w:i/>
          <w:iCs/>
          <w:u w:val="single"/>
        </w:rPr>
      </w:pPr>
    </w:p>
    <w:p w14:paraId="469420DD" w14:textId="4B091384" w:rsidR="00BD647B" w:rsidRDefault="00D93678" w:rsidP="00344696">
      <w:pPr>
        <w:pStyle w:val="ListParagraph"/>
        <w:ind w:left="0"/>
        <w:rPr>
          <w:b/>
          <w:bCs/>
          <w:noProof/>
          <w:u w:val="single"/>
        </w:rPr>
      </w:pPr>
      <w:r w:rsidRPr="00D93678">
        <w:rPr>
          <w:b/>
          <w:bCs/>
          <w:noProof/>
          <w:u w:val="single"/>
        </w:rPr>
        <w:t xml:space="preserve"> </w:t>
      </w:r>
      <w:r>
        <w:rPr>
          <w:b/>
          <w:bCs/>
          <w:noProof/>
          <w:u w:val="single"/>
        </w:rPr>
        <w:drawing>
          <wp:inline distT="0" distB="0" distL="0" distR="0" wp14:anchorId="0AE3CD95" wp14:editId="65889BFA">
            <wp:extent cx="3152775" cy="2363283"/>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5978" cy="2373180"/>
                    </a:xfrm>
                    <a:prstGeom prst="rect">
                      <a:avLst/>
                    </a:prstGeom>
                    <a:noFill/>
                  </pic:spPr>
                </pic:pic>
              </a:graphicData>
            </a:graphic>
          </wp:inline>
        </w:drawing>
      </w:r>
      <w:r w:rsidR="00BD647B">
        <w:rPr>
          <w:b/>
          <w:bCs/>
          <w:noProof/>
          <w:u w:val="single"/>
        </w:rPr>
        <w:drawing>
          <wp:inline distT="0" distB="0" distL="0" distR="0" wp14:anchorId="22AA18AE" wp14:editId="1FF7AD9D">
            <wp:extent cx="3580079" cy="2353268"/>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099" cy="2399951"/>
                    </a:xfrm>
                    <a:prstGeom prst="rect">
                      <a:avLst/>
                    </a:prstGeom>
                    <a:noFill/>
                  </pic:spPr>
                </pic:pic>
              </a:graphicData>
            </a:graphic>
          </wp:inline>
        </w:drawing>
      </w:r>
    </w:p>
    <w:p w14:paraId="363E820D" w14:textId="170FF10F" w:rsidR="00E10E57" w:rsidRDefault="00E10E57" w:rsidP="00D93678">
      <w:pPr>
        <w:pStyle w:val="ListParagraph"/>
        <w:ind w:left="360"/>
        <w:rPr>
          <w:b/>
          <w:bCs/>
          <w:noProof/>
          <w:u w:val="single"/>
        </w:rPr>
      </w:pPr>
    </w:p>
    <w:p w14:paraId="599F991A" w14:textId="5AC14D51" w:rsidR="00E10E57" w:rsidRDefault="00E10E57" w:rsidP="00D93678">
      <w:pPr>
        <w:pStyle w:val="ListParagraph"/>
        <w:ind w:left="360"/>
        <w:rPr>
          <w:b/>
          <w:bCs/>
          <w:noProof/>
          <w:u w:val="single"/>
        </w:rPr>
      </w:pPr>
    </w:p>
    <w:p w14:paraId="44BFF238" w14:textId="12BC275D" w:rsidR="00E10E57" w:rsidRDefault="00E10E57" w:rsidP="00D93678">
      <w:pPr>
        <w:pStyle w:val="ListParagraph"/>
        <w:ind w:left="360"/>
        <w:rPr>
          <w:b/>
          <w:bCs/>
          <w:noProof/>
          <w:u w:val="single"/>
        </w:rPr>
      </w:pPr>
    </w:p>
    <w:p w14:paraId="573EC62B" w14:textId="1E453FFB" w:rsidR="00E10E57" w:rsidRDefault="00E10E57" w:rsidP="00D93678">
      <w:pPr>
        <w:pStyle w:val="ListParagraph"/>
        <w:ind w:left="360"/>
        <w:rPr>
          <w:b/>
          <w:bCs/>
          <w:noProof/>
          <w:u w:val="single"/>
        </w:rPr>
      </w:pPr>
    </w:p>
    <w:p w14:paraId="61B44A49" w14:textId="5C92C502" w:rsidR="00E10E57" w:rsidRDefault="00E10E57" w:rsidP="00D93678">
      <w:pPr>
        <w:pStyle w:val="ListParagraph"/>
        <w:ind w:left="360"/>
        <w:rPr>
          <w:b/>
          <w:bCs/>
          <w:noProof/>
          <w:u w:val="single"/>
        </w:rPr>
      </w:pPr>
    </w:p>
    <w:p w14:paraId="059CCC8D" w14:textId="2E56B9F7" w:rsidR="00E10E57" w:rsidRDefault="00E10E57" w:rsidP="00D93678">
      <w:pPr>
        <w:pStyle w:val="ListParagraph"/>
        <w:ind w:left="360"/>
        <w:rPr>
          <w:b/>
          <w:bCs/>
          <w:noProof/>
          <w:u w:val="single"/>
        </w:rPr>
      </w:pPr>
    </w:p>
    <w:p w14:paraId="50291498" w14:textId="5307D938" w:rsidR="00344696" w:rsidRDefault="00344696" w:rsidP="00D93678">
      <w:pPr>
        <w:pStyle w:val="ListParagraph"/>
        <w:ind w:left="360"/>
        <w:rPr>
          <w:b/>
          <w:bCs/>
          <w:noProof/>
          <w:u w:val="single"/>
        </w:rPr>
      </w:pPr>
    </w:p>
    <w:p w14:paraId="6F25168D" w14:textId="7CDF1DEC" w:rsidR="00344696" w:rsidRDefault="00344696" w:rsidP="00D93678">
      <w:pPr>
        <w:pStyle w:val="ListParagraph"/>
        <w:ind w:left="360"/>
        <w:rPr>
          <w:b/>
          <w:bCs/>
          <w:noProof/>
          <w:u w:val="single"/>
        </w:rPr>
      </w:pPr>
    </w:p>
    <w:p w14:paraId="168BECEF" w14:textId="110D4C97" w:rsidR="00344696" w:rsidRDefault="00344696" w:rsidP="00D93678">
      <w:pPr>
        <w:pStyle w:val="ListParagraph"/>
        <w:ind w:left="360"/>
        <w:rPr>
          <w:b/>
          <w:bCs/>
          <w:noProof/>
          <w:u w:val="single"/>
        </w:rPr>
      </w:pPr>
    </w:p>
    <w:p w14:paraId="4640066F" w14:textId="77777777" w:rsidR="00344696" w:rsidRDefault="00344696" w:rsidP="00D93678">
      <w:pPr>
        <w:pStyle w:val="ListParagraph"/>
        <w:ind w:left="360"/>
        <w:rPr>
          <w:b/>
          <w:bCs/>
          <w:noProof/>
          <w:u w:val="single"/>
        </w:rPr>
      </w:pPr>
    </w:p>
    <w:p w14:paraId="58998C1B" w14:textId="15A0D249" w:rsidR="00E10E57" w:rsidRDefault="00E10E57" w:rsidP="00D93678">
      <w:pPr>
        <w:pStyle w:val="ListParagraph"/>
        <w:ind w:left="360"/>
        <w:rPr>
          <w:b/>
          <w:bCs/>
          <w:noProof/>
          <w:u w:val="single"/>
        </w:rPr>
      </w:pPr>
    </w:p>
    <w:p w14:paraId="6777E379" w14:textId="716817FE" w:rsidR="00C13BDF" w:rsidRPr="00C13BDF" w:rsidRDefault="00AD70A5" w:rsidP="001F592A">
      <w:pPr>
        <w:pStyle w:val="ListParagraph"/>
        <w:numPr>
          <w:ilvl w:val="0"/>
          <w:numId w:val="1"/>
        </w:numPr>
        <w:ind w:left="360"/>
        <w:rPr>
          <w:b/>
          <w:bCs/>
          <w:i/>
          <w:iCs/>
          <w:u w:val="single"/>
        </w:rPr>
      </w:pPr>
      <w:r>
        <w:lastRenderedPageBreak/>
        <w:t xml:space="preserve">In general, </w:t>
      </w:r>
      <w:r w:rsidR="00C13BDF">
        <w:t>c</w:t>
      </w:r>
      <w:r>
        <w:t xml:space="preserve">rowdfunding campaigns are most successful in the months of June and July, and least successful in August (reflects the lowest number of successful campaigns and second highest number of failed campaigns).  However, that trend does not hold for all the years from 2010-2020.  For example, in 2011, </w:t>
      </w:r>
      <w:r w:rsidR="001F592A">
        <w:t xml:space="preserve">April is the worst month for Crowdfunding campaigns.  </w:t>
      </w:r>
      <w:r w:rsidR="00C13BDF" w:rsidRPr="00C13BDF">
        <w:rPr>
          <w:i/>
          <w:iCs/>
        </w:rPr>
        <w:t xml:space="preserve">One needs to be cautious in making conclusions given that the total number of campaigns </w:t>
      </w:r>
      <w:proofErr w:type="gramStart"/>
      <w:r w:rsidR="00C13BDF" w:rsidRPr="00C13BDF">
        <w:rPr>
          <w:i/>
          <w:iCs/>
        </w:rPr>
        <w:t>are</w:t>
      </w:r>
      <w:proofErr w:type="gramEnd"/>
      <w:r w:rsidR="00C13BDF" w:rsidRPr="00C13BDF">
        <w:rPr>
          <w:i/>
          <w:iCs/>
        </w:rPr>
        <w:t xml:space="preserve"> small </w:t>
      </w:r>
      <w:r w:rsidR="00C13BDF">
        <w:rPr>
          <w:i/>
          <w:iCs/>
        </w:rPr>
        <w:t xml:space="preserve">within each year, approximately 100 campaigns per year (only 2 </w:t>
      </w:r>
      <w:r w:rsidR="00211BCA">
        <w:rPr>
          <w:i/>
          <w:iCs/>
        </w:rPr>
        <w:t xml:space="preserve">total campaigns </w:t>
      </w:r>
      <w:r w:rsidR="00C13BDF">
        <w:rPr>
          <w:i/>
          <w:iCs/>
        </w:rPr>
        <w:t>in 2020).</w:t>
      </w:r>
      <w:r w:rsidR="00C13BDF">
        <w:t xml:space="preserve">  </w:t>
      </w:r>
    </w:p>
    <w:p w14:paraId="33ED2ADA" w14:textId="77777777" w:rsidR="00C13BDF" w:rsidRPr="00C13BDF" w:rsidRDefault="00C13BDF" w:rsidP="00C13BDF">
      <w:pPr>
        <w:pStyle w:val="ListParagraph"/>
        <w:ind w:left="360"/>
        <w:rPr>
          <w:b/>
          <w:bCs/>
          <w:i/>
          <w:iCs/>
          <w:u w:val="single"/>
        </w:rPr>
      </w:pPr>
    </w:p>
    <w:p w14:paraId="2FFD4D5D" w14:textId="2C91BC65" w:rsidR="00C13BDF" w:rsidRDefault="00C13BDF" w:rsidP="00C13BDF">
      <w:pPr>
        <w:pStyle w:val="ListParagraph"/>
        <w:ind w:left="360"/>
        <w:jc w:val="center"/>
        <w:rPr>
          <w:b/>
          <w:bCs/>
          <w:i/>
          <w:iCs/>
          <w:u w:val="single"/>
        </w:rPr>
      </w:pPr>
      <w:r>
        <w:rPr>
          <w:b/>
          <w:bCs/>
          <w:noProof/>
          <w:u w:val="single"/>
        </w:rPr>
        <w:drawing>
          <wp:inline distT="0" distB="0" distL="0" distR="0" wp14:anchorId="0D08D234" wp14:editId="3153C4B5">
            <wp:extent cx="5015865" cy="3141137"/>
            <wp:effectExtent l="0" t="0" r="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443" cy="3154024"/>
                    </a:xfrm>
                    <a:prstGeom prst="rect">
                      <a:avLst/>
                    </a:prstGeom>
                    <a:noFill/>
                  </pic:spPr>
                </pic:pic>
              </a:graphicData>
            </a:graphic>
          </wp:inline>
        </w:drawing>
      </w:r>
    </w:p>
    <w:p w14:paraId="6DF5484E" w14:textId="77777777" w:rsidR="00C13BDF" w:rsidRPr="00C13BDF" w:rsidRDefault="00C13BDF" w:rsidP="00C13BDF">
      <w:pPr>
        <w:pStyle w:val="ListParagraph"/>
        <w:ind w:left="360"/>
        <w:jc w:val="center"/>
        <w:rPr>
          <w:b/>
          <w:bCs/>
          <w:i/>
          <w:iCs/>
          <w:u w:val="single"/>
        </w:rPr>
      </w:pPr>
    </w:p>
    <w:p w14:paraId="7EE728E9" w14:textId="4674F718" w:rsidR="00E10E57" w:rsidRPr="00AA378B" w:rsidRDefault="001F592A" w:rsidP="00AA378B">
      <w:pPr>
        <w:pStyle w:val="ListParagraph"/>
        <w:numPr>
          <w:ilvl w:val="0"/>
          <w:numId w:val="1"/>
        </w:numPr>
        <w:ind w:left="360"/>
        <w:rPr>
          <w:b/>
          <w:bCs/>
          <w:i/>
          <w:iCs/>
          <w:u w:val="single"/>
        </w:rPr>
      </w:pPr>
      <w:r>
        <w:t xml:space="preserve">Furthermore, depending on the category of crowdfunding, certain months </w:t>
      </w:r>
      <w:r w:rsidR="00C13BDF">
        <w:t>wer</w:t>
      </w:r>
      <w:r>
        <w:t xml:space="preserve">e better than others for conducting a successful campaign.  For example, for funding music projects the months of July, November and December </w:t>
      </w:r>
      <w:r w:rsidR="00C13BDF">
        <w:t>we</w:t>
      </w:r>
      <w:r>
        <w:t>re better months</w:t>
      </w:r>
      <w:r w:rsidR="00C13BDF">
        <w:t xml:space="preserve"> for a successful campaign</w:t>
      </w:r>
      <w:r w:rsidR="00211BCA">
        <w:t xml:space="preserve"> outcome</w:t>
      </w:r>
      <w:r>
        <w:t xml:space="preserve">.  That observation could be </w:t>
      </w:r>
      <w:r w:rsidR="001521F2">
        <w:t>a resulting</w:t>
      </w:r>
      <w:r>
        <w:t xml:space="preserve"> outcome of the Holiday Season (4</w:t>
      </w:r>
      <w:r w:rsidRPr="00C13BDF">
        <w:rPr>
          <w:vertAlign w:val="superscript"/>
        </w:rPr>
        <w:t>th</w:t>
      </w:r>
      <w:r>
        <w:t xml:space="preserve"> of July, Thanksgiving and Christmas seasons)</w:t>
      </w:r>
      <w:r w:rsidR="00AA378B">
        <w:t>,</w:t>
      </w:r>
      <w:r>
        <w:t xml:space="preserve"> </w:t>
      </w:r>
      <w:r w:rsidR="00344696">
        <w:t>but</w:t>
      </w:r>
      <w:r>
        <w:t xml:space="preserve"> will require further assessment o</w:t>
      </w:r>
      <w:r w:rsidR="00AA378B">
        <w:t>f</w:t>
      </w:r>
      <w:r>
        <w:t xml:space="preserve"> </w:t>
      </w:r>
      <w:r w:rsidR="00AA378B">
        <w:t>possible</w:t>
      </w:r>
      <w:r>
        <w:t xml:space="preserve"> latent factors for success.</w:t>
      </w:r>
      <w:r w:rsidR="00AD70A5">
        <w:t xml:space="preserve"> </w:t>
      </w:r>
      <w:r w:rsidR="00AA378B">
        <w:t xml:space="preserve"> </w:t>
      </w:r>
      <w:r w:rsidRPr="00AA378B">
        <w:rPr>
          <w:i/>
          <w:iCs/>
        </w:rPr>
        <w:t xml:space="preserve">Please refer to the enclosed spreadsheet, Outcome by </w:t>
      </w:r>
      <w:proofErr w:type="spellStart"/>
      <w:r w:rsidRPr="00AA378B">
        <w:rPr>
          <w:i/>
          <w:iCs/>
        </w:rPr>
        <w:t>month_year_Category</w:t>
      </w:r>
      <w:proofErr w:type="spellEnd"/>
      <w:r w:rsidRPr="00AA378B">
        <w:rPr>
          <w:i/>
          <w:iCs/>
        </w:rPr>
        <w:t xml:space="preserve"> tab, and filter </w:t>
      </w:r>
      <w:r w:rsidR="00AA378B">
        <w:rPr>
          <w:i/>
          <w:iCs/>
        </w:rPr>
        <w:t xml:space="preserve">on </w:t>
      </w:r>
      <w:r w:rsidRPr="00AA378B">
        <w:rPr>
          <w:i/>
          <w:iCs/>
        </w:rPr>
        <w:t xml:space="preserve">year </w:t>
      </w:r>
      <w:r w:rsidR="00C13BDF" w:rsidRPr="00AA378B">
        <w:rPr>
          <w:i/>
          <w:iCs/>
        </w:rPr>
        <w:t>and</w:t>
      </w:r>
      <w:r w:rsidR="00AA378B">
        <w:rPr>
          <w:i/>
          <w:iCs/>
        </w:rPr>
        <w:t xml:space="preserve"> </w:t>
      </w:r>
      <w:r w:rsidRPr="00AA378B">
        <w:rPr>
          <w:i/>
          <w:iCs/>
        </w:rPr>
        <w:t>category.</w:t>
      </w:r>
    </w:p>
    <w:p w14:paraId="4B0856B6" w14:textId="016DA2A0" w:rsidR="00AA378B" w:rsidRDefault="00AA378B" w:rsidP="00AA378B">
      <w:pPr>
        <w:rPr>
          <w:b/>
          <w:bCs/>
          <w:u w:val="single"/>
        </w:rPr>
      </w:pPr>
      <w:r>
        <w:rPr>
          <w:b/>
          <w:bCs/>
          <w:u w:val="single"/>
        </w:rPr>
        <w:t>Limitations of the Dataset</w:t>
      </w:r>
      <w:r w:rsidRPr="00701554">
        <w:rPr>
          <w:b/>
          <w:bCs/>
          <w:u w:val="single"/>
        </w:rPr>
        <w:t>:</w:t>
      </w:r>
    </w:p>
    <w:p w14:paraId="29F803EA" w14:textId="3FF55B22" w:rsidR="00E10E57" w:rsidRPr="00AA378B" w:rsidRDefault="00AA378B" w:rsidP="00AA378B">
      <w:pPr>
        <w:pStyle w:val="ListParagraph"/>
        <w:numPr>
          <w:ilvl w:val="0"/>
          <w:numId w:val="1"/>
        </w:numPr>
        <w:ind w:left="360"/>
        <w:rPr>
          <w:b/>
          <w:bCs/>
          <w:u w:val="single"/>
        </w:rPr>
      </w:pPr>
      <w:r>
        <w:t xml:space="preserve">As mentioned earlier, the sample data of 1000 Crowdfunding Campaigns is dominated by the US market campaigns, representing 76.3% of the data, which becomes a challenge </w:t>
      </w:r>
      <w:r w:rsidR="00344696">
        <w:t>for</w:t>
      </w:r>
      <w:r>
        <w:t xml:space="preserve"> mak</w:t>
      </w:r>
      <w:r w:rsidR="00344696">
        <w:t>ing</w:t>
      </w:r>
      <w:r>
        <w:t xml:space="preserve"> any conclusions at a county level.</w:t>
      </w:r>
    </w:p>
    <w:p w14:paraId="7208B750" w14:textId="77777777" w:rsidR="00AA378B" w:rsidRPr="00AA378B" w:rsidRDefault="00AA378B" w:rsidP="00AA378B">
      <w:pPr>
        <w:pStyle w:val="ListParagraph"/>
        <w:ind w:left="360"/>
        <w:rPr>
          <w:b/>
          <w:bCs/>
          <w:u w:val="single"/>
        </w:rPr>
      </w:pPr>
    </w:p>
    <w:p w14:paraId="637F10C9" w14:textId="0360936D" w:rsidR="00E10E57" w:rsidRDefault="00AA378B" w:rsidP="00AA378B">
      <w:pPr>
        <w:pStyle w:val="ListParagraph"/>
        <w:ind w:left="360"/>
        <w:jc w:val="center"/>
        <w:rPr>
          <w:b/>
          <w:bCs/>
          <w:noProof/>
          <w:u w:val="single"/>
        </w:rPr>
      </w:pPr>
      <w:r>
        <w:rPr>
          <w:b/>
          <w:bCs/>
          <w:i/>
          <w:iCs/>
          <w:noProof/>
          <w:u w:val="single"/>
        </w:rPr>
        <w:drawing>
          <wp:inline distT="0" distB="0" distL="0" distR="0" wp14:anchorId="2B047193" wp14:editId="76CF53DE">
            <wp:extent cx="2762290" cy="234315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166" cy="2357466"/>
                    </a:xfrm>
                    <a:prstGeom prst="rect">
                      <a:avLst/>
                    </a:prstGeom>
                    <a:noFill/>
                  </pic:spPr>
                </pic:pic>
              </a:graphicData>
            </a:graphic>
          </wp:inline>
        </w:drawing>
      </w:r>
    </w:p>
    <w:p w14:paraId="24654ACA" w14:textId="119DA93B" w:rsidR="00AA378B" w:rsidRPr="009164E9" w:rsidRDefault="00AA378B" w:rsidP="00AA378B">
      <w:pPr>
        <w:pStyle w:val="ListParagraph"/>
        <w:numPr>
          <w:ilvl w:val="0"/>
          <w:numId w:val="1"/>
        </w:numPr>
        <w:ind w:left="360"/>
        <w:rPr>
          <w:b/>
          <w:bCs/>
          <w:u w:val="single"/>
        </w:rPr>
      </w:pPr>
      <w:r>
        <w:lastRenderedPageBreak/>
        <w:t>It is unclear from the dataset whether the variable labeled “goal” reflects US dollars or</w:t>
      </w:r>
      <w:r w:rsidR="009164E9">
        <w:t xml:space="preserve"> it</w:t>
      </w:r>
      <w:r>
        <w:t xml:space="preserve"> is in the currency stated in the variable labeled “</w:t>
      </w:r>
      <w:r w:rsidR="009164E9">
        <w:t>currency</w:t>
      </w:r>
      <w:r>
        <w:t xml:space="preserve">”.  If it is the latter, then the variable </w:t>
      </w:r>
      <w:r w:rsidR="009164E9">
        <w:t>“</w:t>
      </w:r>
      <w:r>
        <w:t>goal</w:t>
      </w:r>
      <w:r w:rsidR="009164E9">
        <w:t>”</w:t>
      </w:r>
      <w:r>
        <w:t xml:space="preserve"> needs to be represented in US dollars</w:t>
      </w:r>
      <w:r w:rsidR="009164E9">
        <w:t xml:space="preserve"> utilizing an exchange table at a certain date, which would be a challenge given the different year and month sources of the data.</w:t>
      </w:r>
    </w:p>
    <w:p w14:paraId="6871EF88" w14:textId="77777777" w:rsidR="009164E9" w:rsidRPr="009164E9" w:rsidRDefault="009164E9" w:rsidP="009164E9">
      <w:pPr>
        <w:pStyle w:val="ListParagraph"/>
        <w:ind w:left="360"/>
        <w:rPr>
          <w:b/>
          <w:bCs/>
          <w:u w:val="single"/>
        </w:rPr>
      </w:pPr>
    </w:p>
    <w:p w14:paraId="23ABD1D5" w14:textId="7AEEB8E0" w:rsidR="009164E9" w:rsidRPr="009164E9" w:rsidRDefault="009164E9" w:rsidP="00AA378B">
      <w:pPr>
        <w:pStyle w:val="ListParagraph"/>
        <w:numPr>
          <w:ilvl w:val="0"/>
          <w:numId w:val="1"/>
        </w:numPr>
        <w:ind w:left="360"/>
        <w:rPr>
          <w:b/>
          <w:bCs/>
          <w:u w:val="single"/>
        </w:rPr>
      </w:pPr>
      <w:r>
        <w:t xml:space="preserve">A sample of 1000 crowdfunding campaigns is too small to enable mining the data by </w:t>
      </w:r>
      <w:r w:rsidR="006B0A68">
        <w:t xml:space="preserve">any combination of </w:t>
      </w:r>
      <w:r>
        <w:t xml:space="preserve">country, year and month, subcategory, </w:t>
      </w:r>
      <w:r w:rsidR="006B0A68">
        <w:t xml:space="preserve"># of backers, goals, </w:t>
      </w:r>
      <w:r>
        <w:t>etc.  The deep-dive analysis will result in very small data counts to make any statistically significant conclusions.</w:t>
      </w:r>
    </w:p>
    <w:p w14:paraId="750404FF" w14:textId="77777777" w:rsidR="009164E9" w:rsidRPr="009164E9" w:rsidRDefault="009164E9" w:rsidP="009164E9">
      <w:pPr>
        <w:pStyle w:val="ListParagraph"/>
        <w:rPr>
          <w:b/>
          <w:bCs/>
          <w:u w:val="single"/>
        </w:rPr>
      </w:pPr>
    </w:p>
    <w:p w14:paraId="646BDBE2" w14:textId="58777EC1" w:rsidR="009164E9" w:rsidRDefault="009164E9" w:rsidP="009164E9">
      <w:pPr>
        <w:rPr>
          <w:b/>
          <w:bCs/>
          <w:u w:val="single"/>
        </w:rPr>
      </w:pPr>
      <w:r>
        <w:rPr>
          <w:b/>
          <w:bCs/>
          <w:u w:val="single"/>
        </w:rPr>
        <w:t>Recommended further analys</w:t>
      </w:r>
      <w:r w:rsidR="001521F2">
        <w:rPr>
          <w:b/>
          <w:bCs/>
          <w:u w:val="single"/>
        </w:rPr>
        <w:t>e</w:t>
      </w:r>
      <w:r>
        <w:rPr>
          <w:b/>
          <w:bCs/>
          <w:u w:val="single"/>
        </w:rPr>
        <w:t>s</w:t>
      </w:r>
      <w:r w:rsidRPr="00701554">
        <w:rPr>
          <w:b/>
          <w:bCs/>
          <w:u w:val="single"/>
        </w:rPr>
        <w:t>:</w:t>
      </w:r>
    </w:p>
    <w:p w14:paraId="18DF62E4" w14:textId="16774550" w:rsidR="009164E9" w:rsidRPr="009164E9" w:rsidRDefault="009164E9" w:rsidP="009164E9">
      <w:pPr>
        <w:pStyle w:val="ListParagraph"/>
        <w:numPr>
          <w:ilvl w:val="0"/>
          <w:numId w:val="1"/>
        </w:numPr>
        <w:ind w:left="360"/>
        <w:rPr>
          <w:b/>
          <w:bCs/>
          <w:u w:val="single"/>
        </w:rPr>
      </w:pPr>
      <w:r>
        <w:t>Comparison among successful and failed campaigns</w:t>
      </w:r>
      <w:r w:rsidR="00DC69BA">
        <w:t>, across multiple factors (caution</w:t>
      </w:r>
      <w:r w:rsidR="00107A0B">
        <w:t xml:space="preserve"> will need to</w:t>
      </w:r>
      <w:r w:rsidR="00DC69BA">
        <w:t xml:space="preserve"> increase sample size first).</w:t>
      </w:r>
    </w:p>
    <w:p w14:paraId="3AB8F4F5" w14:textId="056C2B4B" w:rsidR="009164E9" w:rsidRPr="009164E9" w:rsidRDefault="009164E9" w:rsidP="009164E9">
      <w:pPr>
        <w:pStyle w:val="ListParagraph"/>
        <w:numPr>
          <w:ilvl w:val="0"/>
          <w:numId w:val="1"/>
        </w:numPr>
        <w:ind w:left="360"/>
        <w:rPr>
          <w:b/>
          <w:bCs/>
          <w:u w:val="single"/>
        </w:rPr>
      </w:pPr>
      <w:r>
        <w:t xml:space="preserve">Comparison across years and months (caution </w:t>
      </w:r>
      <w:r w:rsidR="00107A0B">
        <w:t xml:space="preserve">will need to </w:t>
      </w:r>
      <w:r>
        <w:t>increase sample size first).  Conduct time series analysis to understand the effects of seasonality</w:t>
      </w:r>
      <w:r w:rsidR="006B0A68">
        <w:t xml:space="preserve"> on campaigns</w:t>
      </w:r>
      <w:r>
        <w:t>.</w:t>
      </w:r>
    </w:p>
    <w:p w14:paraId="485EF7B7" w14:textId="20C4F95F" w:rsidR="009164E9" w:rsidRPr="009164E9" w:rsidRDefault="009164E9" w:rsidP="009164E9">
      <w:pPr>
        <w:pStyle w:val="ListParagraph"/>
        <w:numPr>
          <w:ilvl w:val="0"/>
          <w:numId w:val="1"/>
        </w:numPr>
        <w:ind w:left="360"/>
        <w:rPr>
          <w:b/>
          <w:bCs/>
          <w:u w:val="single"/>
        </w:rPr>
      </w:pPr>
      <w:r>
        <w:t>Comparison across countries (caution</w:t>
      </w:r>
      <w:r w:rsidR="00107A0B">
        <w:t xml:space="preserve"> will need to</w:t>
      </w:r>
      <w:r>
        <w:t xml:space="preserve"> increase sample size first) and use weighted average type of analysis.</w:t>
      </w:r>
    </w:p>
    <w:p w14:paraId="200D4BC4" w14:textId="222057CA" w:rsidR="009164E9" w:rsidRPr="001A5A22" w:rsidRDefault="00DC69BA" w:rsidP="009164E9">
      <w:pPr>
        <w:pStyle w:val="ListParagraph"/>
        <w:numPr>
          <w:ilvl w:val="0"/>
          <w:numId w:val="1"/>
        </w:numPr>
        <w:ind w:left="360"/>
        <w:rPr>
          <w:b/>
          <w:bCs/>
          <w:u w:val="single"/>
        </w:rPr>
      </w:pPr>
      <w:r>
        <w:t>If “Goal” is not stated in US currency, then use exchange tables for each month and year before conducting any analysis of campaign goals.</w:t>
      </w:r>
    </w:p>
    <w:p w14:paraId="76FEABED" w14:textId="2A83E3C0" w:rsidR="001A5A22" w:rsidRPr="009164E9" w:rsidRDefault="001A5A22" w:rsidP="001A5A22">
      <w:pPr>
        <w:pStyle w:val="ListParagraph"/>
        <w:numPr>
          <w:ilvl w:val="0"/>
          <w:numId w:val="1"/>
        </w:numPr>
        <w:ind w:left="360"/>
        <w:rPr>
          <w:b/>
          <w:bCs/>
          <w:u w:val="single"/>
        </w:rPr>
      </w:pPr>
      <w:r>
        <w:t xml:space="preserve">Comparison across “clusters” of sub-categories of campaigns (caution </w:t>
      </w:r>
      <w:r w:rsidR="00107A0B">
        <w:t xml:space="preserve">will need to </w:t>
      </w:r>
      <w:r>
        <w:t>increase sample size first).</w:t>
      </w:r>
    </w:p>
    <w:p w14:paraId="7917DAED" w14:textId="354760F2" w:rsidR="001A5A22" w:rsidRPr="00AA378B" w:rsidRDefault="001A5A22" w:rsidP="001A5A22">
      <w:pPr>
        <w:pStyle w:val="ListParagraph"/>
        <w:ind w:left="360"/>
        <w:rPr>
          <w:b/>
          <w:bCs/>
          <w:u w:val="single"/>
        </w:rPr>
      </w:pPr>
    </w:p>
    <w:p w14:paraId="60DC0DA3" w14:textId="77777777" w:rsidR="009164E9" w:rsidRPr="00AA378B" w:rsidRDefault="009164E9" w:rsidP="009164E9">
      <w:pPr>
        <w:pStyle w:val="ListParagraph"/>
        <w:ind w:left="360"/>
        <w:rPr>
          <w:b/>
          <w:bCs/>
          <w:u w:val="single"/>
        </w:rPr>
      </w:pPr>
    </w:p>
    <w:p w14:paraId="3C636119" w14:textId="4B90CA9B" w:rsidR="00E10E57" w:rsidRDefault="00E10E57" w:rsidP="00D93678">
      <w:pPr>
        <w:pStyle w:val="ListParagraph"/>
        <w:ind w:left="360"/>
        <w:rPr>
          <w:b/>
          <w:bCs/>
          <w:noProof/>
          <w:u w:val="single"/>
        </w:rPr>
      </w:pPr>
    </w:p>
    <w:p w14:paraId="0CB983F0" w14:textId="440749AE" w:rsidR="00E10E57" w:rsidRDefault="00E10E57" w:rsidP="00D93678">
      <w:pPr>
        <w:pStyle w:val="ListParagraph"/>
        <w:ind w:left="360"/>
        <w:rPr>
          <w:b/>
          <w:bCs/>
          <w:noProof/>
          <w:u w:val="single"/>
        </w:rPr>
      </w:pPr>
    </w:p>
    <w:p w14:paraId="66A27A97" w14:textId="0245DFA8" w:rsidR="00E10E57" w:rsidRDefault="00E10E57" w:rsidP="00D93678">
      <w:pPr>
        <w:pStyle w:val="ListParagraph"/>
        <w:ind w:left="360"/>
        <w:rPr>
          <w:b/>
          <w:bCs/>
          <w:noProof/>
          <w:u w:val="single"/>
        </w:rPr>
      </w:pPr>
    </w:p>
    <w:p w14:paraId="4DA1D99E" w14:textId="552654F9" w:rsidR="00E10E57" w:rsidRDefault="00E10E57" w:rsidP="00E10E57">
      <w:pPr>
        <w:pStyle w:val="ListParagraph"/>
        <w:ind w:left="360"/>
        <w:jc w:val="center"/>
        <w:rPr>
          <w:b/>
          <w:bCs/>
          <w:noProof/>
          <w:u w:val="single"/>
        </w:rPr>
      </w:pPr>
    </w:p>
    <w:p w14:paraId="3A96A561" w14:textId="40535AAC" w:rsidR="00E10E57" w:rsidRDefault="00E10E57" w:rsidP="00D93678">
      <w:pPr>
        <w:pStyle w:val="ListParagraph"/>
        <w:ind w:left="360"/>
        <w:rPr>
          <w:b/>
          <w:bCs/>
          <w:noProof/>
          <w:u w:val="single"/>
        </w:rPr>
      </w:pPr>
    </w:p>
    <w:p w14:paraId="58CA498E" w14:textId="6374BAF4" w:rsidR="00E10E57" w:rsidRDefault="00E10E57" w:rsidP="00D93678">
      <w:pPr>
        <w:pStyle w:val="ListParagraph"/>
        <w:ind w:left="360"/>
        <w:rPr>
          <w:b/>
          <w:bCs/>
          <w:noProof/>
          <w:u w:val="single"/>
        </w:rPr>
      </w:pPr>
    </w:p>
    <w:p w14:paraId="103511D6" w14:textId="5EFA077F" w:rsidR="00E10E57" w:rsidRDefault="00E10E57" w:rsidP="00D93678">
      <w:pPr>
        <w:pStyle w:val="ListParagraph"/>
        <w:ind w:left="360"/>
        <w:rPr>
          <w:b/>
          <w:bCs/>
          <w:noProof/>
          <w:u w:val="single"/>
        </w:rPr>
      </w:pPr>
    </w:p>
    <w:p w14:paraId="38FE7B4A" w14:textId="15CC8BCB" w:rsidR="00E10E57" w:rsidRDefault="00E10E57" w:rsidP="00D93678">
      <w:pPr>
        <w:pStyle w:val="ListParagraph"/>
        <w:ind w:left="360"/>
        <w:rPr>
          <w:b/>
          <w:bCs/>
          <w:noProof/>
          <w:u w:val="single"/>
        </w:rPr>
      </w:pPr>
    </w:p>
    <w:p w14:paraId="631BB047" w14:textId="38468336" w:rsidR="00E10E57" w:rsidRDefault="00E10E57" w:rsidP="00D93678">
      <w:pPr>
        <w:pStyle w:val="ListParagraph"/>
        <w:ind w:left="360"/>
        <w:rPr>
          <w:b/>
          <w:bCs/>
          <w:noProof/>
          <w:u w:val="single"/>
        </w:rPr>
      </w:pPr>
    </w:p>
    <w:p w14:paraId="04248C48" w14:textId="68298119" w:rsidR="00E10E57" w:rsidRPr="00D93678" w:rsidRDefault="00E10E57" w:rsidP="00E10E57">
      <w:pPr>
        <w:pStyle w:val="ListParagraph"/>
        <w:ind w:left="360"/>
        <w:jc w:val="center"/>
        <w:rPr>
          <w:b/>
          <w:bCs/>
          <w:i/>
          <w:iCs/>
          <w:u w:val="single"/>
        </w:rPr>
      </w:pPr>
    </w:p>
    <w:sectPr w:rsidR="00E10E57" w:rsidRPr="00D93678" w:rsidSect="00E30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831"/>
    <w:multiLevelType w:val="hybridMultilevel"/>
    <w:tmpl w:val="EFA2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03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6B"/>
    <w:rsid w:val="00107A0B"/>
    <w:rsid w:val="001521F2"/>
    <w:rsid w:val="001A5A22"/>
    <w:rsid w:val="001F592A"/>
    <w:rsid w:val="00211BCA"/>
    <w:rsid w:val="00344696"/>
    <w:rsid w:val="00394995"/>
    <w:rsid w:val="00401043"/>
    <w:rsid w:val="0056206B"/>
    <w:rsid w:val="006B0A68"/>
    <w:rsid w:val="00701554"/>
    <w:rsid w:val="00735971"/>
    <w:rsid w:val="009164E9"/>
    <w:rsid w:val="00AA378B"/>
    <w:rsid w:val="00AD70A5"/>
    <w:rsid w:val="00B8462E"/>
    <w:rsid w:val="00BD647B"/>
    <w:rsid w:val="00C13BDF"/>
    <w:rsid w:val="00D93678"/>
    <w:rsid w:val="00DC69BA"/>
    <w:rsid w:val="00E10E57"/>
    <w:rsid w:val="00E3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F382"/>
  <w15:chartTrackingRefBased/>
  <w15:docId w15:val="{2C229E25-90E5-4C21-BC23-7543EE40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Aikins, Lawrence K.</dc:creator>
  <cp:keywords/>
  <dc:description/>
  <cp:lastModifiedBy>Gabrielle Bedewi</cp:lastModifiedBy>
  <cp:revision>4</cp:revision>
  <dcterms:created xsi:type="dcterms:W3CDTF">2023-04-20T16:30:00Z</dcterms:created>
  <dcterms:modified xsi:type="dcterms:W3CDTF">2023-04-20T16:38:00Z</dcterms:modified>
</cp:coreProperties>
</file>