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4"/>
          <w:szCs w:val="24"/>
        </w:rPr>
      </w:pPr>
      <w:r>
        <w:rPr>
          <w:rFonts w:hint="eastAsia" w:ascii="Times New Roman" w:hAnsi="Times New Roman" w:cs="Times New Roman"/>
          <w:b/>
          <w:sz w:val="24"/>
          <w:szCs w:val="24"/>
        </w:rPr>
        <w:t>生命科学学院研究生培养必修环节具体要求与实施细则</w:t>
      </w:r>
    </w:p>
    <w:p>
      <w:pPr>
        <w:rPr>
          <w:rFonts w:ascii="Times New Roman" w:hAnsi="Times New Roman" w:cs="Times New Roman"/>
        </w:rPr>
      </w:pPr>
    </w:p>
    <w:p>
      <w:pPr>
        <w:pStyle w:val="7"/>
        <w:numPr>
          <w:ilvl w:val="0"/>
          <w:numId w:val="1"/>
        </w:numPr>
        <w:spacing w:after="156" w:afterLines="50"/>
        <w:ind w:firstLineChars="0"/>
        <w:rPr>
          <w:rFonts w:hint="eastAsia" w:ascii="Times New Roman" w:hAnsi="Times New Roman" w:cs="Times New Roman"/>
          <w:b/>
        </w:rPr>
      </w:pPr>
      <w:r>
        <w:rPr>
          <w:rFonts w:hint="eastAsia" w:ascii="Times New Roman" w:hAnsi="Times New Roman" w:cs="Times New Roman"/>
          <w:b/>
        </w:rPr>
        <w:t>教学、科研实践及学术活动的基本要求</w:t>
      </w:r>
    </w:p>
    <w:p>
      <w:pPr>
        <w:spacing w:after="156" w:afterLines="50"/>
        <w:ind w:left="1369" w:leftChars="200" w:hanging="949" w:hangingChars="450"/>
        <w:rPr>
          <w:rFonts w:ascii="宋体" w:hAnsi="宋体"/>
          <w:b/>
          <w:szCs w:val="21"/>
        </w:rPr>
      </w:pPr>
      <w:r>
        <w:rPr>
          <w:rFonts w:hint="eastAsia" w:ascii="宋体" w:hAnsi="宋体"/>
          <w:b/>
          <w:szCs w:val="21"/>
        </w:rPr>
        <w:t>1、教学、科研实践</w:t>
      </w:r>
    </w:p>
    <w:p>
      <w:pPr>
        <w:spacing w:after="156" w:afterLines="50"/>
        <w:ind w:left="1365" w:hanging="1365" w:hangingChars="650"/>
      </w:pPr>
      <w:r>
        <w:rPr>
          <w:rFonts w:hint="eastAsia" w:ascii="宋体" w:hAnsi="宋体"/>
          <w:szCs w:val="21"/>
        </w:rPr>
        <w:t xml:space="preserve">    硕士生： </w:t>
      </w:r>
      <w:r>
        <w:rPr>
          <w:rFonts w:hint="eastAsia"/>
        </w:rPr>
        <w:t>需参加至少一门本科生或研究生相关课程的教学助理或实验指导工作。一般时间为一学期，所参与的课程的选修人数应在15人以上。由任课教师进行考核评分。</w:t>
      </w:r>
    </w:p>
    <w:p>
      <w:pPr>
        <w:spacing w:after="156" w:afterLines="50"/>
        <w:ind w:left="1365" w:hanging="1365" w:hangingChars="650"/>
      </w:pPr>
      <w:r>
        <w:rPr>
          <w:rFonts w:hint="eastAsia"/>
        </w:rPr>
        <w:t xml:space="preserve">    博士生： 协助导师指导本科生毕业论文或硕士研究生的具体实验工作；积极参与实验室建设、管理工作。</w:t>
      </w:r>
    </w:p>
    <w:p>
      <w:pPr>
        <w:spacing w:after="50"/>
        <w:ind w:left="1370" w:hanging="1370" w:hangingChars="650"/>
        <w:rPr>
          <w:b/>
        </w:rPr>
      </w:pPr>
      <w:r>
        <w:rPr>
          <w:rFonts w:hint="eastAsia"/>
          <w:b/>
        </w:rPr>
        <w:t xml:space="preserve">    2、学术活动</w:t>
      </w:r>
    </w:p>
    <w:p>
      <w:pPr>
        <w:spacing w:after="50"/>
        <w:ind w:left="357" w:leftChars="170" w:firstLine="420" w:firstLineChars="200"/>
      </w:pPr>
      <w:r>
        <w:rPr>
          <w:rFonts w:hint="eastAsia"/>
        </w:rPr>
        <w:t>对研究生来说，积极参加各类学术活动是在课堂教学之外获取前沿专业知识、锻炼学术交流能力的极为重要的方式。</w:t>
      </w:r>
    </w:p>
    <w:p>
      <w:pPr>
        <w:spacing w:after="50"/>
        <w:ind w:left="357" w:leftChars="170" w:firstLine="420" w:firstLineChars="200"/>
        <w:rPr>
          <w:rFonts w:hint="eastAsia" w:eastAsiaTheme="minorEastAsia"/>
          <w:lang w:eastAsia="zh-CN"/>
        </w:rPr>
      </w:pPr>
      <w:r>
        <w:rPr>
          <w:rFonts w:hint="eastAsia"/>
          <w:bCs/>
          <w:color w:val="000000"/>
          <w:szCs w:val="21"/>
        </w:rPr>
        <w:t>除在读最后一年外，硕士生</w:t>
      </w:r>
      <w:r>
        <w:rPr>
          <w:rFonts w:hint="eastAsia"/>
          <w:bCs/>
          <w:color w:val="000000"/>
          <w:szCs w:val="21"/>
          <w:shd w:val="clear" w:color="auto" w:fill="FFFFFF"/>
        </w:rPr>
        <w:t>每年听不少于10场学术报告；</w:t>
      </w:r>
      <w:r>
        <w:rPr>
          <w:rFonts w:hint="eastAsia"/>
          <w:bCs/>
          <w:color w:val="000000"/>
          <w:szCs w:val="21"/>
        </w:rPr>
        <w:t>博士生</w:t>
      </w:r>
      <w:r>
        <w:rPr>
          <w:rFonts w:hint="eastAsia"/>
          <w:bCs/>
          <w:color w:val="000000"/>
          <w:szCs w:val="21"/>
          <w:shd w:val="clear" w:color="auto" w:fill="FFFFFF"/>
        </w:rPr>
        <w:t>每年听不少于15场学术报告</w:t>
      </w:r>
      <w:r>
        <w:rPr>
          <w:rFonts w:hint="eastAsia"/>
          <w:bCs/>
          <w:color w:val="000000"/>
          <w:szCs w:val="21"/>
          <w:shd w:val="clear" w:color="auto" w:fill="FFFFFF"/>
          <w:lang w:eastAsia="zh-CN"/>
        </w:rPr>
        <w:t>。</w:t>
      </w:r>
    </w:p>
    <w:p>
      <w:pPr>
        <w:spacing w:after="50"/>
        <w:ind w:left="357" w:leftChars="170" w:firstLine="420" w:firstLineChars="200"/>
      </w:pPr>
      <w:r>
        <w:rPr>
          <w:rFonts w:hint="eastAsia"/>
        </w:rPr>
        <w:t>每位博士研究生每学期（第一和最后一个学期除外）至少在课题组做1次反映学科前沿动态的文献报告或介绍自己科研进展、成果的学术报告。</w:t>
      </w:r>
    </w:p>
    <w:p>
      <w:pPr>
        <w:spacing w:after="50"/>
        <w:ind w:left="357" w:leftChars="170" w:firstLine="420" w:firstLineChars="200"/>
      </w:pPr>
      <w:r>
        <w:rPr>
          <w:rFonts w:hint="eastAsia"/>
        </w:rPr>
        <w:t>博士生在读期间需在一次国际学术会议或一次国内学术会议上做口头报告或者墙报（作者排名前三）（以会议日程或者会议手册佐证）。</w:t>
      </w:r>
    </w:p>
    <w:p>
      <w:pPr>
        <w:spacing w:after="50"/>
        <w:ind w:left="357" w:leftChars="170" w:firstLine="420" w:firstLineChars="200"/>
      </w:pPr>
      <w:r>
        <w:rPr>
          <w:rFonts w:hint="eastAsia"/>
        </w:rPr>
        <w:t>学校、学院及学科积极为研究生特别是博士生争取、创造参加国内外重要学术会议的机会。</w:t>
      </w:r>
    </w:p>
    <w:p>
      <w:pPr>
        <w:numPr>
          <w:ilvl w:val="0"/>
          <w:numId w:val="2"/>
        </w:numPr>
        <w:spacing w:after="50"/>
        <w:rPr>
          <w:b/>
        </w:rPr>
      </w:pPr>
      <w:r>
        <w:rPr>
          <w:rFonts w:hint="eastAsia"/>
          <w:b/>
        </w:rPr>
        <w:t>实验室轮转</w:t>
      </w:r>
    </w:p>
    <w:p>
      <w:pPr>
        <w:spacing w:after="50"/>
        <w:ind w:left="359" w:leftChars="171" w:firstLine="420" w:firstLineChars="200"/>
      </w:pPr>
      <w:r>
        <w:rPr>
          <w:rFonts w:hint="eastAsia"/>
        </w:rPr>
        <w:t>提倡、支持有条件、有成功经验的学科（专业）或部分导师之间实行直博生和硕士生实验室轮转训练。</w:t>
      </w:r>
    </w:p>
    <w:p>
      <w:pPr>
        <w:spacing w:after="50"/>
      </w:pPr>
    </w:p>
    <w:p>
      <w:pPr>
        <w:pStyle w:val="7"/>
        <w:numPr>
          <w:ilvl w:val="0"/>
          <w:numId w:val="1"/>
        </w:numPr>
        <w:spacing w:after="156" w:afterLines="50"/>
        <w:ind w:firstLineChars="0"/>
        <w:rPr>
          <w:rFonts w:ascii="Times New Roman" w:hAnsi="Times New Roman" w:cs="Times New Roman"/>
          <w:b/>
        </w:rPr>
      </w:pPr>
      <w:r>
        <w:rPr>
          <w:rFonts w:hint="eastAsia" w:ascii="Times New Roman" w:hAnsi="Times New Roman" w:cs="Times New Roman"/>
          <w:b/>
        </w:rPr>
        <w:t>培养过程中的质量控制和分流机制</w:t>
      </w:r>
    </w:p>
    <w:p>
      <w:pPr>
        <w:pStyle w:val="7"/>
        <w:numPr>
          <w:ilvl w:val="0"/>
          <w:numId w:val="3"/>
        </w:numPr>
        <w:spacing w:after="50"/>
        <w:ind w:firstLineChars="0"/>
        <w:rPr>
          <w:rFonts w:asciiTheme="minorEastAsia" w:hAnsiTheme="minorEastAsia"/>
          <w:b/>
        </w:rPr>
      </w:pPr>
      <w:r>
        <w:rPr>
          <w:rFonts w:hint="eastAsia" w:asciiTheme="minorEastAsia" w:hAnsiTheme="minorEastAsia"/>
          <w:b/>
        </w:rPr>
        <w:t>博士生资格考试</w:t>
      </w:r>
    </w:p>
    <w:p>
      <w:pPr>
        <w:spacing w:after="50"/>
        <w:ind w:left="420" w:leftChars="200" w:firstLine="420" w:firstLineChars="200"/>
        <w:rPr>
          <w:szCs w:val="21"/>
        </w:rPr>
      </w:pPr>
      <w:r>
        <w:rPr>
          <w:rFonts w:hint="eastAsia"/>
          <w:szCs w:val="21"/>
        </w:rPr>
        <w:t>硕博连读、普通招考博士生的首次资格考试一般在博士阶段的第三学期的10月份结束前完成。本科直博生的首次资格考试一般在入学后的第五学期10月份结束前完成。</w:t>
      </w:r>
    </w:p>
    <w:p>
      <w:pPr>
        <w:spacing w:after="50"/>
        <w:ind w:left="420" w:leftChars="200" w:firstLine="420" w:firstLineChars="200"/>
        <w:rPr>
          <w:szCs w:val="21"/>
        </w:rPr>
      </w:pPr>
      <w:r>
        <w:rPr>
          <w:rFonts w:hint="eastAsia"/>
          <w:szCs w:val="21"/>
        </w:rPr>
        <w:t>资格考试以答辩的形式进行。考核专家的提问和评审内容将涵盖本门学科专业应掌握的基础理论知识、专业知识、学科前沿及相关学科知识，同时涵盖开展论文研究工作所需的创新能力、分析和解决问题的能力、科研总结的能力和科研展示能力。</w:t>
      </w:r>
    </w:p>
    <w:p>
      <w:pPr>
        <w:spacing w:after="50"/>
        <w:ind w:left="420" w:leftChars="200" w:firstLine="420" w:firstLineChars="200"/>
        <w:rPr>
          <w:rFonts w:hint="eastAsia"/>
          <w:szCs w:val="21"/>
        </w:rPr>
      </w:pPr>
      <w:r>
        <w:rPr>
          <w:rFonts w:hint="eastAsia"/>
          <w:szCs w:val="21"/>
        </w:rPr>
        <w:t>由二级学科负责当年度博士生资格考试。依托生命科学学院招生的单位独立实施博士研究生资格考试。</w:t>
      </w:r>
    </w:p>
    <w:p>
      <w:pPr>
        <w:spacing w:after="50"/>
        <w:ind w:left="420" w:leftChars="200" w:firstLine="420" w:firstLineChars="200"/>
        <w:rPr>
          <w:rFonts w:hint="eastAsia"/>
          <w:szCs w:val="21"/>
        </w:rPr>
      </w:pPr>
      <w:r>
        <w:rPr>
          <w:rFonts w:hint="eastAsia"/>
          <w:szCs w:val="21"/>
        </w:rPr>
        <w:t>每学年组织一次资格考试，当批次不通过的博士研究生</w:t>
      </w:r>
      <w:r>
        <w:rPr>
          <w:rFonts w:hint="eastAsia"/>
          <w:szCs w:val="21"/>
          <w:lang w:val="en-US" w:eastAsia="zh-CN"/>
        </w:rPr>
        <w:t>须</w:t>
      </w:r>
      <w:r>
        <w:rPr>
          <w:rFonts w:hint="eastAsia"/>
          <w:szCs w:val="21"/>
        </w:rPr>
        <w:t>参加下一年度博士生年度考核，不设置单独的补考批次。</w:t>
      </w:r>
    </w:p>
    <w:p>
      <w:pPr>
        <w:spacing w:after="50"/>
        <w:ind w:left="420" w:leftChars="200" w:firstLine="420" w:firstLineChars="200"/>
        <w:rPr>
          <w:rFonts w:hint="eastAsia"/>
          <w:szCs w:val="21"/>
        </w:rPr>
      </w:pPr>
      <w:r>
        <w:rPr>
          <w:rFonts w:hint="eastAsia"/>
          <w:szCs w:val="21"/>
        </w:rPr>
        <w:t>资格考试结果评定等级分为“通过”和“不通过”，其中获“通过”的博士生数不高于同一批次参加考试学生总数的90%。当批次应考总人数不足10人的，可暂不执行获“通过”的博士研究生数不高于同一批次应考总人数90%的要求。</w:t>
      </w:r>
    </w:p>
    <w:p>
      <w:pPr>
        <w:spacing w:after="50"/>
        <w:ind w:left="420" w:leftChars="200" w:firstLine="420" w:firstLineChars="200"/>
        <w:rPr>
          <w:rFonts w:hint="eastAsia"/>
          <w:szCs w:val="21"/>
        </w:rPr>
      </w:pPr>
      <w:r>
        <w:rPr>
          <w:rFonts w:hint="eastAsia"/>
          <w:szCs w:val="21"/>
        </w:rPr>
        <w:t>对首次参加资格考试不通过的博士生，导师要与学生共同制定专门的学业提高方案，该博士生在</w:t>
      </w:r>
      <w:r>
        <w:rPr>
          <w:rFonts w:hint="eastAsia"/>
          <w:szCs w:val="21"/>
          <w:lang w:val="en-US" w:eastAsia="zh-CN"/>
        </w:rPr>
        <w:t>第二年的博士生年度考核中仍在后10%者</w:t>
      </w:r>
      <w:r>
        <w:rPr>
          <w:rFonts w:hint="eastAsia"/>
          <w:szCs w:val="21"/>
        </w:rPr>
        <w:t>，其考试结果评定为“</w:t>
      </w:r>
      <w:r>
        <w:rPr>
          <w:rFonts w:hint="eastAsia"/>
          <w:szCs w:val="21"/>
          <w:lang w:val="en-US" w:eastAsia="zh-CN"/>
        </w:rPr>
        <w:t>不通</w:t>
      </w:r>
      <w:r>
        <w:rPr>
          <w:rFonts w:hint="eastAsia"/>
          <w:szCs w:val="21"/>
        </w:rPr>
        <w:t>过”。考试结果评定为“不通过”的博士生予以退学，其中本科直接攻博生可提出申请，经导师、学院和学校审批同意后可转为攻读硕士学位。</w:t>
      </w:r>
    </w:p>
    <w:p>
      <w:pPr>
        <w:spacing w:after="120"/>
        <w:ind w:left="420" w:leftChars="200" w:firstLine="420" w:firstLineChars="200"/>
        <w:rPr>
          <w:rFonts w:hint="eastAsia"/>
          <w:szCs w:val="21"/>
        </w:rPr>
      </w:pPr>
      <w:r>
        <w:rPr>
          <w:rFonts w:hint="eastAsia"/>
          <w:szCs w:val="21"/>
        </w:rPr>
        <w:t>因故不能参加资格考试的博士生应至少提前2周提出缓考申请，获得导师、学院同意后参加下一批次考试，如无特殊情况最多只能申请1次缓考。准予缓考的博士研究生人数，计入其实际参加批次的应考总人数。未经学院批准不参加资格考试的博士生，考试结果按“不通过”评定。</w:t>
      </w:r>
    </w:p>
    <w:p>
      <w:pPr>
        <w:pStyle w:val="7"/>
        <w:numPr>
          <w:ilvl w:val="0"/>
          <w:numId w:val="3"/>
        </w:numPr>
        <w:spacing w:after="50"/>
        <w:ind w:firstLineChars="0"/>
        <w:rPr>
          <w:rFonts w:asciiTheme="minorEastAsia" w:hAnsiTheme="minorEastAsia"/>
          <w:b/>
        </w:rPr>
      </w:pPr>
      <w:r>
        <w:rPr>
          <w:rFonts w:hint="eastAsia" w:asciiTheme="minorEastAsia" w:hAnsiTheme="minorEastAsia"/>
          <w:b/>
        </w:rPr>
        <w:t>博士生年度考核</w:t>
      </w:r>
    </w:p>
    <w:p>
      <w:pPr>
        <w:pStyle w:val="7"/>
        <w:spacing w:after="50"/>
        <w:ind w:left="426" w:firstLine="424" w:firstLineChars="202"/>
      </w:pPr>
      <w:r>
        <w:rPr>
          <w:rFonts w:hint="eastAsia"/>
        </w:rPr>
        <w:t>四年级本科直博生和三年级</w:t>
      </w:r>
      <w:r>
        <w:rPr>
          <w:rFonts w:hint="eastAsia"/>
          <w:szCs w:val="21"/>
        </w:rPr>
        <w:t>硕博连读、普通招考博士生需参加考核。依托生命科学学院招生的单位可自行决定是否实施。</w:t>
      </w:r>
    </w:p>
    <w:p>
      <w:pPr>
        <w:pStyle w:val="7"/>
        <w:spacing w:after="50"/>
        <w:ind w:left="420" w:firstLine="0" w:firstLineChars="0"/>
      </w:pPr>
      <w:r>
        <w:t xml:space="preserve">    </w:t>
      </w:r>
      <w:r>
        <w:rPr>
          <w:rFonts w:hint="eastAsia"/>
          <w:szCs w:val="21"/>
        </w:rPr>
        <w:t>由二级学科负责当年度博士生资格考试。</w:t>
      </w:r>
      <w:r>
        <w:rPr>
          <w:rFonts w:hint="eastAsia"/>
        </w:rPr>
        <w:t>博士生以答辩形式进行工作汇报。</w:t>
      </w:r>
    </w:p>
    <w:p>
      <w:pPr>
        <w:spacing w:after="120"/>
        <w:ind w:left="424" w:leftChars="127" w:hanging="157" w:hangingChars="75"/>
        <w:rPr>
          <w:rFonts w:hint="eastAsia" w:ascii="Calibri" w:hAnsi="Calibri" w:cs="Calibri"/>
          <w:b/>
          <w:bCs/>
        </w:rPr>
      </w:pPr>
      <w:r>
        <w:rPr>
          <w:rFonts w:hint="eastAsia"/>
        </w:rPr>
        <w:t xml:space="preserve"> </w:t>
      </w:r>
      <w:r>
        <w:t xml:space="preserve">    </w:t>
      </w:r>
      <w:r>
        <w:rPr>
          <w:rFonts w:hint="eastAsia"/>
        </w:rPr>
        <w:t>考核结果等级分为优秀</w:t>
      </w:r>
      <w:r>
        <w:t>、</w:t>
      </w:r>
      <w:r>
        <w:rPr>
          <w:rFonts w:hint="eastAsia"/>
        </w:rPr>
        <w:t>良好</w:t>
      </w:r>
      <w:r>
        <w:t>、</w:t>
      </w:r>
      <w:r>
        <w:rPr>
          <w:rFonts w:hint="eastAsia"/>
        </w:rPr>
        <w:t>关注、重点关注。优秀（</w:t>
      </w:r>
      <w:r>
        <w:t>90分-100分）</w:t>
      </w:r>
      <w:r>
        <w:rPr>
          <w:rFonts w:hint="eastAsia"/>
        </w:rPr>
        <w:t>，考核获得优秀等级比例应小于参加考核人数的30%；良好</w:t>
      </w:r>
      <w:r>
        <w:t>（</w:t>
      </w:r>
      <w:r>
        <w:rPr>
          <w:rFonts w:hint="eastAsia"/>
        </w:rPr>
        <w:t>8</w:t>
      </w:r>
      <w:r>
        <w:t>0分-89分）</w:t>
      </w:r>
      <w:r>
        <w:rPr>
          <w:rFonts w:hint="eastAsia"/>
        </w:rPr>
        <w:t>；</w:t>
      </w:r>
      <w:r>
        <w:rPr>
          <w:rFonts w:hint="eastAsia"/>
          <w:bCs/>
        </w:rPr>
        <w:t>评分出现以下任一情况</w:t>
      </w:r>
      <w:r>
        <w:rPr>
          <w:rFonts w:hint="eastAsia"/>
          <w:b/>
          <w:bCs/>
        </w:rPr>
        <w:t>考核结果为“关注”</w:t>
      </w:r>
      <w:r>
        <w:rPr>
          <w:rFonts w:hint="eastAsia"/>
          <w:bCs/>
        </w:rPr>
        <w:t>：</w:t>
      </w:r>
      <w:r>
        <w:rPr>
          <w:rFonts w:hint="eastAsia" w:ascii="Calibri" w:hAnsi="Calibri" w:cs="Calibri"/>
          <w:bCs/>
          <w:lang w:val="en-US" w:eastAsia="zh-CN"/>
        </w:rPr>
        <w:t>（1）</w:t>
      </w:r>
      <w:r>
        <w:rPr>
          <w:rFonts w:hint="eastAsia" w:ascii="Calibri" w:hAnsi="Calibri" w:cs="Calibri"/>
          <w:bCs/>
        </w:rPr>
        <w:t>总分（70分-79分）；</w:t>
      </w:r>
      <w:r>
        <w:rPr>
          <w:rFonts w:hint="eastAsia" w:ascii="Calibri" w:hAnsi="Calibri" w:cs="Calibri"/>
          <w:bCs/>
          <w:lang w:eastAsia="zh-CN"/>
        </w:rPr>
        <w:t>（</w:t>
      </w:r>
      <w:r>
        <w:rPr>
          <w:rFonts w:hint="eastAsia" w:ascii="Calibri" w:hAnsi="Calibri" w:cs="Calibri"/>
          <w:bCs/>
          <w:lang w:val="en-US" w:eastAsia="zh-CN"/>
        </w:rPr>
        <w:t>2</w:t>
      </w:r>
      <w:r>
        <w:rPr>
          <w:rFonts w:hint="eastAsia" w:ascii="Calibri" w:hAnsi="Calibri" w:cs="Calibri"/>
          <w:bCs/>
          <w:lang w:eastAsia="zh-CN"/>
        </w:rPr>
        <w:t>）</w:t>
      </w:r>
      <w:r>
        <w:rPr>
          <w:rFonts w:hint="eastAsia" w:ascii="Calibri" w:hAnsi="Calibri" w:cs="Calibri"/>
          <w:bCs/>
        </w:rPr>
        <w:t>有两位专家同时认为某单项需要关注；</w:t>
      </w:r>
      <w:r>
        <w:rPr>
          <w:rFonts w:hint="eastAsia" w:ascii="Calibri" w:hAnsi="Calibri" w:cs="Calibri"/>
          <w:bCs/>
          <w:lang w:eastAsia="zh-CN"/>
        </w:rPr>
        <w:t>（</w:t>
      </w:r>
      <w:r>
        <w:rPr>
          <w:rFonts w:hint="eastAsia" w:ascii="Calibri" w:hAnsi="Calibri" w:cs="Calibri"/>
          <w:bCs/>
          <w:lang w:val="en-US" w:eastAsia="zh-CN"/>
        </w:rPr>
        <w:t>3</w:t>
      </w:r>
      <w:r>
        <w:rPr>
          <w:rFonts w:hint="eastAsia" w:ascii="Calibri" w:hAnsi="Calibri" w:cs="Calibri"/>
          <w:bCs/>
          <w:lang w:eastAsia="zh-CN"/>
        </w:rPr>
        <w:t>）</w:t>
      </w:r>
      <w:r>
        <w:rPr>
          <w:rFonts w:hint="eastAsia" w:ascii="Calibri" w:hAnsi="Calibri" w:cs="Calibri"/>
          <w:bCs/>
        </w:rPr>
        <w:t>所在组考核排名后百分之十；总分低于70分</w:t>
      </w:r>
      <w:r>
        <w:rPr>
          <w:rFonts w:hint="eastAsia"/>
          <w:b/>
          <w:bCs/>
        </w:rPr>
        <w:t>考核结果为“重点关注”。</w:t>
      </w:r>
      <w:r>
        <w:rPr>
          <w:rFonts w:hint="eastAsia" w:ascii="Calibri" w:hAnsi="Calibri" w:cs="Calibri"/>
          <w:bCs/>
        </w:rPr>
        <w:t xml:space="preserve"> </w:t>
      </w:r>
    </w:p>
    <w:p>
      <w:pPr>
        <w:pStyle w:val="7"/>
        <w:numPr>
          <w:ilvl w:val="0"/>
          <w:numId w:val="3"/>
        </w:numPr>
        <w:spacing w:after="50"/>
        <w:ind w:firstLineChars="0"/>
        <w:rPr>
          <w:rFonts w:asciiTheme="minorEastAsia" w:hAnsiTheme="minorEastAsia"/>
          <w:b/>
        </w:rPr>
      </w:pPr>
      <w:r>
        <w:rPr>
          <w:rFonts w:hint="eastAsia" w:asciiTheme="minorEastAsia" w:hAnsiTheme="minorEastAsia"/>
          <w:b/>
        </w:rPr>
        <w:t>开题报告</w:t>
      </w:r>
    </w:p>
    <w:p>
      <w:pPr>
        <w:pStyle w:val="7"/>
        <w:numPr>
          <w:ilvl w:val="1"/>
          <w:numId w:val="3"/>
        </w:numPr>
        <w:spacing w:after="50"/>
        <w:ind w:left="426" w:firstLine="422" w:firstLineChars="201"/>
        <w:rPr>
          <w:szCs w:val="21"/>
        </w:rPr>
      </w:pPr>
      <w:r>
        <w:rPr>
          <w:rFonts w:hint="eastAsia" w:ascii="宋体" w:hAnsi="宋体"/>
          <w:szCs w:val="21"/>
        </w:rPr>
        <w:t>硕士生最迟应在第三学期通过学位论文开题报告。</w:t>
      </w:r>
      <w:r>
        <w:rPr>
          <w:rFonts w:hint="eastAsia"/>
          <w:szCs w:val="21"/>
        </w:rPr>
        <w:t>开题报告由导师负责主持、指导小组成员参与，专家组对选题的意义、科学性、可行性以及具体研究思路、实验方法等进行论证，做出通过或不通过的决定。</w:t>
      </w:r>
    </w:p>
    <w:p>
      <w:pPr>
        <w:pStyle w:val="7"/>
        <w:numPr>
          <w:ilvl w:val="1"/>
          <w:numId w:val="3"/>
        </w:numPr>
        <w:spacing w:after="120"/>
        <w:ind w:left="426" w:firstLine="425" w:firstLineChars="0"/>
        <w:rPr>
          <w:szCs w:val="21"/>
        </w:rPr>
      </w:pPr>
      <w:r>
        <w:rPr>
          <w:rFonts w:hint="eastAsia" w:ascii="宋体" w:hAnsi="宋体"/>
          <w:szCs w:val="21"/>
        </w:rPr>
        <w:t>普通招考博士生和硕博连读生最迟须在第三学期末，本科直博生最迟须在</w:t>
      </w:r>
      <w:bookmarkStart w:id="0" w:name="_GoBack"/>
      <w:bookmarkEnd w:id="0"/>
      <w:r>
        <w:rPr>
          <w:rFonts w:hint="eastAsia" w:ascii="宋体" w:hAnsi="宋体"/>
          <w:szCs w:val="21"/>
        </w:rPr>
        <w:t>第五学期通过博士学位论文开题报告。开题报告由学科（专业）组织，成立包括导师在内的3—5名专家组，</w:t>
      </w:r>
      <w:r>
        <w:rPr>
          <w:rFonts w:hint="eastAsia"/>
          <w:szCs w:val="21"/>
        </w:rPr>
        <w:t>根据第六条所述博士学位论文的基本要求，对选题的意义、科学性、可行性以及具体研究思路、实验方法等进行论证，做出通过或不通过的决定。</w:t>
      </w:r>
    </w:p>
    <w:p>
      <w:pPr>
        <w:pStyle w:val="7"/>
        <w:numPr>
          <w:ilvl w:val="0"/>
          <w:numId w:val="3"/>
        </w:numPr>
        <w:spacing w:after="50"/>
        <w:ind w:firstLineChars="0"/>
        <w:rPr>
          <w:rFonts w:asciiTheme="minorEastAsia" w:hAnsiTheme="minorEastAsia"/>
          <w:b/>
        </w:rPr>
      </w:pPr>
      <w:r>
        <w:rPr>
          <w:rFonts w:hint="eastAsia" w:asciiTheme="minorEastAsia" w:hAnsiTheme="minorEastAsia"/>
          <w:b/>
        </w:rPr>
        <w:t>中期考核</w:t>
      </w:r>
    </w:p>
    <w:p>
      <w:pPr>
        <w:pStyle w:val="7"/>
        <w:numPr>
          <w:ilvl w:val="1"/>
          <w:numId w:val="3"/>
        </w:numPr>
        <w:spacing w:after="50"/>
        <w:ind w:left="426" w:firstLine="425" w:firstLineChars="0"/>
      </w:pPr>
      <w:r>
        <w:rPr>
          <w:rFonts w:hint="eastAsia" w:ascii="宋体" w:hAnsi="宋体"/>
          <w:szCs w:val="21"/>
        </w:rPr>
        <w:t>硕士生中期考核：</w:t>
      </w:r>
      <w:r>
        <w:rPr>
          <w:rFonts w:hint="eastAsia"/>
        </w:rPr>
        <w:t>硕士生入学后第四学期初进行中期</w:t>
      </w:r>
      <w:r>
        <w:rPr>
          <w:rFonts w:hint="eastAsia" w:ascii="宋体" w:hAnsi="宋体"/>
          <w:b/>
        </w:rPr>
        <w:t>/</w:t>
      </w:r>
      <w:r>
        <w:rPr>
          <w:rFonts w:hint="eastAsia"/>
        </w:rPr>
        <w:t>硕博连读考核，最晚应该在第五学期通过中期考核。</w:t>
      </w:r>
      <w:r>
        <w:rPr>
          <w:rFonts w:hint="eastAsia"/>
          <w:szCs w:val="21"/>
        </w:rPr>
        <w:t>考核成绩分为通过、条件通过和不通过三档。结合当年学科和导师博士招生名额情况，部分考核通过者于第5学期转入博士阶段，部分继续硕士培养过程；对条件通过者，应对其提出明确要求，半年后重新考核一次，通过即可继续硕士培养过程；</w:t>
      </w:r>
      <w:r>
        <w:rPr>
          <w:rFonts w:hint="eastAsia"/>
        </w:rPr>
        <w:t>考核不通过者终止培养过程取得肄业证书。</w:t>
      </w:r>
    </w:p>
    <w:p>
      <w:pPr>
        <w:spacing w:after="50"/>
        <w:ind w:left="420" w:leftChars="200" w:firstLine="14" w:firstLineChars="7"/>
      </w:pPr>
      <w:r>
        <w:rPr>
          <w:rFonts w:hint="eastAsia"/>
        </w:rPr>
        <w:t xml:space="preserve">    考核内容：主要考核专业基础知识掌握情况、对学科前沿动态的了解、科研情况、综合素质和能力，包括精神、心理状况等。</w:t>
      </w:r>
    </w:p>
    <w:p>
      <w:pPr>
        <w:spacing w:after="50"/>
        <w:ind w:left="420" w:leftChars="200" w:firstLine="434" w:firstLineChars="207"/>
      </w:pPr>
      <w:r>
        <w:rPr>
          <w:rFonts w:hint="eastAsia"/>
        </w:rPr>
        <w:t>考核方式：以学科（专业）组织面试为主。</w:t>
      </w:r>
    </w:p>
    <w:p>
      <w:pPr>
        <w:pStyle w:val="7"/>
        <w:numPr>
          <w:ilvl w:val="1"/>
          <w:numId w:val="3"/>
        </w:numPr>
        <w:spacing w:after="50"/>
        <w:ind w:left="426" w:firstLine="425" w:firstLineChars="0"/>
        <w:rPr>
          <w:rFonts w:ascii="宋体" w:hAnsi="宋体"/>
          <w:szCs w:val="21"/>
        </w:rPr>
      </w:pPr>
      <w:r>
        <w:rPr>
          <w:rFonts w:hint="eastAsia" w:ascii="宋体" w:hAnsi="宋体"/>
          <w:szCs w:val="21"/>
        </w:rPr>
        <w:t>博士生中期考核：普通招考博士生和硕博连读生最迟须在第五学期，本科直博生最迟须在入学后第七学期通过博士学位论文中期考核。考核结果分为通过、条件通过和不通过三种情形，通过者继续攻读博士学位；对条件通过者，应对其提出明确要求，半年后重新考核一次，通过即可继续博士培养过程；不通过者转入硕士培养或终止研究生培养过程。</w:t>
      </w:r>
    </w:p>
    <w:p>
      <w:pPr>
        <w:spacing w:after="50"/>
        <w:ind w:left="420" w:leftChars="200" w:firstLine="14" w:firstLineChars="7"/>
        <w:rPr>
          <w:rFonts w:ascii="宋体" w:hAnsi="宋体"/>
          <w:szCs w:val="21"/>
        </w:rPr>
      </w:pPr>
      <w:r>
        <w:rPr>
          <w:rFonts w:hint="eastAsia" w:ascii="宋体" w:hAnsi="宋体"/>
          <w:szCs w:val="21"/>
        </w:rPr>
        <w:t xml:space="preserve">    考核内容：主要考核学生对自己研究领域的国际前沿动态的深入了解、论文研究工作进展、预期能否取得达到博士学位水平的研究成果。</w:t>
      </w:r>
    </w:p>
    <w:p>
      <w:pPr>
        <w:spacing w:after="50"/>
        <w:ind w:left="420" w:leftChars="200" w:firstLine="14" w:firstLineChars="7"/>
      </w:pPr>
      <w:r>
        <w:rPr>
          <w:rFonts w:hint="eastAsia" w:ascii="宋体" w:hAnsi="宋体"/>
          <w:szCs w:val="21"/>
        </w:rPr>
        <w:t xml:space="preserve">    考核方式：学生向</w:t>
      </w:r>
      <w:r>
        <w:rPr>
          <w:rFonts w:hint="eastAsia"/>
        </w:rPr>
        <w:t>学科（专业）组织的考核专家组口头报告自己论文研究工作进展情况（通过ppt，报告时间不少于20分钟），由专家组讨论、表决是否通过。</w:t>
      </w:r>
    </w:p>
    <w:p>
      <w:pPr>
        <w:spacing w:after="50"/>
        <w:ind w:firstLine="435"/>
        <w:rPr>
          <w:b/>
        </w:rPr>
      </w:pPr>
      <w:r>
        <w:rPr>
          <w:rFonts w:hint="eastAsia"/>
          <w:b/>
        </w:rPr>
        <w:t>5、学位论文预答辩</w:t>
      </w:r>
    </w:p>
    <w:p>
      <w:pPr>
        <w:spacing w:after="50"/>
        <w:ind w:left="420" w:leftChars="200" w:firstLine="14" w:firstLineChars="7"/>
      </w:pPr>
      <w:r>
        <w:rPr>
          <w:rFonts w:hint="eastAsia"/>
        </w:rPr>
        <w:t xml:space="preserve">    学生修完规定的课程且成绩合格、学位论文主体工作基本完成后可提出预答辩申请，经导师同意后参加学位论文预答辩。每学期开始后的1个月内组织拟于该学期毕业的研究生学位论文预答辩。通过预答辩才能进入正式答辩、毕业程序。</w:t>
      </w:r>
    </w:p>
    <w:p>
      <w:pPr>
        <w:spacing w:after="50"/>
        <w:ind w:left="420" w:leftChars="200" w:firstLine="14" w:firstLineChars="7"/>
      </w:pPr>
      <w:r>
        <w:rPr>
          <w:rFonts w:hint="eastAsia"/>
        </w:rPr>
        <w:t xml:space="preserve">    硕士学位论文预答辩由指导小组成员在导师主持下进行。学生汇报论文研究工作过程和已取得的研究成果后，由指导小组讨论后做出通过或不通过的决定。</w:t>
      </w:r>
    </w:p>
    <w:p>
      <w:pPr>
        <w:spacing w:after="50"/>
        <w:ind w:left="420" w:leftChars="200" w:firstLine="14" w:firstLineChars="7"/>
      </w:pPr>
      <w:r>
        <w:rPr>
          <w:rFonts w:hint="eastAsia"/>
        </w:rPr>
        <w:t xml:space="preserve">    博士学位论文预答辩由学科（专业）组织，规模大的学科可按不同研究方向（领域）分组进行。预答辩专家组由3</w:t>
      </w:r>
      <w:r>
        <w:t>-</w:t>
      </w:r>
      <w:r>
        <w:rPr>
          <w:rFonts w:hint="eastAsia"/>
        </w:rPr>
        <w:t>5人组成，</w:t>
      </w:r>
      <w:r>
        <w:rPr>
          <w:rFonts w:hint="eastAsia" w:ascii="宋体" w:hAnsi="宋体"/>
          <w:bCs/>
          <w:szCs w:val="21"/>
        </w:rPr>
        <w:t>表决时实行导师回避</w:t>
      </w:r>
      <w:r>
        <w:rPr>
          <w:rFonts w:hint="eastAsia"/>
        </w:rPr>
        <w:t>。学生汇报论文研究工作过程和已取得的研究成果后，专家组评审学位论文通过提问、讨论、表决做出通过或不通过的决定。对于未通过者，专家组应给出较为明确的理由或改进建议。</w:t>
      </w:r>
    </w:p>
    <w:p>
      <w:pPr>
        <w:spacing w:after="50"/>
        <w:ind w:left="420" w:leftChars="200" w:firstLine="14" w:firstLineChars="7"/>
      </w:pPr>
      <w:r>
        <w:rPr>
          <w:rFonts w:hint="eastAsia"/>
        </w:rPr>
        <w:t xml:space="preserve">    未通过预答辩者，根据具体情况可进入延迟毕业、结业、转硕士毕业（硕博连读和直博生）或终止培养程序。</w:t>
      </w:r>
    </w:p>
    <w:p>
      <w:pPr>
        <w:ind w:left="420" w:leftChars="200" w:firstLine="14" w:firstLineChars="7"/>
        <w:rPr>
          <w:color w:val="FF0000"/>
          <w:szCs w:val="21"/>
        </w:rPr>
      </w:pPr>
      <w:r>
        <w:rPr>
          <w:rFonts w:hint="eastAsia"/>
        </w:rPr>
        <w:t xml:space="preserve">    </w:t>
      </w:r>
    </w:p>
    <w:p>
      <w:pPr>
        <w:spacing w:after="156" w:afterLines="50"/>
        <w:ind w:left="420" w:leftChars="200" w:firstLine="422" w:firstLineChars="200"/>
        <w:rPr>
          <w:b/>
        </w:rPr>
      </w:pPr>
      <w:r>
        <w:rPr>
          <w:rFonts w:hint="eastAsia"/>
          <w:b/>
        </w:rPr>
        <w:t>培养各环节时间截点：</w:t>
      </w:r>
    </w:p>
    <w:tbl>
      <w:tblPr>
        <w:tblStyle w:val="5"/>
        <w:tblpPr w:leftFromText="180" w:rightFromText="180" w:vertAnchor="text" w:horzAnchor="margin" w:tblpXSpec="center" w:tblpY="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1969"/>
        <w:gridCol w:w="1969"/>
        <w:gridCol w:w="1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9" w:type="dxa"/>
          </w:tcPr>
          <w:p>
            <w:pPr>
              <w:rPr>
                <w:rFonts w:hint="eastAsia"/>
                <w:b/>
              </w:rPr>
            </w:pPr>
            <w:r>
              <w:rPr>
                <w:rFonts w:hint="eastAsia"/>
                <w:b/>
              </w:rPr>
              <w:t>培养环节</w:t>
            </w:r>
          </w:p>
        </w:tc>
        <w:tc>
          <w:tcPr>
            <w:tcW w:w="1969" w:type="dxa"/>
          </w:tcPr>
          <w:p>
            <w:pPr>
              <w:ind w:firstLine="211" w:firstLineChars="100"/>
              <w:rPr>
                <w:rFonts w:hint="eastAsia"/>
                <w:b/>
              </w:rPr>
            </w:pPr>
            <w:r>
              <w:rPr>
                <w:rFonts w:hint="eastAsia"/>
                <w:b/>
              </w:rPr>
              <w:t>本科直博生</w:t>
            </w:r>
          </w:p>
        </w:tc>
        <w:tc>
          <w:tcPr>
            <w:tcW w:w="1969" w:type="dxa"/>
          </w:tcPr>
          <w:p>
            <w:pPr>
              <w:rPr>
                <w:rFonts w:hint="eastAsia"/>
                <w:b/>
              </w:rPr>
            </w:pPr>
            <w:r>
              <w:rPr>
                <w:rFonts w:hint="eastAsia"/>
                <w:b/>
              </w:rPr>
              <w:t>硕博连读生（博士生入学算起）</w:t>
            </w:r>
          </w:p>
        </w:tc>
        <w:tc>
          <w:tcPr>
            <w:tcW w:w="1969" w:type="dxa"/>
          </w:tcPr>
          <w:p>
            <w:pPr>
              <w:rPr>
                <w:rFonts w:hint="eastAsia"/>
                <w:b/>
              </w:rPr>
            </w:pPr>
            <w:r>
              <w:rPr>
                <w:rFonts w:hint="eastAsia"/>
                <w:b/>
              </w:rPr>
              <w:t>普通招考博士生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9" w:type="dxa"/>
          </w:tcPr>
          <w:p>
            <w:pPr>
              <w:rPr>
                <w:rFonts w:hint="eastAsia"/>
              </w:rPr>
            </w:pPr>
            <w:r>
              <w:rPr>
                <w:rFonts w:hint="eastAsia"/>
              </w:rPr>
              <w:t>博士生资格考试</w:t>
            </w:r>
          </w:p>
        </w:tc>
        <w:tc>
          <w:tcPr>
            <w:tcW w:w="1969" w:type="dxa"/>
          </w:tcPr>
          <w:p>
            <w:pPr>
              <w:rPr>
                <w:rFonts w:hint="eastAsia"/>
              </w:rPr>
            </w:pPr>
            <w:r>
              <w:rPr>
                <w:rFonts w:hint="eastAsia"/>
              </w:rPr>
              <w:t>第五学期1</w:t>
            </w:r>
            <w:r>
              <w:t>0</w:t>
            </w:r>
            <w:r>
              <w:rPr>
                <w:rFonts w:hint="eastAsia"/>
              </w:rPr>
              <w:t>月前</w:t>
            </w:r>
          </w:p>
        </w:tc>
        <w:tc>
          <w:tcPr>
            <w:tcW w:w="3938" w:type="dxa"/>
            <w:gridSpan w:val="2"/>
          </w:tcPr>
          <w:p>
            <w:pPr>
              <w:jc w:val="center"/>
              <w:rPr>
                <w:rFonts w:hint="eastAsia"/>
              </w:rPr>
            </w:pPr>
            <w:r>
              <w:rPr>
                <w:rFonts w:hint="eastAsia"/>
              </w:rPr>
              <w:t>第三学期1</w:t>
            </w:r>
            <w:r>
              <w:t>0</w:t>
            </w:r>
            <w:r>
              <w:rPr>
                <w:rFonts w:hint="eastAsia"/>
              </w:rPr>
              <w:t>月前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9" w:type="dxa"/>
          </w:tcPr>
          <w:p>
            <w:pPr>
              <w:rPr>
                <w:rFonts w:hint="eastAsia"/>
              </w:rPr>
            </w:pPr>
            <w:r>
              <w:rPr>
                <w:rFonts w:hint="eastAsia"/>
              </w:rPr>
              <w:t>博士生年度考核</w:t>
            </w:r>
          </w:p>
        </w:tc>
        <w:tc>
          <w:tcPr>
            <w:tcW w:w="1969" w:type="dxa"/>
          </w:tcPr>
          <w:p>
            <w:pPr>
              <w:rPr>
                <w:rFonts w:hint="eastAsia"/>
              </w:rPr>
            </w:pPr>
            <w:r>
              <w:rPr>
                <w:rFonts w:hint="eastAsia"/>
              </w:rPr>
              <w:t>第七学期1</w:t>
            </w:r>
            <w:r>
              <w:t>0</w:t>
            </w:r>
            <w:r>
              <w:rPr>
                <w:rFonts w:hint="eastAsia"/>
              </w:rPr>
              <w:t>月前</w:t>
            </w:r>
          </w:p>
        </w:tc>
        <w:tc>
          <w:tcPr>
            <w:tcW w:w="3938" w:type="dxa"/>
            <w:gridSpan w:val="2"/>
          </w:tcPr>
          <w:p>
            <w:pPr>
              <w:jc w:val="center"/>
              <w:rPr>
                <w:rFonts w:hint="eastAsia"/>
              </w:rPr>
            </w:pPr>
            <w:r>
              <w:rPr>
                <w:rFonts w:hint="eastAsia"/>
              </w:rPr>
              <w:t>第五学期1</w:t>
            </w:r>
            <w:r>
              <w:t>0</w:t>
            </w:r>
            <w:r>
              <w:rPr>
                <w:rFonts w:hint="eastAsia"/>
              </w:rPr>
              <w:t>月前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9" w:type="dxa"/>
          </w:tcPr>
          <w:p>
            <w:pPr>
              <w:rPr>
                <w:rFonts w:hint="eastAsia"/>
              </w:rPr>
            </w:pPr>
            <w:r>
              <w:rPr>
                <w:rFonts w:hint="eastAsia"/>
              </w:rPr>
              <w:t>开题报告</w:t>
            </w:r>
          </w:p>
        </w:tc>
        <w:tc>
          <w:tcPr>
            <w:tcW w:w="1969" w:type="dxa"/>
          </w:tcPr>
          <w:p>
            <w:pPr>
              <w:rPr>
                <w:rFonts w:hint="eastAsia"/>
              </w:rPr>
            </w:pPr>
            <w:r>
              <w:rPr>
                <w:rFonts w:hint="eastAsia"/>
              </w:rPr>
              <w:t>最迟第五学期末</w:t>
            </w:r>
          </w:p>
        </w:tc>
        <w:tc>
          <w:tcPr>
            <w:tcW w:w="3938" w:type="dxa"/>
            <w:gridSpan w:val="2"/>
          </w:tcPr>
          <w:p>
            <w:pPr>
              <w:jc w:val="center"/>
              <w:rPr>
                <w:rFonts w:hint="eastAsia"/>
              </w:rPr>
            </w:pPr>
            <w:r>
              <w:rPr>
                <w:rFonts w:hint="eastAsia"/>
              </w:rPr>
              <w:t>最迟第三学期末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9" w:type="dxa"/>
          </w:tcPr>
          <w:p>
            <w:pPr>
              <w:rPr>
                <w:rFonts w:hint="eastAsia"/>
              </w:rPr>
            </w:pPr>
            <w:r>
              <w:rPr>
                <w:rFonts w:hint="eastAsia"/>
              </w:rPr>
              <w:t>中期考核</w:t>
            </w:r>
          </w:p>
        </w:tc>
        <w:tc>
          <w:tcPr>
            <w:tcW w:w="1969" w:type="dxa"/>
          </w:tcPr>
          <w:p>
            <w:pPr>
              <w:rPr>
                <w:rFonts w:hint="eastAsia"/>
              </w:rPr>
            </w:pPr>
            <w:r>
              <w:rPr>
                <w:rFonts w:hint="eastAsia"/>
              </w:rPr>
              <w:t>最迟第七学期末</w:t>
            </w:r>
          </w:p>
        </w:tc>
        <w:tc>
          <w:tcPr>
            <w:tcW w:w="3938" w:type="dxa"/>
            <w:gridSpan w:val="2"/>
          </w:tcPr>
          <w:p>
            <w:pPr>
              <w:jc w:val="center"/>
            </w:pPr>
            <w:r>
              <w:rPr>
                <w:rFonts w:hint="eastAsia"/>
              </w:rPr>
              <w:t>最迟第五学期末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9" w:type="dxa"/>
          </w:tcPr>
          <w:p>
            <w:pPr>
              <w:rPr>
                <w:rFonts w:hint="eastAsia"/>
              </w:rPr>
            </w:pPr>
            <w:r>
              <w:rPr>
                <w:rFonts w:hint="eastAsia"/>
              </w:rPr>
              <w:t>预答辩</w:t>
            </w:r>
          </w:p>
        </w:tc>
        <w:tc>
          <w:tcPr>
            <w:tcW w:w="5907" w:type="dxa"/>
            <w:gridSpan w:val="3"/>
          </w:tcPr>
          <w:p>
            <w:pPr>
              <w:jc w:val="center"/>
              <w:rPr>
                <w:rFonts w:hint="eastAsia"/>
              </w:rPr>
            </w:pPr>
            <w:r>
              <w:rPr>
                <w:rFonts w:hint="eastAsia"/>
              </w:rPr>
              <w:t>申请毕业所在学期</w:t>
            </w:r>
            <w:r>
              <w:t xml:space="preserve"> </w:t>
            </w:r>
            <w:r>
              <w:rPr>
                <w:rFonts w:hint="eastAsia"/>
              </w:rPr>
              <w:t>开学后一个月内</w:t>
            </w:r>
          </w:p>
        </w:tc>
      </w:tr>
    </w:tbl>
    <w:p>
      <w:pPr>
        <w:ind w:left="420" w:leftChars="200" w:firstLine="420" w:firstLineChars="200"/>
      </w:pPr>
    </w:p>
    <w:p>
      <w:pPr>
        <w:ind w:left="420" w:leftChars="200" w:firstLine="420" w:firstLineChars="200"/>
      </w:pPr>
    </w:p>
    <w:p>
      <w:pPr>
        <w:ind w:left="420" w:leftChars="200" w:firstLine="420" w:firstLineChars="200"/>
      </w:pPr>
    </w:p>
    <w:p>
      <w:pPr>
        <w:ind w:left="420" w:leftChars="200" w:firstLine="420" w:firstLineChars="200"/>
      </w:pPr>
    </w:p>
    <w:p>
      <w:pPr>
        <w:ind w:left="420" w:leftChars="200" w:firstLine="420" w:firstLineChars="200"/>
        <w:rPr>
          <w:rFonts w:hint="eastAsia"/>
        </w:rPr>
      </w:pPr>
    </w:p>
    <w:p>
      <w:pPr>
        <w:ind w:left="420" w:leftChars="200" w:firstLine="420" w:firstLineChars="200"/>
      </w:pPr>
    </w:p>
    <w:p>
      <w:pPr>
        <w:ind w:left="420" w:leftChars="200" w:firstLine="420" w:firstLineChars="200"/>
      </w:pPr>
    </w:p>
    <w:p>
      <w:pPr>
        <w:ind w:left="420" w:leftChars="200" w:firstLine="420" w:firstLineChars="200"/>
      </w:pPr>
      <w:r>
        <w:rPr>
          <w:rFonts w:hint="eastAsia"/>
        </w:rPr>
        <w:t xml:space="preserve">                                   </w:t>
      </w:r>
      <w:r>
        <w:t xml:space="preserve">                </w:t>
      </w:r>
      <w:r>
        <w:rPr>
          <w:rFonts w:hint="eastAsia"/>
        </w:rPr>
        <w:t xml:space="preserve">  生命科学学院</w:t>
      </w:r>
    </w:p>
    <w:p>
      <w:pPr>
        <w:ind w:left="420" w:leftChars="200" w:firstLine="420" w:firstLineChars="200"/>
        <w:rPr>
          <w:rFonts w:asciiTheme="minorEastAsia" w:hAnsiTheme="minorEastAsia"/>
        </w:rPr>
      </w:pPr>
      <w:r>
        <w:rPr>
          <w:rFonts w:hint="eastAsia"/>
        </w:rPr>
        <w:t xml:space="preserve">                                     </w:t>
      </w:r>
      <w:r>
        <w:t xml:space="preserve">                </w:t>
      </w:r>
      <w:r>
        <w:rPr>
          <w:rFonts w:hint="eastAsia"/>
        </w:rPr>
        <w:t xml:space="preserve"> 20</w:t>
      </w:r>
      <w:r>
        <w:t>22</w:t>
      </w:r>
      <w:r>
        <w:rPr>
          <w:rFonts w:hint="eastAsia"/>
        </w:rPr>
        <w:t>年</w:t>
      </w:r>
      <w:r>
        <w:t>6</w:t>
      </w:r>
      <w:r>
        <w:rPr>
          <w:rFonts w:hint="eastAsia"/>
        </w:rPr>
        <w:t>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2F6162"/>
    <w:multiLevelType w:val="multilevel"/>
    <w:tmpl w:val="492F6162"/>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1A1229F"/>
    <w:multiLevelType w:val="multilevel"/>
    <w:tmpl w:val="61A1229F"/>
    <w:lvl w:ilvl="0" w:tentative="0">
      <w:start w:val="1"/>
      <w:numFmt w:val="decimal"/>
      <w:lvlText w:val="%1、"/>
      <w:lvlJc w:val="left"/>
      <w:pPr>
        <w:tabs>
          <w:tab w:val="left" w:pos="780"/>
        </w:tabs>
        <w:ind w:left="780" w:hanging="360"/>
      </w:pPr>
      <w:rPr>
        <w:rFonts w:hint="default"/>
      </w:rPr>
    </w:lvl>
    <w:lvl w:ilvl="1" w:tentative="0">
      <w:start w:val="1"/>
      <w:numFmt w:val="decimalEnclosedParen"/>
      <w:lvlText w:val="%2"/>
      <w:lvlJc w:val="left"/>
      <w:pPr>
        <w:ind w:left="644" w:hanging="360"/>
      </w:pPr>
      <w:rPr>
        <w:rFonts w:hint="default" w:ascii="宋体" w:hAnsi="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7267861"/>
    <w:multiLevelType w:val="multilevel"/>
    <w:tmpl w:val="67267861"/>
    <w:lvl w:ilvl="0" w:tentative="0">
      <w:start w:val="3"/>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Y4Y2M2ODdjMzJmNTMwYTZlNzcwNjFiYzgyYzI3MzQifQ=="/>
  </w:docVars>
  <w:rsids>
    <w:rsidRoot w:val="007B4205"/>
    <w:rsid w:val="000033CC"/>
    <w:rsid w:val="00010B6B"/>
    <w:rsid w:val="000902C5"/>
    <w:rsid w:val="000E0AE4"/>
    <w:rsid w:val="0010258F"/>
    <w:rsid w:val="00117554"/>
    <w:rsid w:val="001517BC"/>
    <w:rsid w:val="00155E3F"/>
    <w:rsid w:val="00191BB6"/>
    <w:rsid w:val="002056C7"/>
    <w:rsid w:val="00265BA7"/>
    <w:rsid w:val="00285B46"/>
    <w:rsid w:val="00285F56"/>
    <w:rsid w:val="002A4611"/>
    <w:rsid w:val="002B0397"/>
    <w:rsid w:val="002D64AA"/>
    <w:rsid w:val="00461A51"/>
    <w:rsid w:val="004B5EEA"/>
    <w:rsid w:val="004C4E78"/>
    <w:rsid w:val="005021BF"/>
    <w:rsid w:val="00506E3F"/>
    <w:rsid w:val="00551BF4"/>
    <w:rsid w:val="005910F9"/>
    <w:rsid w:val="005C33A0"/>
    <w:rsid w:val="005F71B8"/>
    <w:rsid w:val="00612A37"/>
    <w:rsid w:val="00722A5F"/>
    <w:rsid w:val="00755078"/>
    <w:rsid w:val="007679AE"/>
    <w:rsid w:val="007B4205"/>
    <w:rsid w:val="007E7437"/>
    <w:rsid w:val="0084241D"/>
    <w:rsid w:val="00843C0C"/>
    <w:rsid w:val="008A65CD"/>
    <w:rsid w:val="008B3C49"/>
    <w:rsid w:val="008D3984"/>
    <w:rsid w:val="00995E76"/>
    <w:rsid w:val="00996CE8"/>
    <w:rsid w:val="00A31C1E"/>
    <w:rsid w:val="00A40AF1"/>
    <w:rsid w:val="00A46614"/>
    <w:rsid w:val="00A7605C"/>
    <w:rsid w:val="00B36596"/>
    <w:rsid w:val="00BA5CA3"/>
    <w:rsid w:val="00BA64EE"/>
    <w:rsid w:val="00BB2582"/>
    <w:rsid w:val="00BC3C11"/>
    <w:rsid w:val="00C1742E"/>
    <w:rsid w:val="00C350BA"/>
    <w:rsid w:val="00C426D3"/>
    <w:rsid w:val="00CC101D"/>
    <w:rsid w:val="00CD34D8"/>
    <w:rsid w:val="00D250C8"/>
    <w:rsid w:val="00DC252B"/>
    <w:rsid w:val="00DC6B30"/>
    <w:rsid w:val="00E24A16"/>
    <w:rsid w:val="00E42D17"/>
    <w:rsid w:val="00E61BBD"/>
    <w:rsid w:val="00EA5021"/>
    <w:rsid w:val="00EB7FA5"/>
    <w:rsid w:val="00F5357A"/>
    <w:rsid w:val="00F55FCD"/>
    <w:rsid w:val="00FF1DE0"/>
    <w:rsid w:val="00FF3DCA"/>
    <w:rsid w:val="0F37490E"/>
    <w:rsid w:val="14510786"/>
    <w:rsid w:val="26EA29CB"/>
    <w:rsid w:val="4AA37352"/>
    <w:rsid w:val="4D9A222B"/>
    <w:rsid w:val="71485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semiHidden/>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semiHidden/>
    <w:uiPriority w:val="99"/>
    <w:rPr>
      <w:sz w:val="18"/>
      <w:szCs w:val="18"/>
    </w:rPr>
  </w:style>
  <w:style w:type="character" w:customStyle="1" w:styleId="9">
    <w:name w:val="页脚 字符"/>
    <w:basedOn w:val="6"/>
    <w:link w:val="2"/>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2675</Words>
  <Characters>2710</Characters>
  <Lines>20</Lines>
  <Paragraphs>5</Paragraphs>
  <TotalTime>3531</TotalTime>
  <ScaleCrop>false</ScaleCrop>
  <LinksUpToDate>false</LinksUpToDate>
  <CharactersWithSpaces>2874</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2022-06-23T15:18:00Z</dcterms:created>
  <dc:creator>WangLixin</dc:creator>
  <cp:lastModifiedBy>lilydai</cp:lastModifiedBy>
  <cp:lastPrinted>2022-06-27T06:32:01Z</cp:lastPrinted>
  <dcterms:modified xsi:type="dcterms:W3CDTF">2022-06-27T06:59:14Z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48515AD5541B478A9F4CA87D5C3D3D7E</vt:lpwstr>
  </property>
</Properties>
</file>