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F9A14" w14:textId="2135F6A3" w:rsidR="0065128C" w:rsidRPr="0065128C" w:rsidRDefault="0065128C" w:rsidP="0065128C">
      <w:pPr>
        <w:spacing w:before="100" w:beforeAutospacing="1" w:after="100" w:afterAutospacing="1"/>
        <w:outlineLvl w:val="0"/>
        <w:rPr>
          <w:b/>
          <w:bCs/>
          <w:kern w:val="36"/>
          <w:sz w:val="48"/>
          <w:szCs w:val="48"/>
        </w:rPr>
      </w:pPr>
      <w:r w:rsidRPr="0065128C">
        <w:rPr>
          <w:b/>
          <w:bCs/>
          <w:kern w:val="36"/>
          <w:sz w:val="48"/>
          <w:szCs w:val="48"/>
        </w:rPr>
        <w:t>NLRP3炎症小体激活</w:t>
      </w:r>
      <w:r w:rsidR="00547230">
        <w:rPr>
          <w:rFonts w:hint="eastAsia"/>
          <w:b/>
          <w:bCs/>
          <w:kern w:val="36"/>
          <w:sz w:val="48"/>
          <w:szCs w:val="48"/>
        </w:rPr>
        <w:t>相关</w:t>
      </w:r>
      <w:r w:rsidR="00547230" w:rsidRPr="0065128C">
        <w:rPr>
          <w:b/>
          <w:bCs/>
          <w:kern w:val="36"/>
          <w:sz w:val="48"/>
          <w:szCs w:val="48"/>
        </w:rPr>
        <w:t>小鼠疾病模型</w:t>
      </w:r>
    </w:p>
    <w:p w14:paraId="29F6DAD7" w14:textId="77777777" w:rsidR="0065128C" w:rsidRPr="0065128C" w:rsidRDefault="0065128C" w:rsidP="0065128C">
      <w:pPr>
        <w:spacing w:before="100" w:beforeAutospacing="1" w:after="100" w:afterAutospacing="1"/>
      </w:pPr>
    </w:p>
    <w:p w14:paraId="7E364152" w14:textId="77777777" w:rsidR="0065128C" w:rsidRPr="0065128C" w:rsidRDefault="0065128C" w:rsidP="0065128C">
      <w:pPr>
        <w:spacing w:before="100" w:beforeAutospacing="1" w:after="100" w:afterAutospacing="1"/>
      </w:pPr>
      <w:r w:rsidRPr="0065128C">
        <w:rPr>
          <w:b/>
          <w:bCs/>
        </w:rPr>
        <w:t>概述：本次分析针对提供的837篇文献数据中有关小鼠自然发病或诱导性疾病模型</w:t>
      </w:r>
      <w:r w:rsidRPr="0065128C">
        <w:t>且涉及</w:t>
      </w:r>
      <w:r w:rsidRPr="0065128C">
        <w:rPr>
          <w:b/>
          <w:bCs/>
        </w:rPr>
        <w:t>NLRP3炎症小体通路激活</w:t>
      </w:r>
      <w:r w:rsidRPr="0065128C">
        <w:t>的研究进行了分类整理。经过筛选，约有</w:t>
      </w:r>
      <w:r w:rsidRPr="0065128C">
        <w:rPr>
          <w:b/>
          <w:bCs/>
        </w:rPr>
        <w:t>700余篇</w:t>
      </w:r>
      <w:r w:rsidRPr="0065128C">
        <w:t>原始研究文献符合条件；其余近百篇未纳入分析，主要原因包括：综述性文章（约48篇）、仅在细胞水平研究或无小鼠模型、非疾病模型（如纯机制研究）、或使用非小鼠动物模型（如大鼠等）等。这些纳入的研究根据涉及疾病的系统归属，划分为</w:t>
      </w:r>
      <w:r w:rsidRPr="0065128C">
        <w:rPr>
          <w:b/>
          <w:bCs/>
        </w:rPr>
        <w:t>神经系统、消化系统、代谢系统、呼吸系统、心血管系统</w:t>
      </w:r>
      <w:r w:rsidRPr="0065128C">
        <w:t>以及</w:t>
      </w:r>
      <w:r w:rsidRPr="0065128C">
        <w:rPr>
          <w:b/>
          <w:bCs/>
        </w:rPr>
        <w:t>其他（免疫/炎症相关疾病）等六大类别。每一类别中，我们汇总了相关文献数量、典型的小鼠疾病模型及其诱导方法，并重点说明在这些模型中通过抑制NLRP3炎症小体</w:t>
      </w:r>
      <w:r w:rsidRPr="0065128C">
        <w:t>缓解疾病的报道形式（包括药物、天然产物、基因操作、微生物干预及其他机制等），以及各模型常用的疾病表型评估指标。下文将按系统分类逐一介绍，并列出各类别主要模型的关键信息和代表性文献佐证。</w:t>
      </w:r>
    </w:p>
    <w:p w14:paraId="0274D11E" w14:textId="77777777" w:rsidR="0065128C" w:rsidRPr="0065128C" w:rsidRDefault="0065128C" w:rsidP="0065128C">
      <w:pPr>
        <w:spacing w:before="100" w:beforeAutospacing="1" w:after="100" w:afterAutospacing="1"/>
      </w:pPr>
    </w:p>
    <w:p w14:paraId="568715C8" w14:textId="77777777" w:rsidR="0065128C" w:rsidRPr="0065128C" w:rsidRDefault="0065128C" w:rsidP="0065128C">
      <w:pPr>
        <w:spacing w:before="100" w:beforeAutospacing="1" w:after="100" w:afterAutospacing="1"/>
        <w:outlineLvl w:val="1"/>
        <w:rPr>
          <w:b/>
          <w:bCs/>
          <w:sz w:val="36"/>
          <w:szCs w:val="36"/>
        </w:rPr>
      </w:pPr>
      <w:r w:rsidRPr="0065128C">
        <w:rPr>
          <w:b/>
          <w:bCs/>
          <w:sz w:val="36"/>
          <w:szCs w:val="36"/>
        </w:rPr>
        <w:t>神经系统相关疾病模型</w:t>
      </w:r>
    </w:p>
    <w:p w14:paraId="175B881B" w14:textId="77777777" w:rsidR="0065128C" w:rsidRPr="0065128C" w:rsidRDefault="0065128C" w:rsidP="0065128C">
      <w:pPr>
        <w:spacing w:before="100" w:beforeAutospacing="1" w:after="100" w:afterAutospacing="1"/>
      </w:pPr>
    </w:p>
    <w:p w14:paraId="7FA4E117" w14:textId="7A0806EE" w:rsidR="0065128C" w:rsidRDefault="0065128C" w:rsidP="0065128C">
      <w:pPr>
        <w:pStyle w:val="3"/>
        <w:rPr>
          <w:rFonts w:ascii="宋体" w:eastAsia="宋体" w:hAnsi="宋体" w:cs="宋体" w:hint="eastAsia"/>
          <w:b/>
          <w:bCs/>
          <w:kern w:val="0"/>
          <w:sz w:val="24"/>
        </w:rPr>
      </w:pPr>
      <w:r w:rsidRPr="0065128C">
        <w:rPr>
          <w:rFonts w:ascii="宋体" w:eastAsia="宋体" w:hAnsi="宋体" w:cs="宋体"/>
          <w:b/>
          <w:bCs/>
          <w:kern w:val="0"/>
          <w:sz w:val="24"/>
        </w:rPr>
        <w:t>文献数量</w:t>
      </w:r>
    </w:p>
    <w:p w14:paraId="2D813440" w14:textId="4A0D69E9" w:rsidR="0065128C" w:rsidRPr="0065128C" w:rsidRDefault="0065128C" w:rsidP="0065128C">
      <w:pPr>
        <w:spacing w:before="100" w:beforeAutospacing="1" w:after="100" w:afterAutospacing="1"/>
      </w:pPr>
      <w:r w:rsidRPr="0065128C">
        <w:rPr>
          <w:b/>
          <w:bCs/>
        </w:rPr>
        <w:t>本类别相关研究文献约250篇</w:t>
      </w:r>
      <w:r w:rsidRPr="0065128C">
        <w:t>以上，是NLRP3炎症小体研究的重点领域之一。其中涵盖</w:t>
      </w:r>
      <w:r w:rsidRPr="0065128C">
        <w:rPr>
          <w:b/>
          <w:bCs/>
        </w:rPr>
        <w:t>神经变性疾病</w:t>
      </w:r>
      <w:r w:rsidRPr="0065128C">
        <w:t>（如帕金森病、阿尔茨海默病等）、</w:t>
      </w:r>
      <w:r w:rsidRPr="0065128C">
        <w:rPr>
          <w:b/>
          <w:bCs/>
        </w:rPr>
        <w:t>急性脑损伤</w:t>
      </w:r>
      <w:r w:rsidRPr="0065128C">
        <w:t>（如脑卒中缺血再灌注、创伤性脑损伤）、</w:t>
      </w:r>
      <w:r w:rsidRPr="0065128C">
        <w:rPr>
          <w:b/>
          <w:bCs/>
        </w:rPr>
        <w:t>神经免疫疾病</w:t>
      </w:r>
      <w:r w:rsidRPr="0065128C">
        <w:t>（如多发性硬化/EAE模型）、</w:t>
      </w:r>
      <w:r w:rsidRPr="0065128C">
        <w:rPr>
          <w:b/>
          <w:bCs/>
        </w:rPr>
        <w:t>精神与行为疾病</w:t>
      </w:r>
      <w:r w:rsidRPr="0065128C">
        <w:t>（如抑郁症模型）等。多数此类研究采用转基因模型或化学诱导模型在小鼠中复制人类神经系统疾病，并观察NLRP3炎症小体在疾病中的作用及其抑制对病情的影响。</w:t>
      </w:r>
    </w:p>
    <w:p w14:paraId="50BE36D1" w14:textId="77777777" w:rsidR="0065128C" w:rsidRPr="0065128C" w:rsidRDefault="0065128C" w:rsidP="0065128C">
      <w:pPr>
        <w:spacing w:before="100" w:beforeAutospacing="1" w:after="100" w:afterAutospacing="1"/>
      </w:pPr>
    </w:p>
    <w:p w14:paraId="6C97602B" w14:textId="20FEDEBC" w:rsidR="0065128C" w:rsidRDefault="0065128C" w:rsidP="0065128C">
      <w:pPr>
        <w:pStyle w:val="3"/>
        <w:rPr>
          <w:rFonts w:ascii="宋体" w:eastAsia="宋体" w:hAnsi="宋体" w:cs="宋体" w:hint="eastAsia"/>
          <w:b/>
          <w:bCs/>
          <w:kern w:val="0"/>
          <w:sz w:val="24"/>
        </w:rPr>
      </w:pPr>
      <w:commentRangeStart w:id="0"/>
      <w:r w:rsidRPr="0065128C">
        <w:rPr>
          <w:rFonts w:ascii="宋体" w:eastAsia="宋体" w:hAnsi="宋体" w:cs="宋体"/>
          <w:b/>
          <w:bCs/>
          <w:kern w:val="0"/>
          <w:sz w:val="24"/>
        </w:rPr>
        <w:t>NLRP3干预及表型评估</w:t>
      </w:r>
    </w:p>
    <w:p w14:paraId="381BD3CD" w14:textId="21C70F01" w:rsidR="0065128C" w:rsidRDefault="0065128C" w:rsidP="0065128C">
      <w:pPr>
        <w:spacing w:before="100" w:beforeAutospacing="1" w:after="100" w:afterAutospacing="1"/>
        <w:rPr>
          <w:b/>
          <w:bCs/>
        </w:rPr>
      </w:pPr>
      <w:r w:rsidRPr="0065128C">
        <w:rPr>
          <w:b/>
          <w:bCs/>
        </w:rPr>
        <w:t>在这些模型中，普遍观察到炎症小体过度激活伴随神经炎症和组织损伤。例如帕金森病模型中小胶质/星形胶质细胞的NLRP3激活导致多巴胺神经元退变 ；阿尔茨海默病模型中NLRP3介导的IL-1β等促炎因子促进Aβ病理加重 。</w:t>
      </w:r>
    </w:p>
    <w:p w14:paraId="7BD7DEE2" w14:textId="12ADFEFC" w:rsidR="0065128C" w:rsidRDefault="0065128C" w:rsidP="0065128C">
      <w:pPr>
        <w:spacing w:before="100" w:beforeAutospacing="1" w:after="100" w:afterAutospacing="1"/>
      </w:pPr>
      <w:r w:rsidRPr="0065128C">
        <w:rPr>
          <w:b/>
          <w:bCs/>
        </w:rPr>
        <w:t>针对NLRP3通路的干预在多个模型中显示出缓解神经损伤</w:t>
      </w:r>
      <w:r w:rsidRPr="0065128C">
        <w:t>的作用</w:t>
      </w:r>
      <w:commentRangeEnd w:id="0"/>
      <w:r>
        <w:rPr>
          <w:rStyle w:val="ae"/>
        </w:rPr>
        <w:commentReference w:id="0"/>
      </w:r>
      <w:r w:rsidRPr="0065128C">
        <w:t>：</w:t>
      </w:r>
    </w:p>
    <w:p w14:paraId="2BBBCA00" w14:textId="77777777" w:rsidR="0065128C" w:rsidRDefault="0065128C" w:rsidP="0065128C">
      <w:pPr>
        <w:spacing w:before="100" w:beforeAutospacing="1" w:after="100" w:afterAutospacing="1"/>
      </w:pPr>
      <w:r w:rsidRPr="0065128C">
        <w:lastRenderedPageBreak/>
        <w:t>（1）</w:t>
      </w:r>
      <w:r w:rsidRPr="0065128C">
        <w:rPr>
          <w:b/>
          <w:bCs/>
        </w:rPr>
        <w:t>药物</w:t>
      </w:r>
      <w:r w:rsidRPr="0065128C">
        <w:t>方面，有NLRP3选择性抑制剂或其他小分子药物。如帕金森病的小鼠模型（MPTP诱导）中，选择性D2受体偏向性激动剂UNC9995可通过招募β-arrestin2抑制星形胶质细胞NLRP3激活，从而减少IL-1β释放并保护黑质神经元 。针对阿尔茨海默病，设计的NLRP3抑制剂JC-124给药可显著降低转基因小鼠脑内Aβ沉积和小胶质细胞激活，改善突触和认知功能 。</w:t>
      </w:r>
    </w:p>
    <w:p w14:paraId="05FAEBCB" w14:textId="77777777" w:rsidR="0065128C" w:rsidRDefault="0065128C" w:rsidP="0065128C">
      <w:pPr>
        <w:spacing w:before="100" w:beforeAutospacing="1" w:after="100" w:afterAutospacing="1"/>
      </w:pPr>
      <w:r w:rsidRPr="0065128C">
        <w:t>（2）</w:t>
      </w:r>
      <w:r w:rsidRPr="0065128C">
        <w:rPr>
          <w:b/>
          <w:bCs/>
        </w:rPr>
        <w:t>天然产物</w:t>
      </w:r>
      <w:r w:rsidRPr="0065128C">
        <w:t>也表现出干预效果，例如抗炎中药成分</w:t>
      </w:r>
      <w:r w:rsidRPr="0065128C">
        <w:rPr>
          <w:b/>
          <w:bCs/>
        </w:rPr>
        <w:t>芦荟大黄素</w:t>
      </w:r>
      <w:r w:rsidRPr="0065128C">
        <w:t>（ALO）在体外可抑制NLRP3炎症小体组装 ；</w:t>
      </w:r>
      <w:r w:rsidRPr="0065128C">
        <w:rPr>
          <w:b/>
          <w:bCs/>
        </w:rPr>
        <w:t>蚕茧多糖</w:t>
      </w:r>
      <w:r w:rsidRPr="0065128C">
        <w:t>、</w:t>
      </w:r>
      <w:r w:rsidRPr="0065128C">
        <w:rPr>
          <w:b/>
          <w:bCs/>
        </w:rPr>
        <w:t>女贞子甙（Naringin）等在大脑炎症模型中均有报道。尤其黄芪甲苷</w:t>
      </w:r>
      <w:r w:rsidRPr="0065128C">
        <w:t>(</w:t>
      </w:r>
      <w:proofErr w:type="spellStart"/>
      <w:r w:rsidRPr="0065128C">
        <w:t>Astragaloside</w:t>
      </w:r>
      <w:proofErr w:type="spellEnd"/>
      <w:r w:rsidRPr="0065128C">
        <w:t xml:space="preserve"> IV)在慢性应激诱导的抑郁模型中，通过上调</w:t>
      </w:r>
      <w:proofErr w:type="spellStart"/>
      <w:r w:rsidRPr="0065128C">
        <w:t>PPARγ</w:t>
      </w:r>
      <w:proofErr w:type="spellEnd"/>
      <w:r w:rsidRPr="0065128C">
        <w:t>、抑制NF-</w:t>
      </w:r>
      <w:proofErr w:type="spellStart"/>
      <w:r w:rsidRPr="0065128C">
        <w:t>κB</w:t>
      </w:r>
      <w:proofErr w:type="spellEnd"/>
      <w:r w:rsidRPr="0065128C">
        <w:t>和NLRP3通路，减轻小鼠的抑郁样行为（改善糖水摄取、强迫游泳不动时间等） 。</w:t>
      </w:r>
    </w:p>
    <w:p w14:paraId="259650FF" w14:textId="77777777" w:rsidR="0065128C" w:rsidRDefault="0065128C" w:rsidP="0065128C">
      <w:pPr>
        <w:spacing w:before="100" w:beforeAutospacing="1" w:after="100" w:afterAutospacing="1"/>
      </w:pPr>
      <w:r w:rsidRPr="0065128C">
        <w:t>（3）</w:t>
      </w:r>
      <w:r w:rsidRPr="0065128C">
        <w:rPr>
          <w:b/>
          <w:bCs/>
        </w:rPr>
        <w:t>基因敲除/沉默</w:t>
      </w:r>
      <w:r w:rsidRPr="0065128C">
        <w:t>手段证明NLRP3通路在疾病中的作用必需性。例如NLRP3基因敲除小鼠在高脂饮食诱导的认知障碍或脑缺血模型中展现神经保护作用；在多发性硬化EAE模型中，添加NLRP3抑制剂或NLRP3缺失可降低脊髓中IL-1β/IL-18水平和炎性浸润，从而减轻瘫痪症状 。</w:t>
      </w:r>
    </w:p>
    <w:p w14:paraId="2C49D947" w14:textId="063475C2" w:rsidR="0065128C" w:rsidRPr="0065128C" w:rsidRDefault="0065128C" w:rsidP="0065128C">
      <w:pPr>
        <w:spacing w:before="100" w:beforeAutospacing="1" w:after="100" w:afterAutospacing="1"/>
      </w:pPr>
      <w:r w:rsidRPr="0065128C">
        <w:t>（4）</w:t>
      </w:r>
      <w:r w:rsidRPr="0065128C">
        <w:rPr>
          <w:b/>
          <w:bCs/>
        </w:rPr>
        <w:t>微生物干预</w:t>
      </w:r>
      <w:r w:rsidRPr="0065128C">
        <w:t>方面，一些益生菌代谢产物被证明具有神经保护作用，但直接用于中枢模型的较少。（5）</w:t>
      </w:r>
      <w:r w:rsidRPr="0065128C">
        <w:rPr>
          <w:b/>
          <w:bCs/>
        </w:rPr>
        <w:t>其他机制</w:t>
      </w:r>
      <w:r w:rsidRPr="0065128C">
        <w:t>包括</w:t>
      </w:r>
      <w:r w:rsidRPr="0065128C">
        <w:rPr>
          <w:b/>
          <w:bCs/>
        </w:rPr>
        <w:t>运动</w:t>
      </w:r>
      <w:r w:rsidRPr="0065128C">
        <w:t>和</w:t>
      </w:r>
      <w:r w:rsidRPr="0065128C">
        <w:rPr>
          <w:b/>
          <w:bCs/>
        </w:rPr>
        <w:t>抗氧化剂</w:t>
      </w:r>
      <w:r w:rsidRPr="0065128C">
        <w:t>等。例如适度</w:t>
      </w:r>
      <w:r w:rsidRPr="0065128C">
        <w:rPr>
          <w:b/>
          <w:bCs/>
        </w:rPr>
        <w:t>有氧运动</w:t>
      </w:r>
      <w:r w:rsidRPr="0065128C">
        <w:t>降低了慢性应激小鼠脑内NLRP3/IL-1β水平，提高5-HT功能，从而减轻其神经行为损伤 ；又如天然产物</w:t>
      </w:r>
      <w:r w:rsidRPr="0065128C">
        <w:rPr>
          <w:b/>
          <w:bCs/>
        </w:rPr>
        <w:t>垂盆草总黄酮</w:t>
      </w:r>
      <w:r w:rsidRPr="0065128C">
        <w:t>通过抗氧化抑制海马NLRP3，可改善阿尔茨海默病模型认知 等。</w:t>
      </w:r>
    </w:p>
    <w:p w14:paraId="28213B1B" w14:textId="77777777" w:rsidR="0065128C" w:rsidRPr="0065128C" w:rsidRDefault="0065128C" w:rsidP="0065128C">
      <w:pPr>
        <w:spacing w:before="100" w:beforeAutospacing="1" w:after="100" w:afterAutospacing="1"/>
      </w:pPr>
    </w:p>
    <w:p w14:paraId="2CF7C224" w14:textId="1450512C" w:rsidR="0065128C" w:rsidRDefault="0065128C" w:rsidP="0065128C">
      <w:pPr>
        <w:pStyle w:val="3"/>
        <w:rPr>
          <w:rFonts w:ascii="宋体" w:eastAsia="宋体" w:hAnsi="宋体" w:cs="宋体"/>
          <w:kern w:val="0"/>
          <w:sz w:val="24"/>
        </w:rPr>
      </w:pPr>
      <w:r w:rsidRPr="0065128C">
        <w:rPr>
          <w:rFonts w:ascii="宋体" w:eastAsia="宋体" w:hAnsi="宋体" w:cs="宋体"/>
          <w:kern w:val="0"/>
          <w:sz w:val="24"/>
        </w:rPr>
        <w:t>表型指标根据疾病而定，包括：</w:t>
      </w:r>
    </w:p>
    <w:p w14:paraId="37DF2787" w14:textId="77777777" w:rsidR="0065128C" w:rsidRDefault="0065128C" w:rsidP="0065128C">
      <w:pPr>
        <w:spacing w:before="100" w:beforeAutospacing="1" w:after="100" w:afterAutospacing="1"/>
      </w:pPr>
      <w:r w:rsidRPr="0065128C">
        <w:rPr>
          <w:b/>
          <w:bCs/>
        </w:rPr>
        <w:t>行为学测试</w:t>
      </w:r>
      <w:r w:rsidRPr="0065128C">
        <w:t>（帕金森病的运动功能如转棒实验，抑郁模型的强迫游泳和糖水偏好等）</w:t>
      </w:r>
    </w:p>
    <w:p w14:paraId="7EFF2A0E" w14:textId="77777777" w:rsidR="0065128C" w:rsidRDefault="0065128C" w:rsidP="0065128C">
      <w:pPr>
        <w:spacing w:before="100" w:beforeAutospacing="1" w:after="100" w:afterAutospacing="1"/>
      </w:pPr>
      <w:r w:rsidRPr="0065128C">
        <w:rPr>
          <w:b/>
          <w:bCs/>
        </w:rPr>
        <w:t>认知记忆测试</w:t>
      </w:r>
      <w:r w:rsidRPr="0065128C">
        <w:t>（阿尔茨海默病模型的水迷宫、Y迷宫等）</w:t>
      </w:r>
    </w:p>
    <w:p w14:paraId="0290DC78" w14:textId="77777777" w:rsidR="0065128C" w:rsidRDefault="0065128C" w:rsidP="0065128C">
      <w:pPr>
        <w:spacing w:before="100" w:beforeAutospacing="1" w:after="100" w:afterAutospacing="1"/>
      </w:pPr>
      <w:r w:rsidRPr="0065128C">
        <w:rPr>
          <w:b/>
          <w:bCs/>
        </w:rPr>
        <w:t>神经病理学检测</w:t>
      </w:r>
      <w:r w:rsidRPr="0065128C">
        <w:t>（如黑质酪氨酸羟化酶TH+神经元计数 、脑Aβ斑块负荷 、脊髓脱髓鞘面积等）</w:t>
      </w:r>
    </w:p>
    <w:p w14:paraId="10290519" w14:textId="77777777" w:rsidR="0065128C" w:rsidRDefault="0065128C" w:rsidP="0065128C">
      <w:pPr>
        <w:spacing w:before="100" w:beforeAutospacing="1" w:after="100" w:afterAutospacing="1"/>
      </w:pPr>
      <w:r w:rsidRPr="0065128C">
        <w:rPr>
          <w:b/>
          <w:bCs/>
        </w:rPr>
        <w:t>生化和炎症指标</w:t>
      </w:r>
      <w:r w:rsidRPr="0065128C">
        <w:t>（脑组织中IL-1β、IL-18等炎症因子水平，胶质细胞活化标志物）</w:t>
      </w:r>
    </w:p>
    <w:p w14:paraId="46075013" w14:textId="47EC4B14" w:rsidR="0065128C" w:rsidRDefault="0065128C" w:rsidP="0065128C">
      <w:pPr>
        <w:spacing w:before="100" w:beforeAutospacing="1" w:after="100" w:afterAutospacing="1"/>
        <w:rPr>
          <w:rFonts w:hint="eastAsia"/>
        </w:rPr>
      </w:pPr>
      <w:r w:rsidRPr="0065128C">
        <w:rPr>
          <w:b/>
          <w:bCs/>
        </w:rPr>
        <w:t>影像/组织学评分</w:t>
      </w:r>
      <w:r w:rsidRPr="0065128C">
        <w:t>（脑梗死体积TTC染色、损伤组织HE染色评分等）</w:t>
      </w:r>
    </w:p>
    <w:p w14:paraId="1DE54B22" w14:textId="6846D442" w:rsidR="0065128C" w:rsidRDefault="0065128C" w:rsidP="0065128C">
      <w:pPr>
        <w:pStyle w:val="3"/>
        <w:rPr>
          <w:rFonts w:ascii="宋体" w:eastAsia="宋体" w:hAnsi="宋体" w:cs="宋体"/>
          <w:kern w:val="0"/>
          <w:sz w:val="24"/>
        </w:rPr>
      </w:pPr>
      <w:r w:rsidRPr="0065128C">
        <w:rPr>
          <w:rFonts w:ascii="宋体" w:eastAsia="宋体" w:hAnsi="宋体" w:cs="宋体"/>
          <w:kern w:val="0"/>
          <w:sz w:val="24"/>
        </w:rPr>
        <w:t>诱导方法、已报道的NLRP3通路干预方式及常用表型指标：</w:t>
      </w:r>
    </w:p>
    <w:tbl>
      <w:tblPr>
        <w:tblW w:w="15360" w:type="dxa"/>
        <w:tblLook w:val="04A0" w:firstRow="1" w:lastRow="0" w:firstColumn="1" w:lastColumn="0" w:noHBand="0" w:noVBand="1"/>
      </w:tblPr>
      <w:tblGrid>
        <w:gridCol w:w="3840"/>
        <w:gridCol w:w="3840"/>
        <w:gridCol w:w="3840"/>
        <w:gridCol w:w="3840"/>
      </w:tblGrid>
      <w:tr w:rsidR="00547230" w:rsidRPr="00547230" w14:paraId="2AAF50A6" w14:textId="77777777" w:rsidTr="00547230">
        <w:trPr>
          <w:trHeight w:val="300"/>
        </w:trPr>
        <w:tc>
          <w:tcPr>
            <w:tcW w:w="3840" w:type="dxa"/>
            <w:tcBorders>
              <w:top w:val="single" w:sz="4" w:space="0" w:color="auto"/>
              <w:left w:val="single" w:sz="4" w:space="0" w:color="auto"/>
              <w:bottom w:val="single" w:sz="4" w:space="0" w:color="auto"/>
              <w:right w:val="single" w:sz="4" w:space="0" w:color="auto"/>
            </w:tcBorders>
            <w:shd w:val="clear" w:color="auto" w:fill="auto"/>
            <w:hideMark/>
          </w:tcPr>
          <w:p w14:paraId="2A0FB42A" w14:textId="77777777" w:rsidR="00547230" w:rsidRPr="00547230" w:rsidRDefault="00547230" w:rsidP="00547230">
            <w:pPr>
              <w:jc w:val="center"/>
              <w:rPr>
                <w:b/>
                <w:bCs/>
                <w:sz w:val="22"/>
                <w:szCs w:val="22"/>
              </w:rPr>
            </w:pPr>
            <w:r w:rsidRPr="00547230">
              <w:rPr>
                <w:rFonts w:hint="eastAsia"/>
                <w:b/>
                <w:bCs/>
                <w:sz w:val="22"/>
                <w:szCs w:val="22"/>
              </w:rPr>
              <w:t>疾病模型</w:t>
            </w:r>
          </w:p>
        </w:tc>
        <w:tc>
          <w:tcPr>
            <w:tcW w:w="3840" w:type="dxa"/>
            <w:tcBorders>
              <w:top w:val="single" w:sz="4" w:space="0" w:color="auto"/>
              <w:left w:val="nil"/>
              <w:bottom w:val="single" w:sz="4" w:space="0" w:color="auto"/>
              <w:right w:val="single" w:sz="4" w:space="0" w:color="auto"/>
            </w:tcBorders>
            <w:shd w:val="clear" w:color="auto" w:fill="auto"/>
            <w:hideMark/>
          </w:tcPr>
          <w:p w14:paraId="377F7D1C" w14:textId="77777777" w:rsidR="00547230" w:rsidRPr="00547230" w:rsidRDefault="00547230" w:rsidP="00547230">
            <w:pPr>
              <w:jc w:val="center"/>
              <w:rPr>
                <w:rFonts w:hint="eastAsia"/>
                <w:b/>
                <w:bCs/>
                <w:sz w:val="22"/>
                <w:szCs w:val="22"/>
              </w:rPr>
            </w:pPr>
            <w:r w:rsidRPr="00547230">
              <w:rPr>
                <w:rFonts w:hint="eastAsia"/>
                <w:b/>
                <w:bCs/>
                <w:sz w:val="22"/>
                <w:szCs w:val="22"/>
              </w:rPr>
              <w:t>诱导方法</w:t>
            </w:r>
          </w:p>
        </w:tc>
        <w:tc>
          <w:tcPr>
            <w:tcW w:w="3840" w:type="dxa"/>
            <w:tcBorders>
              <w:top w:val="single" w:sz="4" w:space="0" w:color="auto"/>
              <w:left w:val="nil"/>
              <w:bottom w:val="single" w:sz="4" w:space="0" w:color="auto"/>
              <w:right w:val="single" w:sz="4" w:space="0" w:color="auto"/>
            </w:tcBorders>
            <w:shd w:val="clear" w:color="auto" w:fill="auto"/>
            <w:hideMark/>
          </w:tcPr>
          <w:p w14:paraId="30EF6A72" w14:textId="77777777" w:rsidR="00547230" w:rsidRPr="00547230" w:rsidRDefault="00547230" w:rsidP="00547230">
            <w:pPr>
              <w:jc w:val="center"/>
              <w:rPr>
                <w:rFonts w:hint="eastAsia"/>
                <w:b/>
                <w:bCs/>
                <w:sz w:val="22"/>
                <w:szCs w:val="22"/>
              </w:rPr>
            </w:pPr>
            <w:r w:rsidRPr="00547230">
              <w:rPr>
                <w:rFonts w:hint="eastAsia"/>
                <w:b/>
                <w:bCs/>
                <w:sz w:val="22"/>
                <w:szCs w:val="22"/>
              </w:rPr>
              <w:t>NLRP3通路抑制干预</w:t>
            </w:r>
          </w:p>
        </w:tc>
        <w:tc>
          <w:tcPr>
            <w:tcW w:w="3840" w:type="dxa"/>
            <w:tcBorders>
              <w:top w:val="single" w:sz="4" w:space="0" w:color="auto"/>
              <w:left w:val="nil"/>
              <w:bottom w:val="single" w:sz="4" w:space="0" w:color="auto"/>
              <w:right w:val="single" w:sz="4" w:space="0" w:color="auto"/>
            </w:tcBorders>
            <w:shd w:val="clear" w:color="auto" w:fill="auto"/>
            <w:hideMark/>
          </w:tcPr>
          <w:p w14:paraId="6BD377FF" w14:textId="77777777" w:rsidR="00547230" w:rsidRPr="00547230" w:rsidRDefault="00547230" w:rsidP="00547230">
            <w:pPr>
              <w:jc w:val="center"/>
              <w:rPr>
                <w:rFonts w:hint="eastAsia"/>
                <w:b/>
                <w:bCs/>
                <w:sz w:val="22"/>
                <w:szCs w:val="22"/>
              </w:rPr>
            </w:pPr>
            <w:r w:rsidRPr="00547230">
              <w:rPr>
                <w:rFonts w:hint="eastAsia"/>
                <w:b/>
                <w:bCs/>
                <w:sz w:val="22"/>
                <w:szCs w:val="22"/>
              </w:rPr>
              <w:t>常用表型指标</w:t>
            </w:r>
          </w:p>
        </w:tc>
      </w:tr>
      <w:tr w:rsidR="00547230" w:rsidRPr="00547230" w14:paraId="678E757E" w14:textId="77777777" w:rsidTr="00547230">
        <w:trPr>
          <w:trHeight w:val="2400"/>
        </w:trPr>
        <w:tc>
          <w:tcPr>
            <w:tcW w:w="3840" w:type="dxa"/>
            <w:tcBorders>
              <w:top w:val="nil"/>
              <w:left w:val="nil"/>
              <w:bottom w:val="nil"/>
              <w:right w:val="nil"/>
            </w:tcBorders>
            <w:shd w:val="clear" w:color="auto" w:fill="auto"/>
            <w:hideMark/>
          </w:tcPr>
          <w:p w14:paraId="22B5B012" w14:textId="77777777" w:rsidR="00547230" w:rsidRPr="00547230" w:rsidRDefault="00547230" w:rsidP="00547230">
            <w:pPr>
              <w:rPr>
                <w:rFonts w:hint="eastAsia"/>
                <w:color w:val="000000"/>
                <w:sz w:val="22"/>
                <w:szCs w:val="22"/>
              </w:rPr>
            </w:pPr>
            <w:r w:rsidRPr="00547230">
              <w:rPr>
                <w:rFonts w:hint="eastAsia"/>
                <w:color w:val="000000"/>
                <w:sz w:val="22"/>
                <w:szCs w:val="22"/>
              </w:rPr>
              <w:lastRenderedPageBreak/>
              <w:t>帕金森病（PD）</w:t>
            </w:r>
          </w:p>
        </w:tc>
        <w:tc>
          <w:tcPr>
            <w:tcW w:w="3840" w:type="dxa"/>
            <w:tcBorders>
              <w:top w:val="nil"/>
              <w:left w:val="nil"/>
              <w:bottom w:val="nil"/>
              <w:right w:val="nil"/>
            </w:tcBorders>
            <w:shd w:val="clear" w:color="auto" w:fill="auto"/>
            <w:hideMark/>
          </w:tcPr>
          <w:p w14:paraId="2F306C1F" w14:textId="77777777" w:rsidR="00547230" w:rsidRPr="00547230" w:rsidRDefault="00547230" w:rsidP="00547230">
            <w:pPr>
              <w:rPr>
                <w:rFonts w:hint="eastAsia"/>
                <w:color w:val="000000"/>
                <w:sz w:val="22"/>
                <w:szCs w:val="22"/>
              </w:rPr>
            </w:pPr>
            <w:r w:rsidRPr="00547230">
              <w:rPr>
                <w:rFonts w:hint="eastAsia"/>
                <w:color w:val="000000"/>
                <w:sz w:val="22"/>
                <w:szCs w:val="22"/>
              </w:rPr>
              <w:t>MPTP（1-甲基-4-苯基-1,2,3,6-四氢吡啶）腹腔注射急性毒性模型；6-OHDA（6-羟多巴胺）脑区注射慢性模型</w:t>
            </w:r>
          </w:p>
        </w:tc>
        <w:tc>
          <w:tcPr>
            <w:tcW w:w="3840" w:type="dxa"/>
            <w:tcBorders>
              <w:top w:val="nil"/>
              <w:left w:val="nil"/>
              <w:bottom w:val="nil"/>
              <w:right w:val="nil"/>
            </w:tcBorders>
            <w:shd w:val="clear" w:color="auto" w:fill="auto"/>
            <w:hideMark/>
          </w:tcPr>
          <w:p w14:paraId="6FB0A2F9" w14:textId="77777777" w:rsidR="00547230" w:rsidRPr="00547230" w:rsidRDefault="00547230" w:rsidP="00547230">
            <w:pPr>
              <w:rPr>
                <w:rFonts w:hint="eastAsia"/>
                <w:color w:val="000000"/>
                <w:sz w:val="22"/>
                <w:szCs w:val="22"/>
              </w:rPr>
            </w:pPr>
            <w:r w:rsidRPr="00547230">
              <w:rPr>
                <w:rFonts w:hint="eastAsia"/>
                <w:color w:val="000000"/>
                <w:sz w:val="22"/>
                <w:szCs w:val="22"/>
              </w:rPr>
              <w:t>药物：UNC9995 等D2受体偏向性激动剂抑制星形胶质NLRP3 ；ARBs（如坎地沙坦）抑制</w:t>
            </w:r>
            <w:proofErr w:type="spellStart"/>
            <w:r w:rsidRPr="00547230">
              <w:rPr>
                <w:rFonts w:hint="eastAsia"/>
                <w:color w:val="000000"/>
                <w:sz w:val="22"/>
                <w:szCs w:val="22"/>
              </w:rPr>
              <w:t>AngII</w:t>
            </w:r>
            <w:proofErr w:type="spellEnd"/>
            <w:r w:rsidRPr="00547230">
              <w:rPr>
                <w:rFonts w:hint="eastAsia"/>
                <w:color w:val="000000"/>
                <w:sz w:val="22"/>
                <w:szCs w:val="22"/>
              </w:rPr>
              <w:t>/AT1介导的炎症小体激活 。天然产物：樟芝多糖等提高多巴胺水平、抑制NLRP3 。基因：NLRP3</w:t>
            </w:r>
            <w:r w:rsidRPr="00547230">
              <w:rPr>
                <w:rFonts w:ascii="Cambria Math" w:hAnsi="Cambria Math" w:cs="Cambria Math"/>
                <w:color w:val="000000"/>
                <w:sz w:val="22"/>
                <w:szCs w:val="22"/>
              </w:rPr>
              <w:t>−</w:t>
            </w:r>
            <w:r w:rsidRPr="00547230">
              <w:rPr>
                <w:rFonts w:hint="eastAsia"/>
                <w:color w:val="000000"/>
                <w:sz w:val="22"/>
                <w:szCs w:val="22"/>
              </w:rPr>
              <w:t>/</w:t>
            </w:r>
            <w:r w:rsidRPr="00547230">
              <w:rPr>
                <w:rFonts w:ascii="Cambria Math" w:hAnsi="Cambria Math" w:cs="Cambria Math"/>
                <w:color w:val="000000"/>
                <w:sz w:val="22"/>
                <w:szCs w:val="22"/>
              </w:rPr>
              <w:t>−</w:t>
            </w:r>
            <w:r w:rsidRPr="00547230">
              <w:rPr>
                <w:rFonts w:hint="eastAsia"/>
                <w:color w:val="000000"/>
                <w:sz w:val="22"/>
                <w:szCs w:val="22"/>
              </w:rPr>
              <w:t>或Casp1</w:t>
            </w:r>
            <w:r w:rsidRPr="00547230">
              <w:rPr>
                <w:rFonts w:ascii="Cambria Math" w:hAnsi="Cambria Math" w:cs="Cambria Math"/>
                <w:color w:val="000000"/>
                <w:sz w:val="22"/>
                <w:szCs w:val="22"/>
              </w:rPr>
              <w:t>−</w:t>
            </w:r>
            <w:r w:rsidRPr="00547230">
              <w:rPr>
                <w:rFonts w:hint="eastAsia"/>
                <w:color w:val="000000"/>
                <w:sz w:val="22"/>
                <w:szCs w:val="22"/>
              </w:rPr>
              <w:t>/</w:t>
            </w:r>
            <w:r w:rsidRPr="00547230">
              <w:rPr>
                <w:rFonts w:ascii="Cambria Math" w:hAnsi="Cambria Math" w:cs="Cambria Math"/>
                <w:color w:val="000000"/>
                <w:sz w:val="22"/>
                <w:szCs w:val="22"/>
              </w:rPr>
              <w:t>−</w:t>
            </w:r>
            <w:r w:rsidRPr="00547230">
              <w:rPr>
                <w:rFonts w:hint="eastAsia"/>
                <w:color w:val="000000"/>
                <w:sz w:val="22"/>
                <w:szCs w:val="22"/>
              </w:rPr>
              <w:t>小鼠抗PD神经炎症；β-arrestin2</w:t>
            </w:r>
            <w:r w:rsidRPr="00547230">
              <w:rPr>
                <w:rFonts w:ascii="Cambria Math" w:hAnsi="Cambria Math" w:cs="Cambria Math"/>
                <w:color w:val="000000"/>
                <w:sz w:val="22"/>
                <w:szCs w:val="22"/>
              </w:rPr>
              <w:t>−</w:t>
            </w:r>
            <w:r w:rsidRPr="00547230">
              <w:rPr>
                <w:rFonts w:hint="eastAsia"/>
                <w:color w:val="000000"/>
                <w:sz w:val="22"/>
                <w:szCs w:val="22"/>
              </w:rPr>
              <w:t>/</w:t>
            </w:r>
            <w:r w:rsidRPr="00547230">
              <w:rPr>
                <w:rFonts w:ascii="Cambria Math" w:hAnsi="Cambria Math" w:cs="Cambria Math"/>
                <w:color w:val="000000"/>
                <w:sz w:val="22"/>
                <w:szCs w:val="22"/>
              </w:rPr>
              <w:t>−</w:t>
            </w:r>
            <w:r w:rsidRPr="00547230">
              <w:rPr>
                <w:rFonts w:hint="eastAsia"/>
                <w:color w:val="000000"/>
                <w:sz w:val="22"/>
                <w:szCs w:val="22"/>
              </w:rPr>
              <w:t>小鼠验证UNC9995作用机制 。其他：运动训练</w:t>
            </w:r>
          </w:p>
        </w:tc>
        <w:tc>
          <w:tcPr>
            <w:tcW w:w="3840" w:type="dxa"/>
            <w:tcBorders>
              <w:top w:val="nil"/>
              <w:left w:val="nil"/>
              <w:bottom w:val="nil"/>
              <w:right w:val="nil"/>
            </w:tcBorders>
            <w:shd w:val="clear" w:color="auto" w:fill="auto"/>
            <w:hideMark/>
          </w:tcPr>
          <w:p w14:paraId="66690FC2" w14:textId="77777777" w:rsidR="00547230" w:rsidRPr="00547230" w:rsidRDefault="00547230" w:rsidP="00547230">
            <w:pPr>
              <w:rPr>
                <w:rFonts w:hint="eastAsia"/>
                <w:color w:val="000000"/>
                <w:sz w:val="22"/>
                <w:szCs w:val="22"/>
              </w:rPr>
            </w:pPr>
            <w:r w:rsidRPr="00547230">
              <w:rPr>
                <w:rFonts w:hint="eastAsia"/>
                <w:color w:val="000000"/>
                <w:sz w:val="22"/>
                <w:szCs w:val="22"/>
              </w:rPr>
              <w:t>行为学（转棒、悬杆实验等运动功能）；黑质TH+神经元计数和纹状体多巴胺含量 ；脑内活化小胶质/星形胶质数目；炎症因子IL-1β水平</w:t>
            </w:r>
          </w:p>
        </w:tc>
      </w:tr>
      <w:tr w:rsidR="00547230" w:rsidRPr="00547230" w14:paraId="5A750B4C" w14:textId="77777777" w:rsidTr="00547230">
        <w:trPr>
          <w:trHeight w:val="2100"/>
        </w:trPr>
        <w:tc>
          <w:tcPr>
            <w:tcW w:w="3840" w:type="dxa"/>
            <w:tcBorders>
              <w:top w:val="nil"/>
              <w:left w:val="nil"/>
              <w:bottom w:val="nil"/>
              <w:right w:val="nil"/>
            </w:tcBorders>
            <w:shd w:val="clear" w:color="auto" w:fill="auto"/>
            <w:hideMark/>
          </w:tcPr>
          <w:p w14:paraId="5F3E51D1" w14:textId="77777777" w:rsidR="00547230" w:rsidRPr="00547230" w:rsidRDefault="00547230" w:rsidP="00547230">
            <w:pPr>
              <w:rPr>
                <w:rFonts w:hint="eastAsia"/>
                <w:color w:val="000000"/>
                <w:sz w:val="22"/>
                <w:szCs w:val="22"/>
              </w:rPr>
            </w:pPr>
            <w:r w:rsidRPr="00547230">
              <w:rPr>
                <w:rFonts w:hint="eastAsia"/>
                <w:color w:val="000000"/>
                <w:sz w:val="22"/>
                <w:szCs w:val="22"/>
              </w:rPr>
              <w:t>阿尔茨海默病（AD）</w:t>
            </w:r>
          </w:p>
        </w:tc>
        <w:tc>
          <w:tcPr>
            <w:tcW w:w="3840" w:type="dxa"/>
            <w:tcBorders>
              <w:top w:val="nil"/>
              <w:left w:val="nil"/>
              <w:bottom w:val="nil"/>
              <w:right w:val="nil"/>
            </w:tcBorders>
            <w:shd w:val="clear" w:color="auto" w:fill="auto"/>
            <w:hideMark/>
          </w:tcPr>
          <w:p w14:paraId="74D5A01B" w14:textId="77777777" w:rsidR="00547230" w:rsidRPr="00547230" w:rsidRDefault="00547230" w:rsidP="00547230">
            <w:pPr>
              <w:rPr>
                <w:rFonts w:hint="eastAsia"/>
                <w:color w:val="000000"/>
                <w:sz w:val="22"/>
                <w:szCs w:val="22"/>
              </w:rPr>
            </w:pPr>
            <w:r w:rsidRPr="00547230">
              <w:rPr>
                <w:rFonts w:hint="eastAsia"/>
                <w:color w:val="000000"/>
                <w:sz w:val="22"/>
                <w:szCs w:val="22"/>
              </w:rPr>
              <w:t>转基因模型（如APP/PS1、TgCRND8小鼠自然发生Aβ沉积）；Aβ肽脑内注射急性模型</w:t>
            </w:r>
          </w:p>
        </w:tc>
        <w:tc>
          <w:tcPr>
            <w:tcW w:w="3840" w:type="dxa"/>
            <w:tcBorders>
              <w:top w:val="nil"/>
              <w:left w:val="nil"/>
              <w:bottom w:val="nil"/>
              <w:right w:val="nil"/>
            </w:tcBorders>
            <w:shd w:val="clear" w:color="auto" w:fill="auto"/>
            <w:hideMark/>
          </w:tcPr>
          <w:p w14:paraId="426C1C34" w14:textId="77777777" w:rsidR="00547230" w:rsidRPr="00547230" w:rsidRDefault="00547230" w:rsidP="00547230">
            <w:pPr>
              <w:rPr>
                <w:rFonts w:hint="eastAsia"/>
                <w:color w:val="000000"/>
                <w:sz w:val="22"/>
                <w:szCs w:val="22"/>
              </w:rPr>
            </w:pPr>
            <w:r w:rsidRPr="00547230">
              <w:rPr>
                <w:rFonts w:hint="eastAsia"/>
                <w:color w:val="000000"/>
                <w:sz w:val="22"/>
                <w:szCs w:val="22"/>
              </w:rPr>
              <w:t>药物：JC-124等小分子炎症小体抑制剂 ；NSAIDs（某些研究提示抑制NLRP3途径）。天然产物：山奈酚、紫檀芪等通过抑制NLRP3减轻Aβ致炎。基因：NLRP3缺失延缓认知功能下降 。其他：例如黄酮类化合物Acacetin改善学习记忆并下调NLRP3/IL-1β</w:t>
            </w:r>
          </w:p>
        </w:tc>
        <w:tc>
          <w:tcPr>
            <w:tcW w:w="3840" w:type="dxa"/>
            <w:tcBorders>
              <w:top w:val="nil"/>
              <w:left w:val="nil"/>
              <w:bottom w:val="nil"/>
              <w:right w:val="nil"/>
            </w:tcBorders>
            <w:shd w:val="clear" w:color="auto" w:fill="auto"/>
            <w:hideMark/>
          </w:tcPr>
          <w:p w14:paraId="4882BC0D" w14:textId="77777777" w:rsidR="00547230" w:rsidRPr="00547230" w:rsidRDefault="00547230" w:rsidP="00547230">
            <w:pPr>
              <w:rPr>
                <w:rFonts w:hint="eastAsia"/>
                <w:color w:val="000000"/>
                <w:sz w:val="22"/>
                <w:szCs w:val="22"/>
              </w:rPr>
            </w:pPr>
            <w:r w:rsidRPr="00547230">
              <w:rPr>
                <w:rFonts w:hint="eastAsia"/>
                <w:color w:val="000000"/>
                <w:sz w:val="22"/>
                <w:szCs w:val="22"/>
              </w:rPr>
              <w:t>认知功能测试（Morris水迷宫、Y迷宫识别记忆）；脑内Aβ斑块负荷和神经元数量；突触相关蛋白（如突触素）水平 ；小胶质细胞和星形胶质活化程度；炎症因子（IL-1β, IL-18等）</w:t>
            </w:r>
          </w:p>
        </w:tc>
      </w:tr>
      <w:tr w:rsidR="00547230" w:rsidRPr="00547230" w14:paraId="4CF92FE0" w14:textId="77777777" w:rsidTr="00547230">
        <w:trPr>
          <w:trHeight w:val="2100"/>
        </w:trPr>
        <w:tc>
          <w:tcPr>
            <w:tcW w:w="3840" w:type="dxa"/>
            <w:tcBorders>
              <w:top w:val="nil"/>
              <w:left w:val="nil"/>
              <w:bottom w:val="nil"/>
              <w:right w:val="nil"/>
            </w:tcBorders>
            <w:shd w:val="clear" w:color="auto" w:fill="auto"/>
            <w:hideMark/>
          </w:tcPr>
          <w:p w14:paraId="573F54E0" w14:textId="77777777" w:rsidR="00547230" w:rsidRPr="00547230" w:rsidRDefault="00547230" w:rsidP="00547230">
            <w:pPr>
              <w:rPr>
                <w:rFonts w:hint="eastAsia"/>
                <w:color w:val="000000"/>
                <w:sz w:val="22"/>
                <w:szCs w:val="22"/>
              </w:rPr>
            </w:pPr>
            <w:r w:rsidRPr="00547230">
              <w:rPr>
                <w:rFonts w:hint="eastAsia"/>
                <w:color w:val="000000"/>
                <w:sz w:val="22"/>
                <w:szCs w:val="22"/>
              </w:rPr>
              <w:t>脑缺血/卒中</w:t>
            </w:r>
          </w:p>
        </w:tc>
        <w:tc>
          <w:tcPr>
            <w:tcW w:w="3840" w:type="dxa"/>
            <w:tcBorders>
              <w:top w:val="nil"/>
              <w:left w:val="nil"/>
              <w:bottom w:val="nil"/>
              <w:right w:val="nil"/>
            </w:tcBorders>
            <w:shd w:val="clear" w:color="auto" w:fill="auto"/>
            <w:hideMark/>
          </w:tcPr>
          <w:p w14:paraId="33A7EF4A" w14:textId="77777777" w:rsidR="00547230" w:rsidRPr="00547230" w:rsidRDefault="00547230" w:rsidP="00547230">
            <w:pPr>
              <w:rPr>
                <w:rFonts w:hint="eastAsia"/>
                <w:color w:val="000000"/>
                <w:sz w:val="22"/>
                <w:szCs w:val="22"/>
              </w:rPr>
            </w:pPr>
            <w:r w:rsidRPr="00547230">
              <w:rPr>
                <w:rFonts w:hint="eastAsia"/>
                <w:color w:val="000000"/>
                <w:sz w:val="22"/>
                <w:szCs w:val="22"/>
              </w:rPr>
              <w:t>大脑中动脉阻塞(MCAO)再灌注模型；颈动脉结扎全脑缺血模型</w:t>
            </w:r>
          </w:p>
        </w:tc>
        <w:tc>
          <w:tcPr>
            <w:tcW w:w="3840" w:type="dxa"/>
            <w:tcBorders>
              <w:top w:val="nil"/>
              <w:left w:val="nil"/>
              <w:bottom w:val="nil"/>
              <w:right w:val="nil"/>
            </w:tcBorders>
            <w:shd w:val="clear" w:color="auto" w:fill="auto"/>
            <w:hideMark/>
          </w:tcPr>
          <w:p w14:paraId="4C93C286" w14:textId="77777777" w:rsidR="00547230" w:rsidRPr="00547230" w:rsidRDefault="00547230" w:rsidP="00547230">
            <w:pPr>
              <w:rPr>
                <w:rFonts w:hint="eastAsia"/>
                <w:color w:val="000000"/>
                <w:sz w:val="22"/>
                <w:szCs w:val="22"/>
              </w:rPr>
            </w:pPr>
            <w:r w:rsidRPr="00547230">
              <w:rPr>
                <w:rFonts w:hint="eastAsia"/>
                <w:color w:val="000000"/>
                <w:sz w:val="22"/>
                <w:szCs w:val="22"/>
              </w:rPr>
              <w:t>药物：NLRP3抑制剂MCC950改善缺血损伤 ；依达拉奉等自由基清除剂减轻炎症。天然产物：长春西汀（vinpocetine）通过抑制NLRP3显著减小梗死面积 。基因：NLRP3或ASC敲除减少缺血后炎症损伤。其他：低温治疗、间歇性供血等</w:t>
            </w:r>
          </w:p>
        </w:tc>
        <w:tc>
          <w:tcPr>
            <w:tcW w:w="3840" w:type="dxa"/>
            <w:tcBorders>
              <w:top w:val="nil"/>
              <w:left w:val="nil"/>
              <w:bottom w:val="nil"/>
              <w:right w:val="nil"/>
            </w:tcBorders>
            <w:shd w:val="clear" w:color="auto" w:fill="auto"/>
            <w:hideMark/>
          </w:tcPr>
          <w:p w14:paraId="5B9A63F2" w14:textId="77777777" w:rsidR="00547230" w:rsidRPr="00547230" w:rsidRDefault="00547230" w:rsidP="00547230">
            <w:pPr>
              <w:rPr>
                <w:rFonts w:hint="eastAsia"/>
                <w:color w:val="000000"/>
                <w:sz w:val="22"/>
                <w:szCs w:val="22"/>
              </w:rPr>
            </w:pPr>
            <w:r w:rsidRPr="00547230">
              <w:rPr>
                <w:rFonts w:hint="eastAsia"/>
                <w:color w:val="000000"/>
                <w:sz w:val="22"/>
                <w:szCs w:val="22"/>
              </w:rPr>
              <w:t>神经功能评分（</w:t>
            </w:r>
            <w:proofErr w:type="spellStart"/>
            <w:r w:rsidRPr="00547230">
              <w:rPr>
                <w:rFonts w:hint="eastAsia"/>
                <w:color w:val="000000"/>
                <w:sz w:val="22"/>
                <w:szCs w:val="22"/>
              </w:rPr>
              <w:t>Bederson</w:t>
            </w:r>
            <w:proofErr w:type="spellEnd"/>
            <w:r w:rsidRPr="00547230">
              <w:rPr>
                <w:rFonts w:hint="eastAsia"/>
                <w:color w:val="000000"/>
                <w:sz w:val="22"/>
                <w:szCs w:val="22"/>
              </w:rPr>
              <w:t>评分、改良Neurological Severity Score等）；脑梗死体积（TTC染色） ；神经元存活和凋亡标记；脑水肿程度；炎症因子和活性小胶质细胞数目</w:t>
            </w:r>
          </w:p>
        </w:tc>
      </w:tr>
      <w:tr w:rsidR="00547230" w:rsidRPr="00547230" w14:paraId="07FA83D1" w14:textId="77777777" w:rsidTr="00547230">
        <w:trPr>
          <w:trHeight w:val="2100"/>
        </w:trPr>
        <w:tc>
          <w:tcPr>
            <w:tcW w:w="3840" w:type="dxa"/>
            <w:tcBorders>
              <w:top w:val="nil"/>
              <w:left w:val="nil"/>
              <w:bottom w:val="nil"/>
              <w:right w:val="nil"/>
            </w:tcBorders>
            <w:shd w:val="clear" w:color="auto" w:fill="auto"/>
            <w:hideMark/>
          </w:tcPr>
          <w:p w14:paraId="0EAE92F9" w14:textId="77777777" w:rsidR="00547230" w:rsidRPr="00547230" w:rsidRDefault="00547230" w:rsidP="00547230">
            <w:pPr>
              <w:rPr>
                <w:rFonts w:hint="eastAsia"/>
                <w:color w:val="000000"/>
                <w:sz w:val="22"/>
                <w:szCs w:val="22"/>
              </w:rPr>
            </w:pPr>
            <w:r w:rsidRPr="00547230">
              <w:rPr>
                <w:rFonts w:hint="eastAsia"/>
                <w:color w:val="000000"/>
                <w:sz w:val="22"/>
                <w:szCs w:val="22"/>
              </w:rPr>
              <w:t>创伤性脑损伤(TBI)</w:t>
            </w:r>
          </w:p>
        </w:tc>
        <w:tc>
          <w:tcPr>
            <w:tcW w:w="3840" w:type="dxa"/>
            <w:tcBorders>
              <w:top w:val="nil"/>
              <w:left w:val="nil"/>
              <w:bottom w:val="nil"/>
              <w:right w:val="nil"/>
            </w:tcBorders>
            <w:shd w:val="clear" w:color="auto" w:fill="auto"/>
            <w:hideMark/>
          </w:tcPr>
          <w:p w14:paraId="5A4911D4" w14:textId="77777777" w:rsidR="00547230" w:rsidRPr="00547230" w:rsidRDefault="00547230" w:rsidP="00547230">
            <w:pPr>
              <w:rPr>
                <w:rFonts w:hint="eastAsia"/>
                <w:color w:val="000000"/>
                <w:sz w:val="22"/>
                <w:szCs w:val="22"/>
              </w:rPr>
            </w:pPr>
            <w:r w:rsidRPr="00547230">
              <w:rPr>
                <w:rFonts w:hint="eastAsia"/>
                <w:color w:val="000000"/>
                <w:sz w:val="22"/>
                <w:szCs w:val="22"/>
              </w:rPr>
              <w:t>控制性皮质撞击(CCI)或落锤撞击模型；闭合性脑损伤模型</w:t>
            </w:r>
          </w:p>
        </w:tc>
        <w:tc>
          <w:tcPr>
            <w:tcW w:w="3840" w:type="dxa"/>
            <w:tcBorders>
              <w:top w:val="nil"/>
              <w:left w:val="nil"/>
              <w:bottom w:val="nil"/>
              <w:right w:val="nil"/>
            </w:tcBorders>
            <w:shd w:val="clear" w:color="auto" w:fill="auto"/>
            <w:hideMark/>
          </w:tcPr>
          <w:p w14:paraId="403DD4C5" w14:textId="77777777" w:rsidR="00547230" w:rsidRPr="00547230" w:rsidRDefault="00547230" w:rsidP="00547230">
            <w:pPr>
              <w:rPr>
                <w:rFonts w:hint="eastAsia"/>
                <w:color w:val="000000"/>
                <w:sz w:val="22"/>
                <w:szCs w:val="22"/>
              </w:rPr>
            </w:pPr>
            <w:r w:rsidRPr="00547230">
              <w:rPr>
                <w:rFonts w:hint="eastAsia"/>
                <w:color w:val="000000"/>
                <w:sz w:val="22"/>
                <w:szCs w:val="22"/>
              </w:rPr>
              <w:t>药物：MCC950治疗减小脑损伤体积、改善长期神经功能 。天然产物：氢气吸入联合针刺（埋针）疗法经STING通路抑制NLRP3，减轻TBI炎症 。基因：NLRP3缺失减少TBI后微胶质介导的炎症；IL-1受体拮抗剂基因治疗。其他：适当的低温和康复训练</w:t>
            </w:r>
          </w:p>
        </w:tc>
        <w:tc>
          <w:tcPr>
            <w:tcW w:w="3840" w:type="dxa"/>
            <w:tcBorders>
              <w:top w:val="nil"/>
              <w:left w:val="nil"/>
              <w:bottom w:val="nil"/>
              <w:right w:val="nil"/>
            </w:tcBorders>
            <w:shd w:val="clear" w:color="auto" w:fill="auto"/>
            <w:hideMark/>
          </w:tcPr>
          <w:p w14:paraId="1F1872D8" w14:textId="77777777" w:rsidR="00547230" w:rsidRPr="00547230" w:rsidRDefault="00547230" w:rsidP="00547230">
            <w:pPr>
              <w:rPr>
                <w:rFonts w:hint="eastAsia"/>
                <w:color w:val="000000"/>
                <w:sz w:val="22"/>
                <w:szCs w:val="22"/>
              </w:rPr>
            </w:pPr>
            <w:r w:rsidRPr="00547230">
              <w:rPr>
                <w:rFonts w:hint="eastAsia"/>
                <w:color w:val="000000"/>
                <w:sz w:val="22"/>
                <w:szCs w:val="22"/>
              </w:rPr>
              <w:t>脑损伤体积和水肿（MRI成像或组织学）；感觉运动功能测试（平衡木、抓力等）；认知行为测试（如穿梭箱记忆）；脑组织中IL-1β、IL-18水平及血脑屏障完整性</w:t>
            </w:r>
          </w:p>
        </w:tc>
      </w:tr>
      <w:tr w:rsidR="00547230" w:rsidRPr="00547230" w14:paraId="15B6BD18" w14:textId="77777777" w:rsidTr="00547230">
        <w:trPr>
          <w:trHeight w:val="2400"/>
        </w:trPr>
        <w:tc>
          <w:tcPr>
            <w:tcW w:w="3840" w:type="dxa"/>
            <w:tcBorders>
              <w:top w:val="nil"/>
              <w:left w:val="nil"/>
              <w:bottom w:val="nil"/>
              <w:right w:val="nil"/>
            </w:tcBorders>
            <w:shd w:val="clear" w:color="auto" w:fill="auto"/>
            <w:hideMark/>
          </w:tcPr>
          <w:p w14:paraId="309F9702" w14:textId="77777777" w:rsidR="00547230" w:rsidRPr="00547230" w:rsidRDefault="00547230" w:rsidP="00547230">
            <w:pPr>
              <w:rPr>
                <w:rFonts w:hint="eastAsia"/>
                <w:color w:val="000000"/>
                <w:sz w:val="22"/>
                <w:szCs w:val="22"/>
              </w:rPr>
            </w:pPr>
            <w:r w:rsidRPr="00547230">
              <w:rPr>
                <w:rFonts w:hint="eastAsia"/>
                <w:color w:val="000000"/>
                <w:sz w:val="22"/>
                <w:szCs w:val="22"/>
              </w:rPr>
              <w:t>抑郁症等精神障碍</w:t>
            </w:r>
          </w:p>
        </w:tc>
        <w:tc>
          <w:tcPr>
            <w:tcW w:w="3840" w:type="dxa"/>
            <w:tcBorders>
              <w:top w:val="nil"/>
              <w:left w:val="nil"/>
              <w:bottom w:val="nil"/>
              <w:right w:val="nil"/>
            </w:tcBorders>
            <w:shd w:val="clear" w:color="auto" w:fill="auto"/>
            <w:hideMark/>
          </w:tcPr>
          <w:p w14:paraId="7570F666" w14:textId="77777777" w:rsidR="00547230" w:rsidRPr="00547230" w:rsidRDefault="00547230" w:rsidP="00547230">
            <w:pPr>
              <w:rPr>
                <w:rFonts w:hint="eastAsia"/>
                <w:color w:val="000000"/>
                <w:sz w:val="22"/>
                <w:szCs w:val="22"/>
              </w:rPr>
            </w:pPr>
            <w:r w:rsidRPr="00547230">
              <w:rPr>
                <w:rFonts w:hint="eastAsia"/>
                <w:color w:val="000000"/>
                <w:sz w:val="22"/>
                <w:szCs w:val="22"/>
              </w:rPr>
              <w:t>慢性应激诱导（如慢性不可预知应激, RRS反复束缚应激 ）；急性LPS诱导的炎症性抑郁模型</w:t>
            </w:r>
          </w:p>
        </w:tc>
        <w:tc>
          <w:tcPr>
            <w:tcW w:w="3840" w:type="dxa"/>
            <w:tcBorders>
              <w:top w:val="nil"/>
              <w:left w:val="nil"/>
              <w:bottom w:val="nil"/>
              <w:right w:val="nil"/>
            </w:tcBorders>
            <w:shd w:val="clear" w:color="auto" w:fill="auto"/>
            <w:hideMark/>
          </w:tcPr>
          <w:p w14:paraId="09A99C9F" w14:textId="77777777" w:rsidR="00547230" w:rsidRPr="00547230" w:rsidRDefault="00547230" w:rsidP="00547230">
            <w:pPr>
              <w:rPr>
                <w:rFonts w:hint="eastAsia"/>
                <w:color w:val="000000"/>
                <w:sz w:val="22"/>
                <w:szCs w:val="22"/>
              </w:rPr>
            </w:pPr>
            <w:r w:rsidRPr="00547230">
              <w:rPr>
                <w:rFonts w:hint="eastAsia"/>
                <w:color w:val="000000"/>
                <w:sz w:val="22"/>
                <w:szCs w:val="22"/>
              </w:rPr>
              <w:t>药物：常规抗抑郁药（如氟西汀）有报告可影响NLRP3通路；小分子抑制剂MCC950在炎症性抑郁模型中试验。天然产物：黄芪甲苷上调PPARγ/Nrf2以抑制NLRP3，显著改善抑郁样行为 。基因：NLRP3或IL-1β缺失小鼠对应激的行为学耐受性更强。其他：运动锻炼、环境丰富化减少神经炎症</w:t>
            </w:r>
          </w:p>
        </w:tc>
        <w:tc>
          <w:tcPr>
            <w:tcW w:w="3840" w:type="dxa"/>
            <w:tcBorders>
              <w:top w:val="nil"/>
              <w:left w:val="nil"/>
              <w:bottom w:val="nil"/>
              <w:right w:val="nil"/>
            </w:tcBorders>
            <w:shd w:val="clear" w:color="auto" w:fill="auto"/>
            <w:hideMark/>
          </w:tcPr>
          <w:p w14:paraId="4AEA3316" w14:textId="77777777" w:rsidR="00547230" w:rsidRPr="00547230" w:rsidRDefault="00547230" w:rsidP="00547230">
            <w:pPr>
              <w:rPr>
                <w:rFonts w:hint="eastAsia"/>
                <w:color w:val="000000"/>
                <w:sz w:val="22"/>
                <w:szCs w:val="22"/>
              </w:rPr>
            </w:pPr>
            <w:r w:rsidRPr="00547230">
              <w:rPr>
                <w:rFonts w:hint="eastAsia"/>
                <w:color w:val="000000"/>
                <w:sz w:val="22"/>
                <w:szCs w:val="22"/>
              </w:rPr>
              <w:t>抑郁样行为学指标（强迫游泳和悬尾不动时间、糖水摄入量减少 、社交回避等）；焦虑样行为测试（高架十字迷宫等）；炎症因子（脑内及外周IL-1β、TNF-α）水平；神经发生和突触可塑性指标（BDNF等）</w:t>
            </w:r>
          </w:p>
        </w:tc>
      </w:tr>
      <w:tr w:rsidR="00547230" w:rsidRPr="00547230" w14:paraId="0ADB18E6" w14:textId="77777777" w:rsidTr="00547230">
        <w:trPr>
          <w:trHeight w:val="3000"/>
        </w:trPr>
        <w:tc>
          <w:tcPr>
            <w:tcW w:w="3840" w:type="dxa"/>
            <w:tcBorders>
              <w:top w:val="nil"/>
              <w:left w:val="nil"/>
              <w:bottom w:val="nil"/>
              <w:right w:val="nil"/>
            </w:tcBorders>
            <w:shd w:val="clear" w:color="auto" w:fill="auto"/>
            <w:hideMark/>
          </w:tcPr>
          <w:p w14:paraId="1E80FCFD" w14:textId="77777777" w:rsidR="00547230" w:rsidRPr="00547230" w:rsidRDefault="00547230" w:rsidP="00547230">
            <w:pPr>
              <w:rPr>
                <w:rFonts w:hint="eastAsia"/>
                <w:color w:val="000000"/>
                <w:sz w:val="22"/>
                <w:szCs w:val="22"/>
              </w:rPr>
            </w:pPr>
            <w:r w:rsidRPr="00547230">
              <w:rPr>
                <w:rFonts w:hint="eastAsia"/>
                <w:color w:val="000000"/>
                <w:sz w:val="22"/>
                <w:szCs w:val="22"/>
              </w:rPr>
              <w:lastRenderedPageBreak/>
              <w:t>多发性硬化(EAE模型)</w:t>
            </w:r>
          </w:p>
        </w:tc>
        <w:tc>
          <w:tcPr>
            <w:tcW w:w="3840" w:type="dxa"/>
            <w:tcBorders>
              <w:top w:val="nil"/>
              <w:left w:val="nil"/>
              <w:bottom w:val="nil"/>
              <w:right w:val="nil"/>
            </w:tcBorders>
            <w:shd w:val="clear" w:color="auto" w:fill="auto"/>
            <w:hideMark/>
          </w:tcPr>
          <w:p w14:paraId="55764363" w14:textId="77777777" w:rsidR="00547230" w:rsidRPr="00547230" w:rsidRDefault="00547230" w:rsidP="00547230">
            <w:pPr>
              <w:rPr>
                <w:rFonts w:hint="eastAsia"/>
                <w:color w:val="000000"/>
                <w:sz w:val="22"/>
                <w:szCs w:val="22"/>
              </w:rPr>
            </w:pPr>
            <w:r w:rsidRPr="00547230">
              <w:rPr>
                <w:rFonts w:hint="eastAsia"/>
                <w:color w:val="000000"/>
                <w:sz w:val="22"/>
                <w:szCs w:val="22"/>
              </w:rPr>
              <w:t>免疫诱导EAE（髓鞘少突蛋白MOG35-55多肽免疫致病）；转基因或病毒诱导脱髓鞘模型</w:t>
            </w:r>
          </w:p>
        </w:tc>
        <w:tc>
          <w:tcPr>
            <w:tcW w:w="3840" w:type="dxa"/>
            <w:tcBorders>
              <w:top w:val="nil"/>
              <w:left w:val="nil"/>
              <w:bottom w:val="nil"/>
              <w:right w:val="nil"/>
            </w:tcBorders>
            <w:shd w:val="clear" w:color="auto" w:fill="auto"/>
            <w:hideMark/>
          </w:tcPr>
          <w:p w14:paraId="3503FFC3" w14:textId="77777777" w:rsidR="00547230" w:rsidRPr="00547230" w:rsidRDefault="00547230" w:rsidP="00547230">
            <w:pPr>
              <w:rPr>
                <w:rFonts w:hint="eastAsia"/>
                <w:color w:val="000000"/>
                <w:sz w:val="22"/>
                <w:szCs w:val="22"/>
              </w:rPr>
            </w:pPr>
            <w:r w:rsidRPr="00547230">
              <w:rPr>
                <w:rFonts w:hint="eastAsia"/>
                <w:color w:val="000000"/>
                <w:sz w:val="22"/>
                <w:szCs w:val="22"/>
              </w:rPr>
              <w:t>药物：口服NLRP3抑制剂如OLT1177（苏木素衍生物）可显著降低EAE小鼠脊髓中IL-1β/IL-18，减少瘫痪发作 。天然产物：烟酰胺腺嘌呤二核苷酸(NAD+)补充促进自噬，从而抑制NLRP3，减轻EAE症状 ；姜黄素等也有报道。基因：NLRP3或ASC缺失的小鼠EAE病程显著减轻，炎症细胞浸润减少。其他：低剂量X射线照射、益生菌调节肠道菌群影响神经炎症（新兴领域）</w:t>
            </w:r>
          </w:p>
        </w:tc>
        <w:tc>
          <w:tcPr>
            <w:tcW w:w="3840" w:type="dxa"/>
            <w:tcBorders>
              <w:top w:val="nil"/>
              <w:left w:val="nil"/>
              <w:bottom w:val="nil"/>
              <w:right w:val="nil"/>
            </w:tcBorders>
            <w:shd w:val="clear" w:color="auto" w:fill="auto"/>
            <w:hideMark/>
          </w:tcPr>
          <w:p w14:paraId="7577AAA9" w14:textId="77777777" w:rsidR="00547230" w:rsidRPr="00547230" w:rsidRDefault="00547230" w:rsidP="00547230">
            <w:pPr>
              <w:rPr>
                <w:rFonts w:hint="eastAsia"/>
                <w:color w:val="000000"/>
                <w:sz w:val="22"/>
                <w:szCs w:val="22"/>
              </w:rPr>
            </w:pPr>
            <w:r w:rsidRPr="00547230">
              <w:rPr>
                <w:rFonts w:hint="eastAsia"/>
                <w:color w:val="000000"/>
                <w:sz w:val="22"/>
                <w:szCs w:val="22"/>
              </w:rPr>
              <w:t>EAE临床评分（按瘫痪程度打分）；脊髓病理（髓鞘丧失面积</w:t>
            </w:r>
            <w:proofErr w:type="spellStart"/>
            <w:r w:rsidRPr="00547230">
              <w:rPr>
                <w:rFonts w:hint="eastAsia"/>
                <w:color w:val="000000"/>
                <w:sz w:val="22"/>
                <w:szCs w:val="22"/>
              </w:rPr>
              <w:t>Luxol</w:t>
            </w:r>
            <w:proofErr w:type="spellEnd"/>
            <w:r w:rsidRPr="00547230">
              <w:rPr>
                <w:rFonts w:hint="eastAsia"/>
                <w:color w:val="000000"/>
                <w:sz w:val="22"/>
                <w:szCs w:val="22"/>
              </w:rPr>
              <w:t xml:space="preserve"> Fast Blue染色）；炎症细胞浸润计数（CD4+T细胞、巨噬细胞）；脊髓中细胞因子水平(IL-1β, IL-18, IL-6等)；运动功能恢复情况</w:t>
            </w:r>
          </w:p>
        </w:tc>
      </w:tr>
    </w:tbl>
    <w:p w14:paraId="70ECA09D" w14:textId="77777777" w:rsidR="00547230" w:rsidRPr="0065128C" w:rsidRDefault="00547230" w:rsidP="0065128C">
      <w:pPr>
        <w:pStyle w:val="3"/>
        <w:rPr>
          <w:rFonts w:ascii="宋体" w:eastAsia="宋体" w:hAnsi="宋体" w:cs="宋体" w:hint="eastAsia"/>
          <w:kern w:val="0"/>
          <w:sz w:val="24"/>
        </w:rPr>
      </w:pPr>
    </w:p>
    <w:p w14:paraId="1EB80FB2" w14:textId="77777777" w:rsidR="00547230" w:rsidRPr="0065128C" w:rsidRDefault="00547230" w:rsidP="00547230">
      <w:pPr>
        <w:spacing w:before="100" w:beforeAutospacing="1" w:after="100" w:afterAutospacing="1"/>
        <w:outlineLvl w:val="1"/>
        <w:rPr>
          <w:rFonts w:hint="eastAsia"/>
          <w:b/>
          <w:bCs/>
          <w:sz w:val="36"/>
          <w:szCs w:val="36"/>
        </w:rPr>
      </w:pPr>
      <w:r w:rsidRPr="0065128C">
        <w:rPr>
          <w:b/>
          <w:bCs/>
          <w:sz w:val="36"/>
          <w:szCs w:val="36"/>
        </w:rPr>
        <w:t>代谢系统相关疾病模型</w:t>
      </w:r>
    </w:p>
    <w:p w14:paraId="163EECC5" w14:textId="77777777" w:rsidR="00547230" w:rsidRDefault="00547230" w:rsidP="00547230">
      <w:pPr>
        <w:pStyle w:val="3"/>
        <w:rPr>
          <w:rFonts w:ascii="宋体" w:eastAsia="宋体" w:hAnsi="宋体" w:cs="宋体" w:hint="eastAsia"/>
          <w:b/>
          <w:bCs/>
          <w:kern w:val="0"/>
          <w:sz w:val="24"/>
        </w:rPr>
      </w:pPr>
      <w:r w:rsidRPr="0065128C">
        <w:rPr>
          <w:rFonts w:ascii="宋体" w:eastAsia="宋体" w:hAnsi="宋体" w:cs="宋体"/>
          <w:b/>
          <w:bCs/>
          <w:kern w:val="0"/>
          <w:sz w:val="24"/>
        </w:rPr>
        <w:t>文献数量</w:t>
      </w:r>
    </w:p>
    <w:p w14:paraId="070DF186" w14:textId="77777777" w:rsidR="00547230" w:rsidRPr="0065128C" w:rsidRDefault="00547230" w:rsidP="00547230">
      <w:pPr>
        <w:spacing w:before="100" w:beforeAutospacing="1" w:after="100" w:afterAutospacing="1"/>
      </w:pPr>
      <w:r w:rsidRPr="0065128C">
        <w:rPr>
          <w:b/>
          <w:bCs/>
        </w:rPr>
        <w:t>聚焦代谢系统</w:t>
      </w:r>
      <w:r w:rsidRPr="0065128C">
        <w:t>（主要指全身代谢紊乱及内分泌相关疾病）的研究文献约</w:t>
      </w:r>
      <w:r w:rsidRPr="0065128C">
        <w:rPr>
          <w:b/>
          <w:bCs/>
        </w:rPr>
        <w:t>180~200篇</w:t>
      </w:r>
      <w:r w:rsidRPr="0065128C">
        <w:t>。这部分涵盖</w:t>
      </w:r>
      <w:r w:rsidRPr="0065128C">
        <w:rPr>
          <w:b/>
          <w:bCs/>
        </w:rPr>
        <w:t>肥胖/代谢综合征</w:t>
      </w:r>
      <w:r w:rsidRPr="0065128C">
        <w:t>、</w:t>
      </w:r>
      <w:r w:rsidRPr="0065128C">
        <w:rPr>
          <w:b/>
          <w:bCs/>
        </w:rPr>
        <w:t>糖尿病及其并发症</w:t>
      </w:r>
      <w:r w:rsidRPr="0065128C">
        <w:t>、</w:t>
      </w:r>
      <w:r w:rsidRPr="0065128C">
        <w:rPr>
          <w:b/>
          <w:bCs/>
        </w:rPr>
        <w:t>非酒精性脂肪肝/脂肪性肝炎</w:t>
      </w:r>
      <w:r w:rsidRPr="0065128C">
        <w:t>、</w:t>
      </w:r>
      <w:r w:rsidRPr="0065128C">
        <w:rPr>
          <w:b/>
          <w:bCs/>
        </w:rPr>
        <w:t>痛风</w:t>
      </w:r>
      <w:r w:rsidRPr="0065128C">
        <w:t>等疾病模型。特点是这类疾病常为慢性疾病，伴有</w:t>
      </w:r>
      <w:r w:rsidRPr="0065128C">
        <w:rPr>
          <w:b/>
          <w:bCs/>
        </w:rPr>
        <w:t>低度慢性炎症</w:t>
      </w:r>
      <w:r w:rsidRPr="0065128C">
        <w:t>状态，NLRP3炎症小体被认为是代谢炎症的重要机制之一。例如肥胖和高脂饮食可诱导**“代谢性内毒素血症”**，激活NLRP3造成胰岛素抵抗；高糖高脂环境直接促使NLRP3在巨噬细胞和肝细胞中活化，产生IL-1β等炎症介质，加重代谢损伤。许多研究利用小鼠的饮食诱导模型或化学诱导模型来探讨这些机制。</w:t>
      </w:r>
    </w:p>
    <w:p w14:paraId="3CF75EBF" w14:textId="77777777" w:rsidR="00547230" w:rsidRPr="0065128C" w:rsidRDefault="00547230" w:rsidP="00547230">
      <w:pPr>
        <w:spacing w:before="100" w:beforeAutospacing="1" w:after="100" w:afterAutospacing="1"/>
      </w:pPr>
    </w:p>
    <w:p w14:paraId="78FAA0A5" w14:textId="77777777" w:rsidR="00547230" w:rsidRDefault="00547230" w:rsidP="00547230">
      <w:pPr>
        <w:pStyle w:val="3"/>
        <w:rPr>
          <w:rFonts w:ascii="宋体" w:eastAsia="宋体" w:hAnsi="宋体" w:cs="宋体"/>
          <w:b/>
          <w:bCs/>
          <w:kern w:val="0"/>
          <w:sz w:val="24"/>
        </w:rPr>
      </w:pPr>
      <w:r w:rsidRPr="0065128C">
        <w:rPr>
          <w:rFonts w:ascii="宋体" w:eastAsia="宋体" w:hAnsi="宋体" w:cs="宋体"/>
          <w:b/>
          <w:bCs/>
          <w:kern w:val="0"/>
          <w:sz w:val="24"/>
        </w:rPr>
        <w:t>NLRP3干预及表型评估</w:t>
      </w:r>
    </w:p>
    <w:p w14:paraId="41F1E349" w14:textId="77777777" w:rsidR="00547230" w:rsidRDefault="00547230" w:rsidP="00547230">
      <w:pPr>
        <w:spacing w:before="100" w:beforeAutospacing="1" w:after="100" w:afterAutospacing="1"/>
      </w:pPr>
      <w:r w:rsidRPr="0065128C">
        <w:rPr>
          <w:b/>
          <w:bCs/>
        </w:rPr>
        <w:t>在2型糖尿病</w:t>
      </w:r>
      <w:r w:rsidRPr="0065128C">
        <w:t>模型（高脂饮食+STZ低剂量注射或基因突变小鼠如</w:t>
      </w:r>
      <w:proofErr w:type="spellStart"/>
      <w:r w:rsidRPr="0065128C">
        <w:t>db</w:t>
      </w:r>
      <w:proofErr w:type="spellEnd"/>
      <w:r w:rsidRPr="0065128C">
        <w:t>/</w:t>
      </w:r>
      <w:proofErr w:type="spellStart"/>
      <w:r w:rsidRPr="0065128C">
        <w:t>db</w:t>
      </w:r>
      <w:proofErr w:type="spellEnd"/>
      <w:r w:rsidRPr="0065128C">
        <w:t>）中，NLRP3激活与胰岛素抵抗、胰岛β细胞功能下降有关 。抑制NLRP3被证明可以改善糖代谢：</w:t>
      </w:r>
    </w:p>
    <w:p w14:paraId="77A93F68" w14:textId="77777777" w:rsidR="00547230" w:rsidRDefault="00547230" w:rsidP="00547230">
      <w:pPr>
        <w:pStyle w:val="4"/>
        <w:rPr>
          <w:rFonts w:ascii="宋体" w:eastAsia="宋体" w:hAnsi="宋体" w:cs="宋体"/>
          <w:kern w:val="0"/>
          <w:sz w:val="24"/>
        </w:rPr>
      </w:pPr>
      <w:r w:rsidRPr="00AB3526">
        <w:rPr>
          <w:rFonts w:ascii="宋体" w:eastAsia="宋体" w:hAnsi="宋体" w:cs="宋体"/>
          <w:b/>
          <w:bCs/>
          <w:kern w:val="0"/>
          <w:sz w:val="24"/>
        </w:rPr>
        <w:t>药物</w:t>
      </w:r>
    </w:p>
    <w:p w14:paraId="32F27B75" w14:textId="77777777" w:rsidR="00547230" w:rsidRPr="00AB3526" w:rsidRDefault="00547230" w:rsidP="00547230">
      <w:pPr>
        <w:spacing w:before="100" w:beforeAutospacing="1" w:after="100" w:afterAutospacing="1"/>
      </w:pPr>
      <w:r w:rsidRPr="00AB3526">
        <w:t>如秋水仙碱、长春花碱等具有炎症小体抑制作用的药物正被探索用于糖尿病并发症防治。一项研究发现，一氧化碳（CO）通过调节巨噬细胞糖酵解通路可下调NLRP3炎症小体，减少高糖环境下的炎症反应 。</w:t>
      </w:r>
    </w:p>
    <w:p w14:paraId="1B7708F4" w14:textId="77777777" w:rsidR="00547230" w:rsidRDefault="00547230" w:rsidP="00547230">
      <w:pPr>
        <w:pStyle w:val="4"/>
        <w:rPr>
          <w:rFonts w:ascii="宋体" w:eastAsia="宋体" w:hAnsi="宋体" w:cs="宋体"/>
          <w:b/>
          <w:bCs/>
          <w:kern w:val="0"/>
          <w:sz w:val="24"/>
        </w:rPr>
      </w:pPr>
      <w:r w:rsidRPr="00AB3526">
        <w:rPr>
          <w:rFonts w:ascii="宋体" w:eastAsia="宋体" w:hAnsi="宋体" w:cs="宋体"/>
          <w:b/>
          <w:bCs/>
          <w:kern w:val="0"/>
          <w:sz w:val="24"/>
        </w:rPr>
        <w:t>天然产物</w:t>
      </w:r>
    </w:p>
    <w:p w14:paraId="409F3D20" w14:textId="77777777" w:rsidR="00547230" w:rsidRPr="00AB3526" w:rsidRDefault="00547230" w:rsidP="00547230">
      <w:pPr>
        <w:spacing w:before="100" w:beforeAutospacing="1" w:after="100" w:afterAutospacing="1"/>
      </w:pPr>
      <w:r w:rsidRPr="00AB3526">
        <w:t>在代谢炎症中应用广泛。例如</w:t>
      </w:r>
      <w:r w:rsidRPr="00AB3526">
        <w:rPr>
          <w:b/>
          <w:bCs/>
        </w:rPr>
        <w:t>丹参酮I</w:t>
      </w:r>
      <w:r w:rsidRPr="00AB3526">
        <w:t>（Tan I）被证实可直接干扰NLRP3与ASC相互作用，从而特异性地抑制NLRP3炎症小体装配。丹参酮I在小鼠</w:t>
      </w:r>
      <w:r w:rsidRPr="00AB3526">
        <w:rPr>
          <w:b/>
          <w:bCs/>
        </w:rPr>
        <w:t>高脂</w:t>
      </w:r>
      <w:r w:rsidRPr="00AB3526">
        <w:rPr>
          <w:b/>
          <w:bCs/>
        </w:rPr>
        <w:lastRenderedPageBreak/>
        <w:t>饮食诱导的非酒精性脂肪性肝炎（NASH）模型中显著降低肝脏炎症和纤维化，在LPS诱导的败血症性休克</w:t>
      </w:r>
      <w:r w:rsidRPr="00AB3526">
        <w:t>模型中也提高了存活率 。此外，</w:t>
      </w:r>
      <w:r w:rsidRPr="00AB3526">
        <w:rPr>
          <w:b/>
          <w:bCs/>
        </w:rPr>
        <w:t>山楂提取物</w:t>
      </w:r>
      <w:r w:rsidRPr="00AB3526">
        <w:t>、</w:t>
      </w:r>
      <w:r w:rsidRPr="00AB3526">
        <w:rPr>
          <w:b/>
          <w:bCs/>
        </w:rPr>
        <w:t>白藜芦醇</w:t>
      </w:r>
      <w:r w:rsidRPr="00AB3526">
        <w:t>、</w:t>
      </w:r>
      <w:r w:rsidRPr="00AB3526">
        <w:rPr>
          <w:b/>
          <w:bCs/>
        </w:rPr>
        <w:t>槲皮素</w:t>
      </w:r>
      <w:r w:rsidRPr="00AB3526">
        <w:t>等多种植物产物均有报道可改善肥胖小鼠的炎症指标和葡萄糖耐受，其机制部分归功于抑制脂肪组织巨噬细胞的NLRP3激活。</w:t>
      </w:r>
    </w:p>
    <w:p w14:paraId="37F8CF37" w14:textId="77777777" w:rsidR="00547230" w:rsidRDefault="00547230" w:rsidP="00547230">
      <w:pPr>
        <w:pStyle w:val="4"/>
        <w:rPr>
          <w:rFonts w:ascii="宋体" w:eastAsia="宋体" w:hAnsi="宋体" w:cs="宋体"/>
          <w:b/>
          <w:bCs/>
          <w:kern w:val="0"/>
          <w:sz w:val="24"/>
        </w:rPr>
      </w:pPr>
      <w:r w:rsidRPr="00AB3526">
        <w:rPr>
          <w:rFonts w:ascii="宋体" w:eastAsia="宋体" w:hAnsi="宋体" w:cs="宋体"/>
          <w:b/>
          <w:bCs/>
          <w:kern w:val="0"/>
          <w:sz w:val="24"/>
        </w:rPr>
        <w:t>基因敲除/沉默</w:t>
      </w:r>
    </w:p>
    <w:p w14:paraId="5F323B9C" w14:textId="77777777" w:rsidR="00547230" w:rsidRPr="00AB3526" w:rsidRDefault="00547230" w:rsidP="00547230">
      <w:pPr>
        <w:spacing w:before="100" w:beforeAutospacing="1" w:after="100" w:afterAutospacing="1"/>
      </w:pPr>
      <w:r w:rsidRPr="00AB3526">
        <w:rPr>
          <w:b/>
          <w:bCs/>
        </w:rPr>
        <w:t>NLRP3及相关通路基因缺陷模型清楚地展现了代谢疾病表型的改变。例如NLRP3敲除小鼠摄入高脂饮食后体重增加和胰岛素抵抗程度较野生型减轻</w:t>
      </w:r>
      <w:r w:rsidRPr="00AB3526">
        <w:t>，白色脂肪组织的炎症浸润和IL-1β表达降低 。又如在肥胖诱导的</w:t>
      </w:r>
      <w:r w:rsidRPr="00AB3526">
        <w:rPr>
          <w:b/>
          <w:bCs/>
        </w:rPr>
        <w:t>心房颤动</w:t>
      </w:r>
      <w:r w:rsidRPr="00AB3526">
        <w:t>易感模型中，NLRP3</w:t>
      </w:r>
      <w:r w:rsidRPr="00AB3526">
        <w:rPr>
          <w:rFonts w:ascii="Cambria Math" w:hAnsi="Cambria Math" w:cs="Cambria Math"/>
        </w:rPr>
        <w:t>−</w:t>
      </w:r>
      <w:r w:rsidRPr="00AB3526">
        <w:t>/</w:t>
      </w:r>
      <w:r w:rsidRPr="00AB3526">
        <w:rPr>
          <w:rFonts w:ascii="Cambria Math" w:hAnsi="Cambria Math" w:cs="Cambria Math"/>
        </w:rPr>
        <w:t>−</w:t>
      </w:r>
      <w:r w:rsidRPr="00AB3526">
        <w:t>小鼠对快速起搏诱发心律失常呈现抗性 ，提示NLRP3介导的炎症也参与肥胖相关心脏电重构。</w:t>
      </w:r>
    </w:p>
    <w:p w14:paraId="2525A637" w14:textId="77777777" w:rsidR="00547230" w:rsidRDefault="00547230" w:rsidP="00547230">
      <w:pPr>
        <w:pStyle w:val="4"/>
        <w:rPr>
          <w:rFonts w:ascii="宋体" w:eastAsia="宋体" w:hAnsi="宋体" w:cs="宋体"/>
          <w:b/>
          <w:bCs/>
          <w:kern w:val="0"/>
          <w:sz w:val="24"/>
        </w:rPr>
      </w:pPr>
      <w:r w:rsidRPr="00AB3526">
        <w:rPr>
          <w:rFonts w:ascii="宋体" w:eastAsia="宋体" w:hAnsi="宋体" w:cs="宋体"/>
          <w:b/>
          <w:bCs/>
          <w:kern w:val="0"/>
          <w:sz w:val="24"/>
        </w:rPr>
        <w:t>微生物干预</w:t>
      </w:r>
    </w:p>
    <w:p w14:paraId="30665DF4" w14:textId="77777777" w:rsidR="00547230" w:rsidRPr="00AB3526" w:rsidRDefault="00547230" w:rsidP="00547230">
      <w:pPr>
        <w:spacing w:before="100" w:beforeAutospacing="1" w:after="100" w:afterAutospacing="1"/>
      </w:pPr>
      <w:r w:rsidRPr="00AB3526">
        <w:rPr>
          <w:b/>
          <w:bCs/>
        </w:rPr>
        <w:t>肠道菌群是代谢炎症的重要调节者。益生元/益生菌通过减少内毒素产生和肠道通透性，可以间接降低高脂饮食小鼠的NLRP3激活水平。例如补充双歧杆菌</w:t>
      </w:r>
      <w:r w:rsidRPr="00AB3526">
        <w:t>被报道可减轻NLRP3介导的脂肪肝炎。</w:t>
      </w:r>
    </w:p>
    <w:p w14:paraId="622F288A" w14:textId="77777777" w:rsidR="00547230" w:rsidRDefault="00547230" w:rsidP="00547230">
      <w:pPr>
        <w:pStyle w:val="4"/>
        <w:rPr>
          <w:rFonts w:ascii="宋体" w:eastAsia="宋体" w:hAnsi="宋体" w:cs="宋体"/>
          <w:b/>
          <w:bCs/>
          <w:kern w:val="0"/>
          <w:sz w:val="24"/>
        </w:rPr>
      </w:pPr>
      <w:r w:rsidRPr="00AB3526">
        <w:rPr>
          <w:rFonts w:ascii="宋体" w:eastAsia="宋体" w:hAnsi="宋体" w:cs="宋体"/>
          <w:b/>
          <w:bCs/>
          <w:kern w:val="0"/>
          <w:sz w:val="24"/>
        </w:rPr>
        <w:t>其他</w:t>
      </w:r>
    </w:p>
    <w:p w14:paraId="46331A3D" w14:textId="77777777" w:rsidR="00547230" w:rsidRPr="00AB3526" w:rsidRDefault="00547230" w:rsidP="00547230">
      <w:pPr>
        <w:spacing w:before="100" w:beforeAutospacing="1" w:after="100" w:afterAutospacing="1"/>
      </w:pPr>
      <w:r w:rsidRPr="00AB3526">
        <w:rPr>
          <w:b/>
          <w:bCs/>
        </w:rPr>
        <w:t>抗氧化与抗炎策略在代谢病中效果明显，如他汀类</w:t>
      </w:r>
      <w:r w:rsidRPr="00AB3526">
        <w:t>除了降脂也有抑制NLRP3的作用；适度</w:t>
      </w:r>
      <w:r w:rsidRPr="00AB3526">
        <w:rPr>
          <w:b/>
          <w:bCs/>
        </w:rPr>
        <w:t>运动</w:t>
      </w:r>
      <w:r w:rsidRPr="00AB3526">
        <w:t>被证明可减低肥胖小鼠脂肪组织NLRP3和IL-1β表达，从而改善胰岛素敏感性。</w:t>
      </w:r>
    </w:p>
    <w:p w14:paraId="3182636A" w14:textId="77777777" w:rsidR="00547230" w:rsidRPr="0065128C" w:rsidRDefault="00547230" w:rsidP="00547230">
      <w:pPr>
        <w:spacing w:before="100" w:beforeAutospacing="1" w:after="100" w:afterAutospacing="1"/>
      </w:pPr>
    </w:p>
    <w:p w14:paraId="722C9765" w14:textId="77777777" w:rsidR="00547230" w:rsidRDefault="00547230" w:rsidP="00547230">
      <w:pPr>
        <w:pStyle w:val="3"/>
        <w:rPr>
          <w:rFonts w:ascii="宋体" w:eastAsia="宋体" w:hAnsi="宋体" w:cs="宋体"/>
          <w:kern w:val="0"/>
          <w:sz w:val="24"/>
        </w:rPr>
      </w:pPr>
      <w:r w:rsidRPr="0065128C">
        <w:rPr>
          <w:rFonts w:ascii="宋体" w:eastAsia="宋体" w:hAnsi="宋体" w:cs="宋体"/>
          <w:kern w:val="0"/>
          <w:sz w:val="24"/>
        </w:rPr>
        <w:t>模型</w:t>
      </w:r>
    </w:p>
    <w:p w14:paraId="33B8FF3E" w14:textId="77777777" w:rsidR="00547230" w:rsidRDefault="00547230" w:rsidP="00547230">
      <w:pPr>
        <w:pStyle w:val="4"/>
        <w:rPr>
          <w:rFonts w:ascii="宋体" w:eastAsia="宋体" w:hAnsi="宋体" w:cs="宋体"/>
          <w:b/>
          <w:bCs/>
          <w:kern w:val="0"/>
          <w:sz w:val="24"/>
        </w:rPr>
      </w:pPr>
      <w:r w:rsidRPr="0065128C">
        <w:rPr>
          <w:rFonts w:ascii="宋体" w:eastAsia="宋体" w:hAnsi="宋体" w:cs="宋体"/>
          <w:b/>
          <w:bCs/>
          <w:kern w:val="0"/>
          <w:sz w:val="24"/>
        </w:rPr>
        <w:t>非酒精性脂肪性肝病/脂肪性肝炎（NAFLD/NASH）</w:t>
      </w:r>
    </w:p>
    <w:p w14:paraId="5B24C99C" w14:textId="77777777" w:rsidR="00547230" w:rsidRDefault="00547230" w:rsidP="00547230">
      <w:pPr>
        <w:spacing w:before="100" w:beforeAutospacing="1" w:after="100" w:afterAutospacing="1"/>
        <w:rPr>
          <w:b/>
          <w:bCs/>
        </w:rPr>
      </w:pPr>
      <w:r w:rsidRPr="0065128C">
        <w:rPr>
          <w:b/>
          <w:bCs/>
        </w:rPr>
        <w:t>常用高脂饲料（添加高糖）喂养或者胆碱缺乏氨基酸定义饮食（MCD饮食）诱导肝脏脂肪变性和炎症。NLRP3在NASH发生中驱动肝巨噬细胞分泌IL-1β等，导致肝细胞损伤和纤维化。通过抑制NLRP3，可以降低肝脏炎症及肝纤维化标志物（如α-SMA、胶原沉积） 。</w:t>
      </w:r>
    </w:p>
    <w:p w14:paraId="2D574894" w14:textId="77777777" w:rsidR="00547230" w:rsidRDefault="00547230" w:rsidP="00547230">
      <w:pPr>
        <w:pStyle w:val="4"/>
        <w:rPr>
          <w:rFonts w:ascii="宋体" w:eastAsia="宋体" w:hAnsi="宋体" w:cs="宋体"/>
          <w:b/>
          <w:bCs/>
          <w:kern w:val="0"/>
          <w:sz w:val="24"/>
        </w:rPr>
      </w:pPr>
      <w:r w:rsidRPr="0065128C">
        <w:rPr>
          <w:rFonts w:ascii="宋体" w:eastAsia="宋体" w:hAnsi="宋体" w:cs="宋体"/>
          <w:b/>
          <w:bCs/>
          <w:kern w:val="0"/>
          <w:sz w:val="24"/>
        </w:rPr>
        <w:t>2型糖尿病模型（HFD+STZ或遗传肥胖小鼠）</w:t>
      </w:r>
    </w:p>
    <w:p w14:paraId="0888269E" w14:textId="77777777" w:rsidR="00547230" w:rsidRDefault="00547230" w:rsidP="00547230">
      <w:pPr>
        <w:spacing w:before="100" w:beforeAutospacing="1" w:after="100" w:afterAutospacing="1"/>
        <w:rPr>
          <w:b/>
          <w:bCs/>
        </w:rPr>
      </w:pPr>
      <w:r w:rsidRPr="0065128C">
        <w:rPr>
          <w:b/>
          <w:bCs/>
        </w:rPr>
        <w:t>评估指标包括空腹血糖、葡萄糖耐量试验（</w:t>
      </w:r>
      <w:bookmarkStart w:id="1" w:name="OLE_LINK2"/>
      <w:r w:rsidRPr="0065128C">
        <w:rPr>
          <w:b/>
          <w:bCs/>
        </w:rPr>
        <w:t>GTT）、</w:t>
      </w:r>
      <w:bookmarkEnd w:id="1"/>
      <w:r w:rsidRPr="0065128C">
        <w:rPr>
          <w:b/>
          <w:bCs/>
        </w:rPr>
        <w:t>胰岛素耐量试验（ITT）结果以及胰岛病理改变。NLRP3抑制干预常提高胰岛素敏感性、保护胰岛β细胞。</w:t>
      </w:r>
    </w:p>
    <w:p w14:paraId="6A3E2E7F" w14:textId="77777777" w:rsidR="00547230" w:rsidRDefault="00547230" w:rsidP="00547230">
      <w:pPr>
        <w:pStyle w:val="4"/>
        <w:rPr>
          <w:rFonts w:ascii="宋体" w:eastAsia="宋体" w:hAnsi="宋体" w:cs="宋体"/>
          <w:b/>
          <w:bCs/>
          <w:kern w:val="0"/>
          <w:sz w:val="24"/>
        </w:rPr>
      </w:pPr>
      <w:r w:rsidRPr="0065128C">
        <w:rPr>
          <w:rFonts w:ascii="宋体" w:eastAsia="宋体" w:hAnsi="宋体" w:cs="宋体"/>
          <w:b/>
          <w:bCs/>
          <w:kern w:val="0"/>
          <w:sz w:val="24"/>
        </w:rPr>
        <w:t>1型糖尿病模型（大剂量STZ一次性注射）</w:t>
      </w:r>
    </w:p>
    <w:p w14:paraId="6E8AB9B1" w14:textId="77777777" w:rsidR="00547230" w:rsidRDefault="00547230" w:rsidP="00547230">
      <w:pPr>
        <w:spacing w:before="100" w:beforeAutospacing="1" w:after="100" w:afterAutospacing="1"/>
      </w:pPr>
      <w:r w:rsidRPr="0065128C">
        <w:rPr>
          <w:b/>
          <w:bCs/>
        </w:rPr>
        <w:t>多用于观察糖尿病并发症，如糖尿病肾病、糖尿病性神经病变等。在糖尿病肾病模型中，肾小球系膜和肾小管上皮细胞的NLRP3激活导致炎症和纤维</w:t>
      </w:r>
      <w:r w:rsidRPr="0065128C">
        <w:rPr>
          <w:b/>
          <w:bCs/>
        </w:rPr>
        <w:lastRenderedPageBreak/>
        <w:t>化，通过基因敲除NLRP3或给予抑制剂可减轻蛋白尿和肾功能恶化 。痛风模型方面，经典方法是向小鼠关节腔/足跖部注射尿酸钠结晶（MSU）以诱导痛风性关节炎</w:t>
      </w:r>
      <w:r w:rsidRPr="0065128C">
        <w:t>。</w:t>
      </w:r>
    </w:p>
    <w:p w14:paraId="5B02A94B" w14:textId="77777777" w:rsidR="00547230" w:rsidRDefault="00547230" w:rsidP="00547230">
      <w:pPr>
        <w:pStyle w:val="4"/>
        <w:rPr>
          <w:rFonts w:ascii="宋体" w:eastAsia="宋体" w:hAnsi="宋体" w:cs="宋体" w:hint="eastAsia"/>
          <w:kern w:val="0"/>
          <w:sz w:val="24"/>
        </w:rPr>
      </w:pPr>
      <w:r w:rsidRPr="0065128C">
        <w:rPr>
          <w:rFonts w:ascii="宋体" w:eastAsia="宋体" w:hAnsi="宋体" w:cs="宋体"/>
          <w:kern w:val="0"/>
          <w:sz w:val="24"/>
        </w:rPr>
        <w:t>关节炎症</w:t>
      </w:r>
    </w:p>
    <w:p w14:paraId="102594F7" w14:textId="77777777" w:rsidR="00547230" w:rsidRDefault="00547230" w:rsidP="00547230">
      <w:pPr>
        <w:spacing w:before="100" w:beforeAutospacing="1" w:after="100" w:afterAutospacing="1"/>
      </w:pPr>
      <w:r w:rsidRPr="0065128C">
        <w:t>MSU晶体直接引发巨噬细胞内NLRP3炎症小体活化，产生大量IL-1β造成关节炎症。抑制NLRP3能够有效减轻局部肿胀和疼痛：</w:t>
      </w:r>
    </w:p>
    <w:p w14:paraId="0CD07EBB" w14:textId="77777777" w:rsidR="00547230" w:rsidRDefault="00547230" w:rsidP="00547230">
      <w:pPr>
        <w:pStyle w:val="5"/>
        <w:rPr>
          <w:rFonts w:ascii="宋体" w:eastAsia="宋体" w:hAnsi="宋体" w:cs="宋体"/>
          <w:kern w:val="0"/>
        </w:rPr>
      </w:pPr>
      <w:r w:rsidRPr="00AB3526">
        <w:rPr>
          <w:rFonts w:ascii="宋体" w:eastAsia="宋体" w:hAnsi="宋体" w:cs="宋体"/>
          <w:kern w:val="0"/>
        </w:rPr>
        <w:t>药物</w:t>
      </w:r>
    </w:p>
    <w:p w14:paraId="359A8BD9" w14:textId="77777777" w:rsidR="00547230" w:rsidRPr="00AB3526" w:rsidRDefault="00547230" w:rsidP="00547230">
      <w:pPr>
        <w:spacing w:before="100" w:beforeAutospacing="1" w:after="100" w:afterAutospacing="1"/>
      </w:pPr>
      <w:r w:rsidRPr="00AB3526">
        <w:t>如秋水仙碱通过抑制微管聚合间接阻断NLRP3组装，已用于痛风急性发作治疗 。</w:t>
      </w:r>
    </w:p>
    <w:p w14:paraId="04F3DB5A" w14:textId="77777777" w:rsidR="00547230" w:rsidRDefault="00547230" w:rsidP="00547230">
      <w:pPr>
        <w:pStyle w:val="5"/>
        <w:rPr>
          <w:rFonts w:ascii="宋体" w:eastAsia="宋体" w:hAnsi="宋体" w:cs="宋体"/>
          <w:kern w:val="0"/>
        </w:rPr>
      </w:pPr>
      <w:r w:rsidRPr="00AB3526">
        <w:rPr>
          <w:rFonts w:ascii="宋体" w:eastAsia="宋体" w:hAnsi="宋体" w:cs="宋体"/>
          <w:kern w:val="0"/>
        </w:rPr>
        <w:t>天然化合物</w:t>
      </w:r>
    </w:p>
    <w:p w14:paraId="1A32C52B" w14:textId="77777777" w:rsidR="00547230" w:rsidRPr="00AB3526" w:rsidRDefault="00547230" w:rsidP="00547230">
      <w:pPr>
        <w:spacing w:before="100" w:beforeAutospacing="1" w:after="100" w:afterAutospacing="1"/>
      </w:pPr>
      <w:r w:rsidRPr="00AB3526">
        <w:t>如</w:t>
      </w:r>
      <w:r w:rsidRPr="00AB3526">
        <w:rPr>
          <w:b/>
          <w:bCs/>
        </w:rPr>
        <w:t>白藜芦醇</w:t>
      </w:r>
      <w:r w:rsidRPr="00AB3526">
        <w:t>（Resveratrol, Res）在MSU诱导的小鼠痛风模型中显示抗炎效果，其机制包括抑制NLRP3和促焦亡通路 。</w:t>
      </w:r>
    </w:p>
    <w:p w14:paraId="28C2C250" w14:textId="77777777" w:rsidR="00547230" w:rsidRDefault="00547230" w:rsidP="00547230">
      <w:pPr>
        <w:pStyle w:val="5"/>
        <w:rPr>
          <w:rFonts w:ascii="宋体" w:eastAsia="宋体" w:hAnsi="宋体" w:cs="宋体" w:hint="eastAsia"/>
          <w:kern w:val="0"/>
        </w:rPr>
      </w:pPr>
      <w:r w:rsidRPr="00AB3526">
        <w:rPr>
          <w:rFonts w:ascii="宋体" w:eastAsia="宋体" w:hAnsi="宋体" w:cs="宋体"/>
          <w:kern w:val="0"/>
        </w:rPr>
        <w:t>基因</w:t>
      </w:r>
    </w:p>
    <w:p w14:paraId="52A539AC" w14:textId="77777777" w:rsidR="00547230" w:rsidRPr="00AB3526" w:rsidRDefault="00547230" w:rsidP="00547230">
      <w:pPr>
        <w:spacing w:before="100" w:beforeAutospacing="1" w:after="100" w:afterAutospacing="1"/>
      </w:pPr>
      <w:r w:rsidRPr="00AB3526">
        <w:t>有研究利用miR-146a</w:t>
      </w:r>
      <w:r w:rsidRPr="00AB3526">
        <w:rPr>
          <w:rFonts w:ascii="Cambria Math" w:hAnsi="Cambria Math" w:cs="Cambria Math"/>
        </w:rPr>
        <w:t>−</w:t>
      </w:r>
      <w:r w:rsidRPr="00AB3526">
        <w:t>/</w:t>
      </w:r>
      <w:r w:rsidRPr="00AB3526">
        <w:rPr>
          <w:rFonts w:ascii="Cambria Math" w:hAnsi="Cambria Math" w:cs="Cambria Math"/>
        </w:rPr>
        <w:t>−</w:t>
      </w:r>
      <w:r w:rsidRPr="00AB3526">
        <w:t>小鼠发现，这种内源性microRNA缺失会导致痛风模型下关节肿胀更重、炎症介质（IL-1β、TNF等）显著升高，原因是失去了对NLRP3炎症小体相关通路（IRAK1/TRAF6）的负调控 ；提示提高miR-146a水平或沉默炎症小体组分可能成为干预策略。</w:t>
      </w:r>
      <w:r w:rsidRPr="00AB3526">
        <w:rPr>
          <w:b/>
          <w:bCs/>
        </w:rPr>
        <w:t>双重敲除</w:t>
      </w:r>
      <w:r w:rsidRPr="00AB3526">
        <w:t>（如将高尿酸模型与Nlrp3</w:t>
      </w:r>
      <w:r w:rsidRPr="00AB3526">
        <w:rPr>
          <w:rFonts w:ascii="Cambria Math" w:hAnsi="Cambria Math" w:cs="Cambria Math"/>
        </w:rPr>
        <w:t>−</w:t>
      </w:r>
      <w:r w:rsidRPr="00AB3526">
        <w:t>/</w:t>
      </w:r>
      <w:r w:rsidRPr="00AB3526">
        <w:rPr>
          <w:rFonts w:ascii="Cambria Math" w:hAnsi="Cambria Math" w:cs="Cambria Math"/>
        </w:rPr>
        <w:t>−</w:t>
      </w:r>
      <w:r w:rsidRPr="00AB3526">
        <w:t>杂交）可以证明NLRP3在痛风炎症中的必要性。</w:t>
      </w:r>
    </w:p>
    <w:p w14:paraId="27A267AF" w14:textId="77777777" w:rsidR="00547230" w:rsidRDefault="00547230" w:rsidP="00547230">
      <w:pPr>
        <w:pStyle w:val="5"/>
        <w:rPr>
          <w:rFonts w:ascii="宋体" w:eastAsia="宋体" w:hAnsi="宋体" w:cs="宋体"/>
          <w:kern w:val="0"/>
        </w:rPr>
      </w:pPr>
      <w:r w:rsidRPr="00AB3526">
        <w:rPr>
          <w:rFonts w:ascii="宋体" w:eastAsia="宋体" w:hAnsi="宋体" w:cs="宋体"/>
          <w:kern w:val="0"/>
        </w:rPr>
        <w:t>微生物和其他</w:t>
      </w:r>
    </w:p>
    <w:p w14:paraId="1C706324" w14:textId="77777777" w:rsidR="00547230" w:rsidRPr="00AB3526" w:rsidRDefault="00547230" w:rsidP="00547230">
      <w:pPr>
        <w:spacing w:before="100" w:beforeAutospacing="1" w:after="100" w:afterAutospacing="1"/>
      </w:pPr>
      <w:r w:rsidRPr="00AB3526">
        <w:t>痛风模型中尚无益生菌报告，但饮食控制和调节肠道菌群被认为能影响宿主尿酸代谢和炎症阈值。</w:t>
      </w:r>
    </w:p>
    <w:p w14:paraId="1E982942" w14:textId="77777777" w:rsidR="00547230" w:rsidRPr="0065128C" w:rsidRDefault="00547230" w:rsidP="00547230">
      <w:pPr>
        <w:spacing w:before="100" w:beforeAutospacing="1" w:after="100" w:afterAutospacing="1"/>
      </w:pPr>
    </w:p>
    <w:p w14:paraId="4E737FE6" w14:textId="77777777" w:rsidR="00547230" w:rsidRPr="0065128C" w:rsidRDefault="00547230" w:rsidP="00547230">
      <w:pPr>
        <w:spacing w:before="100" w:beforeAutospacing="1" w:after="100" w:afterAutospacing="1"/>
      </w:pPr>
      <w:r w:rsidRPr="0065128C">
        <w:t>代谢系统模型的常用指标包括：</w:t>
      </w:r>
      <w:r w:rsidRPr="0065128C">
        <w:rPr>
          <w:b/>
          <w:bCs/>
        </w:rPr>
        <w:t>代谢参数</w:t>
      </w:r>
      <w:r w:rsidRPr="0065128C">
        <w:t>（体重、血糖、胰岛素、血脂水平等），</w:t>
      </w:r>
      <w:r w:rsidRPr="0065128C">
        <w:rPr>
          <w:b/>
          <w:bCs/>
        </w:rPr>
        <w:t>糖耐量/胰岛素敏感性测试</w:t>
      </w:r>
      <w:r w:rsidRPr="0065128C">
        <w:t>，</w:t>
      </w:r>
      <w:r w:rsidRPr="0065128C">
        <w:rPr>
          <w:b/>
          <w:bCs/>
        </w:rPr>
        <w:t>组织病理</w:t>
      </w:r>
      <w:r w:rsidRPr="0065128C">
        <w:t>（肝脏脂肪变性分级、肾小球硬化评分、胰岛β细胞胰岛素免疫染色），</w:t>
      </w:r>
      <w:r w:rsidRPr="0065128C">
        <w:rPr>
          <w:b/>
          <w:bCs/>
        </w:rPr>
        <w:t>炎症及纤维化指标</w:t>
      </w:r>
      <w:r w:rsidRPr="0065128C">
        <w:t>（组织中IL-1β、MCP-1、TGF-β，肝纤维化标志胶原纤维面积等），</w:t>
      </w:r>
      <w:r w:rsidRPr="0065128C">
        <w:rPr>
          <w:b/>
          <w:bCs/>
        </w:rPr>
        <w:t>痛觉和肿胀评分</w:t>
      </w:r>
      <w:r w:rsidRPr="0065128C">
        <w:t>（痛风关节肿胀度、触痛反应）。总的来说，抑制NLRP3在代谢性疾病模型中普遍产生</w:t>
      </w:r>
      <w:r w:rsidRPr="0065128C">
        <w:rPr>
          <w:b/>
          <w:bCs/>
        </w:rPr>
        <w:t>抗炎和改善代谢功能</w:t>
      </w:r>
      <w:r w:rsidRPr="0065128C">
        <w:t>的效果，进一步支持了将NLRP3作为治疗代谢综合征的新靶点。</w:t>
      </w:r>
    </w:p>
    <w:p w14:paraId="3FFE79DD" w14:textId="77777777" w:rsidR="00547230" w:rsidRPr="0065128C" w:rsidRDefault="00547230" w:rsidP="00547230">
      <w:pPr>
        <w:spacing w:before="100" w:beforeAutospacing="1" w:after="100" w:afterAutospacing="1"/>
      </w:pPr>
    </w:p>
    <w:p w14:paraId="3E7EBE51" w14:textId="77777777" w:rsidR="00547230" w:rsidRPr="0065128C" w:rsidRDefault="00547230" w:rsidP="00547230">
      <w:pPr>
        <w:spacing w:before="100" w:beforeAutospacing="1" w:after="100" w:afterAutospacing="1"/>
        <w:outlineLvl w:val="1"/>
        <w:rPr>
          <w:b/>
          <w:bCs/>
          <w:sz w:val="36"/>
          <w:szCs w:val="36"/>
        </w:rPr>
      </w:pPr>
      <w:r w:rsidRPr="0065128C">
        <w:rPr>
          <w:b/>
          <w:bCs/>
          <w:sz w:val="36"/>
          <w:szCs w:val="36"/>
        </w:rPr>
        <w:t>其他免疫/炎症相关疾病模型</w:t>
      </w:r>
    </w:p>
    <w:p w14:paraId="1F57F2C8" w14:textId="77777777" w:rsidR="00547230" w:rsidRPr="0065128C" w:rsidRDefault="00547230" w:rsidP="00547230">
      <w:pPr>
        <w:spacing w:before="100" w:beforeAutospacing="1" w:after="100" w:afterAutospacing="1"/>
      </w:pPr>
    </w:p>
    <w:p w14:paraId="0C09B5D5" w14:textId="77777777" w:rsidR="00547230" w:rsidRDefault="00547230" w:rsidP="00547230">
      <w:pPr>
        <w:pStyle w:val="3"/>
        <w:rPr>
          <w:rFonts w:ascii="宋体" w:eastAsia="宋体" w:hAnsi="宋体" w:cs="宋体"/>
          <w:b/>
          <w:bCs/>
          <w:kern w:val="0"/>
          <w:sz w:val="24"/>
        </w:rPr>
      </w:pPr>
      <w:r w:rsidRPr="0065128C">
        <w:rPr>
          <w:rFonts w:ascii="宋体" w:eastAsia="宋体" w:hAnsi="宋体" w:cs="宋体"/>
          <w:b/>
          <w:bCs/>
          <w:kern w:val="0"/>
          <w:sz w:val="24"/>
        </w:rPr>
        <w:t>文献数量</w:t>
      </w:r>
    </w:p>
    <w:p w14:paraId="6B915151" w14:textId="77777777" w:rsidR="00547230" w:rsidRPr="0065128C" w:rsidRDefault="00547230" w:rsidP="00547230">
      <w:pPr>
        <w:spacing w:before="100" w:beforeAutospacing="1" w:after="100" w:afterAutospacing="1"/>
      </w:pPr>
      <w:r w:rsidRPr="0065128C">
        <w:rPr>
          <w:b/>
          <w:bCs/>
        </w:rPr>
        <w:t>这一类包含前述未归入的其他系统疾病模型，大约150篇</w:t>
      </w:r>
      <w:r w:rsidRPr="0065128C">
        <w:t>文献，主要涉及</w:t>
      </w:r>
      <w:r w:rsidRPr="0065128C">
        <w:rPr>
          <w:b/>
          <w:bCs/>
        </w:rPr>
        <w:t>自身免疫性疾病</w:t>
      </w:r>
      <w:r w:rsidRPr="0065128C">
        <w:t>和</w:t>
      </w:r>
      <w:r w:rsidRPr="0065128C">
        <w:rPr>
          <w:b/>
          <w:bCs/>
        </w:rPr>
        <w:t>全身炎症综合征</w:t>
      </w:r>
      <w:r w:rsidRPr="0065128C">
        <w:t>等。例如</w:t>
      </w:r>
      <w:r w:rsidRPr="0065128C">
        <w:rPr>
          <w:b/>
          <w:bCs/>
        </w:rPr>
        <w:t>风湿免疫疾病</w:t>
      </w:r>
      <w:r w:rsidRPr="0065128C">
        <w:t>（类风湿关节炎、系统性红斑狼疮等）、</w:t>
      </w:r>
      <w:r w:rsidRPr="0065128C">
        <w:rPr>
          <w:b/>
          <w:bCs/>
        </w:rPr>
        <w:t>败血症/感染</w:t>
      </w:r>
      <w:r w:rsidRPr="0065128C">
        <w:t>相关模型，以及</w:t>
      </w:r>
      <w:r w:rsidRPr="0065128C">
        <w:rPr>
          <w:b/>
          <w:bCs/>
        </w:rPr>
        <w:t>皮肤炎症疾病</w:t>
      </w:r>
      <w:r w:rsidRPr="0065128C">
        <w:t>等。在这些疾病中，NLRP3炎症小体驱动的IL-1β/IL-18等促炎因素同样是致病关键。</w:t>
      </w:r>
    </w:p>
    <w:p w14:paraId="40E97F52" w14:textId="77777777" w:rsidR="00547230" w:rsidRPr="0065128C" w:rsidRDefault="00547230" w:rsidP="00547230">
      <w:pPr>
        <w:spacing w:before="100" w:beforeAutospacing="1" w:after="100" w:afterAutospacing="1"/>
      </w:pPr>
    </w:p>
    <w:p w14:paraId="58C64009" w14:textId="77777777" w:rsidR="00547230" w:rsidRDefault="00547230" w:rsidP="00547230">
      <w:pPr>
        <w:pStyle w:val="3"/>
        <w:rPr>
          <w:rFonts w:ascii="宋体" w:eastAsia="宋体" w:hAnsi="宋体" w:cs="宋体"/>
          <w:b/>
          <w:bCs/>
          <w:kern w:val="0"/>
          <w:sz w:val="24"/>
        </w:rPr>
      </w:pPr>
      <w:r w:rsidRPr="0065128C">
        <w:rPr>
          <w:rFonts w:ascii="宋体" w:eastAsia="宋体" w:hAnsi="宋体" w:cs="宋体"/>
          <w:b/>
          <w:bCs/>
          <w:kern w:val="0"/>
          <w:sz w:val="24"/>
        </w:rPr>
        <w:t>NLRP3干预及表型评估</w:t>
      </w:r>
    </w:p>
    <w:p w14:paraId="48936B8A" w14:textId="77777777" w:rsidR="00547230" w:rsidRDefault="00547230" w:rsidP="00547230">
      <w:pPr>
        <w:spacing w:before="100" w:beforeAutospacing="1" w:after="100" w:afterAutospacing="1"/>
      </w:pPr>
      <w:r w:rsidRPr="0065128C">
        <w:rPr>
          <w:b/>
          <w:bCs/>
        </w:rPr>
        <w:t>对于类风湿关节炎（RA）</w:t>
      </w:r>
      <w:r w:rsidRPr="0065128C">
        <w:t>，常用模型是</w:t>
      </w:r>
      <w:r w:rsidRPr="0065128C">
        <w:rPr>
          <w:b/>
          <w:bCs/>
        </w:rPr>
        <w:t>胶原诱导关节炎(CIA)</w:t>
      </w:r>
      <w:r w:rsidRPr="0065128C">
        <w:t>。RA关节滑膜中NLRP3介导的炎症导致滑膜增生和关节破坏。研究显示一些干预可减轻CIA小鼠的关节炎症：</w:t>
      </w:r>
    </w:p>
    <w:p w14:paraId="5A9177E8" w14:textId="77777777" w:rsidR="00547230" w:rsidRPr="00547230" w:rsidRDefault="00547230" w:rsidP="00547230">
      <w:pPr>
        <w:spacing w:before="100" w:beforeAutospacing="1" w:after="100" w:afterAutospacing="1"/>
        <w:rPr>
          <w:b/>
          <w:bCs/>
        </w:rPr>
      </w:pPr>
      <w:r w:rsidRPr="00547230">
        <w:rPr>
          <w:b/>
          <w:bCs/>
        </w:rPr>
        <w:t>天然产物</w:t>
      </w:r>
      <w:r w:rsidRPr="00547230">
        <w:t>：例如从莲子心提取的生物碱</w:t>
      </w:r>
      <w:r w:rsidRPr="00547230">
        <w:rPr>
          <w:b/>
          <w:bCs/>
        </w:rPr>
        <w:t>甲基莲心碱（</w:t>
      </w:r>
      <w:proofErr w:type="spellStart"/>
      <w:r w:rsidRPr="00547230">
        <w:rPr>
          <w:b/>
          <w:bCs/>
        </w:rPr>
        <w:t>Neferine</w:t>
      </w:r>
      <w:proofErr w:type="spellEnd"/>
      <w:r w:rsidRPr="00547230">
        <w:rPr>
          <w:b/>
          <w:bCs/>
        </w:rPr>
        <w:t>）在CIA模型中通过抑制NF-</w:t>
      </w:r>
      <w:proofErr w:type="spellStart"/>
      <w:r w:rsidRPr="00547230">
        <w:rPr>
          <w:b/>
          <w:bCs/>
        </w:rPr>
        <w:t>κB</w:t>
      </w:r>
      <w:proofErr w:type="spellEnd"/>
      <w:r w:rsidRPr="00547230">
        <w:rPr>
          <w:b/>
          <w:bCs/>
        </w:rPr>
        <w:t>和NLRP3通路，显著减轻小鼠踝关节肿胀和软骨破坏 。</w:t>
      </w:r>
    </w:p>
    <w:p w14:paraId="19B1D2E7" w14:textId="77777777" w:rsidR="00547230" w:rsidRPr="00547230" w:rsidRDefault="00547230" w:rsidP="00547230">
      <w:pPr>
        <w:spacing w:before="100" w:beforeAutospacing="1" w:after="100" w:afterAutospacing="1"/>
        <w:rPr>
          <w:b/>
          <w:bCs/>
        </w:rPr>
      </w:pPr>
      <w:r w:rsidRPr="00547230">
        <w:rPr>
          <w:b/>
          <w:bCs/>
        </w:rPr>
        <w:t>基因敲除：Nlrp3或Casp1敲除小鼠均显示关节炎症状减轻、致病性Th17细胞减少，说明炎症小体在RA发病中不可或缺。</w:t>
      </w:r>
    </w:p>
    <w:p w14:paraId="55F4B6AB" w14:textId="77777777" w:rsidR="00547230" w:rsidRPr="00547230" w:rsidRDefault="00547230" w:rsidP="00547230">
      <w:pPr>
        <w:spacing w:before="100" w:beforeAutospacing="1" w:after="100" w:afterAutospacing="1"/>
      </w:pPr>
      <w:r w:rsidRPr="00547230">
        <w:rPr>
          <w:b/>
          <w:bCs/>
        </w:rPr>
        <w:t>此外，秋水仙碱、他克莫司等药物对RA也有一定疗效，被认为部分源于抑制了关节中的NLRP3激活。对于痛风性关节炎</w:t>
      </w:r>
      <w:r w:rsidRPr="00547230">
        <w:t>，前文代谢部分已论述，通过抑制NLRP3可有效缓解急性痛风发作的红肿热痛。</w:t>
      </w:r>
    </w:p>
    <w:p w14:paraId="2810944A" w14:textId="77777777" w:rsidR="00547230" w:rsidRPr="0065128C" w:rsidRDefault="00547230" w:rsidP="00547230">
      <w:pPr>
        <w:pStyle w:val="3"/>
        <w:rPr>
          <w:rFonts w:ascii="宋体" w:eastAsia="宋体" w:hAnsi="宋体" w:cs="宋体"/>
          <w:kern w:val="0"/>
          <w:sz w:val="24"/>
        </w:rPr>
      </w:pPr>
      <w:r>
        <w:rPr>
          <w:rFonts w:ascii="宋体" w:eastAsia="宋体" w:hAnsi="宋体" w:cs="宋体" w:hint="eastAsia"/>
          <w:kern w:val="0"/>
          <w:sz w:val="24"/>
        </w:rPr>
        <w:t>模型</w:t>
      </w:r>
    </w:p>
    <w:p w14:paraId="1F15B061" w14:textId="77777777" w:rsidR="00547230" w:rsidRDefault="00547230" w:rsidP="00547230">
      <w:pPr>
        <w:pStyle w:val="4"/>
        <w:rPr>
          <w:rFonts w:ascii="宋体" w:eastAsia="宋体" w:hAnsi="宋体" w:cs="宋体"/>
          <w:kern w:val="0"/>
          <w:sz w:val="24"/>
        </w:rPr>
      </w:pPr>
      <w:r w:rsidRPr="0065128C">
        <w:rPr>
          <w:rFonts w:ascii="宋体" w:eastAsia="宋体" w:hAnsi="宋体" w:cs="宋体"/>
          <w:b/>
          <w:bCs/>
          <w:kern w:val="0"/>
          <w:sz w:val="24"/>
        </w:rPr>
        <w:t>系统性红斑狼疮（SLE）及其狼疮肾炎</w:t>
      </w:r>
      <w:r w:rsidRPr="0065128C">
        <w:rPr>
          <w:rFonts w:ascii="宋体" w:eastAsia="宋体" w:hAnsi="宋体" w:cs="宋体"/>
          <w:kern w:val="0"/>
          <w:sz w:val="24"/>
        </w:rPr>
        <w:t>模型</w:t>
      </w:r>
    </w:p>
    <w:p w14:paraId="1E1C3662" w14:textId="77777777" w:rsidR="00547230" w:rsidRPr="0065128C" w:rsidRDefault="00547230" w:rsidP="00547230">
      <w:pPr>
        <w:spacing w:before="100" w:beforeAutospacing="1" w:after="100" w:afterAutospacing="1"/>
      </w:pPr>
      <w:r w:rsidRPr="0065128C">
        <w:t>通常使用</w:t>
      </w:r>
      <w:r w:rsidRPr="0065128C">
        <w:rPr>
          <w:b/>
          <w:bCs/>
        </w:rPr>
        <w:t>Pristane（矿物油）诱导鼠狼疮</w:t>
      </w:r>
      <w:r w:rsidRPr="0065128C">
        <w:t>或易感品系如(NZB×NZW)F1小鼠。狼疮病人和模型中NLRP3炎症小体活性升高，会促进肾小球炎症和皮肤损伤等。干预例子：（1）</w:t>
      </w:r>
      <w:r w:rsidRPr="0065128C">
        <w:rPr>
          <w:b/>
          <w:bCs/>
        </w:rPr>
        <w:t>天然产物</w:t>
      </w:r>
      <w:r w:rsidRPr="0065128C">
        <w:t>：</w:t>
      </w:r>
      <w:r w:rsidRPr="0065128C">
        <w:rPr>
          <w:b/>
          <w:bCs/>
        </w:rPr>
        <w:t>褐藻多酚原花青素B2</w:t>
      </w:r>
      <w:r w:rsidRPr="0065128C">
        <w:t>给易感小鼠可</w:t>
      </w:r>
      <w:r w:rsidRPr="0065128C">
        <w:rPr>
          <w:b/>
          <w:bCs/>
        </w:rPr>
        <w:t>预防狼疮肾炎</w:t>
      </w:r>
      <w:r w:rsidRPr="0065128C">
        <w:t>发生，其作用机制即为抗氧化并抑制肾脏中NLRP3炎症小体活化，从而减轻免疫复合物介导的炎症损伤 。（2）</w:t>
      </w:r>
      <w:r w:rsidRPr="0065128C">
        <w:rPr>
          <w:b/>
          <w:bCs/>
        </w:rPr>
        <w:t>基因/药物</w:t>
      </w:r>
      <w:r w:rsidRPr="0065128C">
        <w:t>：NLRP3或IL-1R缺失显著降低狼疮小鼠肾脏病理损伤。麻醉气体</w:t>
      </w:r>
      <w:r w:rsidRPr="0065128C">
        <w:rPr>
          <w:b/>
          <w:bCs/>
        </w:rPr>
        <w:t>氙气（Xenon）据报道每天吸入可延缓NZB/W狼疮小鼠的肾衰进程，减少肾组织IL-1β产生 。（3）其他：如氯喹</w:t>
      </w:r>
      <w:r w:rsidRPr="0065128C">
        <w:t>在狼疮中的疗效部分归功于其抑制碱性溶酶体和NLRP3活化。</w:t>
      </w:r>
    </w:p>
    <w:p w14:paraId="3B5F0978" w14:textId="77777777" w:rsidR="00547230" w:rsidRPr="0065128C" w:rsidRDefault="00547230" w:rsidP="00547230">
      <w:pPr>
        <w:spacing w:before="100" w:beforeAutospacing="1" w:after="100" w:afterAutospacing="1"/>
      </w:pPr>
    </w:p>
    <w:p w14:paraId="47FB1F74" w14:textId="77777777" w:rsidR="00547230" w:rsidRDefault="00547230" w:rsidP="00547230">
      <w:pPr>
        <w:pStyle w:val="4"/>
        <w:rPr>
          <w:rFonts w:ascii="宋体" w:eastAsia="宋体" w:hAnsi="宋体" w:cs="宋体"/>
          <w:kern w:val="0"/>
          <w:sz w:val="24"/>
        </w:rPr>
      </w:pPr>
      <w:r w:rsidRPr="0065128C">
        <w:rPr>
          <w:rFonts w:ascii="宋体" w:eastAsia="宋体" w:hAnsi="宋体" w:cs="宋体"/>
          <w:b/>
          <w:bCs/>
          <w:kern w:val="0"/>
          <w:sz w:val="24"/>
        </w:rPr>
        <w:t>败血症和全身炎症综合征</w:t>
      </w:r>
      <w:r w:rsidRPr="0065128C">
        <w:rPr>
          <w:rFonts w:ascii="宋体" w:eastAsia="宋体" w:hAnsi="宋体" w:cs="宋体"/>
          <w:kern w:val="0"/>
          <w:sz w:val="24"/>
        </w:rPr>
        <w:t>模型</w:t>
      </w:r>
    </w:p>
    <w:p w14:paraId="07F27D56" w14:textId="77777777" w:rsidR="00547230" w:rsidRPr="0065128C" w:rsidRDefault="00547230" w:rsidP="00547230">
      <w:pPr>
        <w:spacing w:before="100" w:beforeAutospacing="1" w:after="100" w:afterAutospacing="1"/>
      </w:pPr>
      <w:r w:rsidRPr="0065128C">
        <w:t>常用高剂量</w:t>
      </w:r>
      <w:r w:rsidRPr="0065128C">
        <w:rPr>
          <w:b/>
          <w:bCs/>
        </w:rPr>
        <w:t>LPS注射</w:t>
      </w:r>
      <w:r w:rsidRPr="0065128C">
        <w:t>或</w:t>
      </w:r>
      <w:r w:rsidRPr="0065128C">
        <w:rPr>
          <w:b/>
          <w:bCs/>
        </w:rPr>
        <w:t>盲肠结扎穿孔(CLP)术。NLRP3在巨噬细胞中过度激活会引发炎症风暴和器官功能衰竭。针对炎症小体的干预在此类模型中可降低</w:t>
      </w:r>
      <w:r w:rsidRPr="0065128C">
        <w:rPr>
          <w:b/>
          <w:bCs/>
        </w:rPr>
        <w:lastRenderedPageBreak/>
        <w:t>病死率。例如使用β-羟基丁酸</w:t>
      </w:r>
      <w:r w:rsidRPr="0065128C">
        <w:t>等炎症小体抑制代谢物，或IL-1受体拮抗剂，都显著改善了CLP败血症小鼠的生存 。丹参酮I在LPS休克模型中也提高了小鼠存活率 。因此，抑制NLRP3被认为是控制危重症炎症反应的新策略。</w:t>
      </w:r>
    </w:p>
    <w:p w14:paraId="7CBEF7B2" w14:textId="77777777" w:rsidR="00547230" w:rsidRPr="0065128C" w:rsidRDefault="00547230" w:rsidP="00547230">
      <w:pPr>
        <w:spacing w:before="100" w:beforeAutospacing="1" w:after="100" w:afterAutospacing="1"/>
      </w:pPr>
    </w:p>
    <w:p w14:paraId="4531755A" w14:textId="77777777" w:rsidR="00547230" w:rsidRDefault="00547230" w:rsidP="00547230">
      <w:pPr>
        <w:pStyle w:val="4"/>
        <w:rPr>
          <w:rFonts w:ascii="宋体" w:eastAsia="宋体" w:hAnsi="宋体" w:cs="宋体"/>
          <w:kern w:val="0"/>
          <w:sz w:val="24"/>
        </w:rPr>
      </w:pPr>
      <w:r w:rsidRPr="0065128C">
        <w:rPr>
          <w:rFonts w:ascii="宋体" w:eastAsia="宋体" w:hAnsi="宋体" w:cs="宋体"/>
          <w:b/>
          <w:bCs/>
          <w:kern w:val="0"/>
          <w:sz w:val="24"/>
        </w:rPr>
        <w:t>皮肤炎症</w:t>
      </w:r>
      <w:r w:rsidRPr="0065128C">
        <w:rPr>
          <w:rFonts w:ascii="宋体" w:eastAsia="宋体" w:hAnsi="宋体" w:cs="宋体"/>
          <w:kern w:val="0"/>
          <w:sz w:val="24"/>
        </w:rPr>
        <w:t>例如</w:t>
      </w:r>
      <w:r w:rsidRPr="0065128C">
        <w:rPr>
          <w:rFonts w:ascii="宋体" w:eastAsia="宋体" w:hAnsi="宋体" w:cs="宋体"/>
          <w:b/>
          <w:bCs/>
          <w:kern w:val="0"/>
          <w:sz w:val="24"/>
        </w:rPr>
        <w:t>银屑病</w:t>
      </w:r>
      <w:r w:rsidRPr="0065128C">
        <w:rPr>
          <w:rFonts w:ascii="宋体" w:eastAsia="宋体" w:hAnsi="宋体" w:cs="宋体"/>
          <w:kern w:val="0"/>
          <w:sz w:val="24"/>
        </w:rPr>
        <w:t>、</w:t>
      </w:r>
      <w:r w:rsidRPr="0065128C">
        <w:rPr>
          <w:rFonts w:ascii="宋体" w:eastAsia="宋体" w:hAnsi="宋体" w:cs="宋体"/>
          <w:b/>
          <w:bCs/>
          <w:kern w:val="0"/>
          <w:sz w:val="24"/>
        </w:rPr>
        <w:t>特应性皮炎</w:t>
      </w:r>
      <w:r w:rsidRPr="0065128C">
        <w:rPr>
          <w:rFonts w:ascii="宋体" w:eastAsia="宋体" w:hAnsi="宋体" w:cs="宋体"/>
          <w:kern w:val="0"/>
          <w:sz w:val="24"/>
        </w:rPr>
        <w:t>等模型</w:t>
      </w:r>
    </w:p>
    <w:p w14:paraId="156FEA1F" w14:textId="77777777" w:rsidR="00547230" w:rsidRPr="0065128C" w:rsidRDefault="00547230" w:rsidP="00547230">
      <w:pPr>
        <w:spacing w:before="100" w:beforeAutospacing="1" w:after="100" w:afterAutospacing="1"/>
      </w:pPr>
      <w:r w:rsidRPr="0065128C">
        <w:t>也有NLRP3的参与报道，但文献相对较少，此处不展开。</w:t>
      </w:r>
    </w:p>
    <w:p w14:paraId="0175545F" w14:textId="77777777" w:rsidR="00547230" w:rsidRPr="0065128C" w:rsidRDefault="00547230" w:rsidP="00547230">
      <w:pPr>
        <w:spacing w:before="100" w:beforeAutospacing="1" w:after="100" w:afterAutospacing="1"/>
      </w:pPr>
    </w:p>
    <w:p w14:paraId="0D328154" w14:textId="77777777" w:rsidR="00547230" w:rsidRPr="0065128C" w:rsidRDefault="00547230" w:rsidP="00547230">
      <w:pPr>
        <w:spacing w:before="100" w:beforeAutospacing="1" w:after="100" w:afterAutospacing="1"/>
      </w:pPr>
      <w:r w:rsidRPr="0065128C">
        <w:t>综上，各系统的小鼠疾病模型提供了丰富的证据表明：</w:t>
      </w:r>
      <w:r w:rsidRPr="0065128C">
        <w:rPr>
          <w:b/>
          <w:bCs/>
        </w:rPr>
        <w:t>NLRP3炎症小体的过度激活在多种疾病的发病机制中扮演促炎放大的角色，而通过药物、天然产物、基因等途径适当抑制该通路往往可以缓解疾病表型</w:t>
      </w:r>
      <w:r w:rsidRPr="0065128C">
        <w:t>。这些研究为抗炎治疗提供了新的靶点和思路。在未来，将不同抑制策略应用于临床还有待更多实验和试验验证，但这些模型研究已奠定了坚实的理论基础 。</w:t>
      </w:r>
    </w:p>
    <w:p w14:paraId="65982B90" w14:textId="77777777" w:rsidR="00547230" w:rsidRDefault="00547230" w:rsidP="00547230"/>
    <w:p w14:paraId="0EF84659" w14:textId="77777777" w:rsidR="0065128C" w:rsidRPr="0065128C" w:rsidRDefault="0065128C" w:rsidP="0065128C">
      <w:pPr>
        <w:spacing w:before="100" w:beforeAutospacing="1" w:after="100" w:afterAutospacing="1"/>
        <w:outlineLvl w:val="1"/>
        <w:rPr>
          <w:b/>
          <w:bCs/>
          <w:sz w:val="36"/>
          <w:szCs w:val="36"/>
        </w:rPr>
      </w:pPr>
      <w:r w:rsidRPr="0065128C">
        <w:rPr>
          <w:b/>
          <w:bCs/>
          <w:sz w:val="36"/>
          <w:szCs w:val="36"/>
        </w:rPr>
        <w:t>消化系统相关疾病模型</w:t>
      </w:r>
    </w:p>
    <w:p w14:paraId="3F88B156" w14:textId="12CD42AE" w:rsidR="00FD214B" w:rsidRDefault="0065128C" w:rsidP="00FD214B">
      <w:pPr>
        <w:pStyle w:val="3"/>
        <w:rPr>
          <w:rFonts w:ascii="宋体" w:eastAsia="宋体" w:hAnsi="宋体" w:cs="宋体" w:hint="eastAsia"/>
          <w:b/>
          <w:bCs/>
          <w:kern w:val="0"/>
          <w:sz w:val="24"/>
        </w:rPr>
      </w:pPr>
      <w:r w:rsidRPr="0065128C">
        <w:rPr>
          <w:rFonts w:ascii="宋体" w:eastAsia="宋体" w:hAnsi="宋体" w:cs="宋体"/>
          <w:b/>
          <w:bCs/>
          <w:kern w:val="0"/>
          <w:sz w:val="24"/>
        </w:rPr>
        <w:t>文献数量</w:t>
      </w:r>
    </w:p>
    <w:p w14:paraId="1A237463" w14:textId="77FCFD27" w:rsidR="0065128C" w:rsidRPr="0065128C" w:rsidRDefault="0065128C" w:rsidP="0065128C">
      <w:pPr>
        <w:spacing w:before="100" w:beforeAutospacing="1" w:after="100" w:afterAutospacing="1"/>
      </w:pPr>
      <w:r w:rsidRPr="0065128C">
        <w:rPr>
          <w:b/>
          <w:bCs/>
        </w:rPr>
        <w:t>涉及消化系统</w:t>
      </w:r>
      <w:r w:rsidRPr="0065128C">
        <w:t>的小鼠疾病模型研究约</w:t>
      </w:r>
      <w:r w:rsidRPr="0065128C">
        <w:rPr>
          <w:b/>
          <w:bCs/>
        </w:rPr>
        <w:t>100篇</w:t>
      </w:r>
      <w:r w:rsidRPr="0065128C">
        <w:t>左右，涵盖从消化道炎症到肿瘤的多个疾病。典型的模型包括：</w:t>
      </w:r>
      <w:r w:rsidRPr="0065128C">
        <w:rPr>
          <w:b/>
          <w:bCs/>
        </w:rPr>
        <w:t>炎性肠病（IBD）模型（如溃疡性结肠炎、克罗恩病），肠道肿瘤模型（如结肠炎相关结直肠癌），胃部感染和溃疡模型（如幽门螺杆菌诱导胃炎），胰腺炎模型，以及部分肝脏疾病</w:t>
      </w:r>
      <w:r w:rsidRPr="0065128C">
        <w:t>模型（肝脏属于消化系统器官，但非代谢综合征背景的肝损伤亦在此列，如药物诱导肝炎等）。这些模型中NLRP3炎症小体介导的固有免疫反应往往驱动了炎症性病变的发生和发展。</w:t>
      </w:r>
    </w:p>
    <w:p w14:paraId="5D34C079" w14:textId="77777777" w:rsidR="0065128C" w:rsidRPr="0065128C" w:rsidRDefault="0065128C" w:rsidP="0065128C">
      <w:pPr>
        <w:spacing w:before="100" w:beforeAutospacing="1" w:after="100" w:afterAutospacing="1"/>
      </w:pPr>
    </w:p>
    <w:p w14:paraId="02AA2020" w14:textId="77777777" w:rsidR="00FD214B" w:rsidRDefault="0065128C" w:rsidP="00FD214B">
      <w:pPr>
        <w:pStyle w:val="3"/>
        <w:rPr>
          <w:rFonts w:ascii="宋体" w:eastAsia="宋体" w:hAnsi="宋体" w:cs="宋体"/>
          <w:b/>
          <w:bCs/>
          <w:kern w:val="0"/>
          <w:sz w:val="24"/>
        </w:rPr>
      </w:pPr>
      <w:r w:rsidRPr="0065128C">
        <w:rPr>
          <w:rFonts w:ascii="宋体" w:eastAsia="宋体" w:hAnsi="宋体" w:cs="宋体"/>
          <w:b/>
          <w:bCs/>
          <w:kern w:val="0"/>
          <w:sz w:val="24"/>
        </w:rPr>
        <w:t>NLRP3干预及表型评估</w:t>
      </w:r>
    </w:p>
    <w:p w14:paraId="43BD9A88" w14:textId="77777777" w:rsidR="00FD214B" w:rsidRDefault="0065128C" w:rsidP="0065128C">
      <w:pPr>
        <w:spacing w:before="100" w:beforeAutospacing="1" w:after="100" w:afterAutospacing="1"/>
        <w:rPr>
          <w:b/>
          <w:bCs/>
        </w:rPr>
      </w:pPr>
      <w:r w:rsidRPr="0065128C">
        <w:rPr>
          <w:b/>
          <w:bCs/>
        </w:rPr>
        <w:t>在消化道炎症和肿瘤模型中，NLRP3通路的作用日益受到关注。溃疡性结肠炎（UC）常用DSS（葡聚糖硫酸钠）饮水诱导小鼠急性结肠炎 。此模型中NLRP3介导的肠黏膜炎症和上皮屏障损伤与疾病活动度密切相关。通过抑制NLRP3可显著缓解结肠炎症状：</w:t>
      </w:r>
    </w:p>
    <w:p w14:paraId="0CAFDDE7" w14:textId="51E08E54" w:rsidR="00FD214B" w:rsidRPr="00FD214B" w:rsidRDefault="0065128C" w:rsidP="00320A74">
      <w:pPr>
        <w:pStyle w:val="4"/>
        <w:rPr>
          <w:rFonts w:ascii="宋体" w:eastAsia="宋体" w:hAnsi="宋体" w:cs="宋体"/>
          <w:b/>
          <w:bCs/>
          <w:kern w:val="0"/>
          <w:sz w:val="24"/>
        </w:rPr>
      </w:pPr>
      <w:r w:rsidRPr="00FD214B">
        <w:rPr>
          <w:rFonts w:ascii="宋体" w:eastAsia="宋体" w:hAnsi="宋体" w:cs="宋体"/>
          <w:b/>
          <w:bCs/>
          <w:kern w:val="0"/>
          <w:sz w:val="24"/>
        </w:rPr>
        <w:t>药物</w:t>
      </w:r>
    </w:p>
    <w:p w14:paraId="77C7E10B" w14:textId="452DE4D0" w:rsidR="00FD214B" w:rsidRPr="00FD214B" w:rsidRDefault="0065128C" w:rsidP="00FD214B">
      <w:pPr>
        <w:spacing w:before="100" w:beforeAutospacing="1" w:after="100" w:afterAutospacing="1"/>
      </w:pPr>
      <w:r w:rsidRPr="00FD214B">
        <w:rPr>
          <w:b/>
          <w:bCs/>
        </w:rPr>
        <w:t>已有报道利用NLRP3小分子抑制剂（如MCC950）治疗结肠炎模型，可减少促炎性细胞因子和组织损伤。另一种策略是间接抑制</w:t>
      </w:r>
      <w:r w:rsidRPr="00FD214B">
        <w:t>：例如</w:t>
      </w:r>
      <w:proofErr w:type="spellStart"/>
      <w:r w:rsidRPr="00FD214B">
        <w:rPr>
          <w:b/>
          <w:bCs/>
        </w:rPr>
        <w:t>Src</w:t>
      </w:r>
      <w:proofErr w:type="spellEnd"/>
      <w:r w:rsidRPr="00FD214B">
        <w:rPr>
          <w:b/>
          <w:bCs/>
        </w:rPr>
        <w:t>家族激酶抑制</w:t>
      </w:r>
      <w:r w:rsidRPr="00FD214B">
        <w:rPr>
          <w:b/>
          <w:bCs/>
        </w:rPr>
        <w:lastRenderedPageBreak/>
        <w:t>剂</w:t>
      </w:r>
      <w:r w:rsidRPr="00FD214B">
        <w:t>可通过激活</w:t>
      </w:r>
      <w:proofErr w:type="spellStart"/>
      <w:r w:rsidRPr="00FD214B">
        <w:t>Cbl</w:t>
      </w:r>
      <w:proofErr w:type="spellEnd"/>
      <w:r w:rsidRPr="00FD214B">
        <w:t>蛋白负调控NLRP3通路，保护小鼠免于DSS结肠炎过度炎症 。</w:t>
      </w:r>
    </w:p>
    <w:p w14:paraId="41EFFFB4" w14:textId="77777777" w:rsidR="00FD214B" w:rsidRDefault="0065128C" w:rsidP="00320A74">
      <w:pPr>
        <w:pStyle w:val="4"/>
        <w:rPr>
          <w:rFonts w:ascii="宋体" w:eastAsia="宋体" w:hAnsi="宋体" w:cs="宋体"/>
          <w:b/>
          <w:bCs/>
          <w:kern w:val="0"/>
          <w:sz w:val="24"/>
        </w:rPr>
      </w:pPr>
      <w:r w:rsidRPr="00FD214B">
        <w:rPr>
          <w:rFonts w:ascii="宋体" w:eastAsia="宋体" w:hAnsi="宋体" w:cs="宋体"/>
          <w:b/>
          <w:bCs/>
          <w:kern w:val="0"/>
          <w:sz w:val="24"/>
        </w:rPr>
        <w:t>天然产物</w:t>
      </w:r>
    </w:p>
    <w:p w14:paraId="17E68F67" w14:textId="2F31740F" w:rsidR="00FD214B" w:rsidRPr="00FD214B" w:rsidRDefault="0065128C" w:rsidP="00FD214B">
      <w:pPr>
        <w:spacing w:before="100" w:beforeAutospacing="1" w:after="100" w:afterAutospacing="1"/>
      </w:pPr>
      <w:r w:rsidRPr="00FD214B">
        <w:t>例如</w:t>
      </w:r>
      <w:r w:rsidRPr="00FD214B">
        <w:rPr>
          <w:b/>
          <w:bCs/>
        </w:rPr>
        <w:t>马齿苋（Portulaca oleracea）提取物和汁液在DSS诱导的UC模型中明显降低疾病活动指数(DAI)评分，减轻结肠黏膜炎症细胞浸润 。特别是马齿苋汁液还能抑制NLRP3炎症小体表达</w:t>
      </w:r>
      <w:r w:rsidRPr="00FD214B">
        <w:t>和</w:t>
      </w:r>
      <w:r w:rsidRPr="00FD214B">
        <w:rPr>
          <w:b/>
          <w:bCs/>
        </w:rPr>
        <w:t>炎症性细胞程序化死亡（焦亡）</w:t>
      </w:r>
      <w:r w:rsidRPr="00FD214B">
        <w:t>，并改善肠道屏障紧密连接蛋白表达 。又如</w:t>
      </w:r>
      <w:r w:rsidRPr="00FD214B">
        <w:rPr>
          <w:b/>
          <w:bCs/>
        </w:rPr>
        <w:t>大黄素</w:t>
      </w:r>
      <w:r w:rsidRPr="00FD214B">
        <w:t>、</w:t>
      </w:r>
      <w:r w:rsidRPr="00FD214B">
        <w:rPr>
          <w:b/>
          <w:bCs/>
        </w:rPr>
        <w:t>姜黄素</w:t>
      </w:r>
      <w:r w:rsidRPr="00FD214B">
        <w:t>等植物提取物在不同研究中被证明可减轻实验性结肠炎的炎症水平（机制包括抗氧化和直接抑制炎症小体等） 。</w:t>
      </w:r>
    </w:p>
    <w:p w14:paraId="3D7E8CDF" w14:textId="77777777" w:rsidR="00FD214B" w:rsidRDefault="0065128C" w:rsidP="00320A74">
      <w:pPr>
        <w:pStyle w:val="4"/>
        <w:rPr>
          <w:rFonts w:ascii="宋体" w:eastAsia="宋体" w:hAnsi="宋体" w:cs="宋体"/>
          <w:kern w:val="0"/>
          <w:sz w:val="24"/>
        </w:rPr>
      </w:pPr>
      <w:r w:rsidRPr="00FD214B">
        <w:rPr>
          <w:rFonts w:ascii="宋体" w:eastAsia="宋体" w:hAnsi="宋体" w:cs="宋体"/>
          <w:b/>
          <w:bCs/>
          <w:kern w:val="0"/>
          <w:sz w:val="24"/>
        </w:rPr>
        <w:t>基因敲除</w:t>
      </w:r>
      <w:r w:rsidRPr="00FD214B">
        <w:rPr>
          <w:rFonts w:ascii="宋体" w:eastAsia="宋体" w:hAnsi="宋体" w:cs="宋体"/>
          <w:kern w:val="0"/>
          <w:sz w:val="24"/>
        </w:rPr>
        <w:t>验证</w:t>
      </w:r>
    </w:p>
    <w:p w14:paraId="18436D7A" w14:textId="3AEF2C2A" w:rsidR="00FD214B" w:rsidRPr="00FD214B" w:rsidRDefault="0065128C" w:rsidP="00FD214B">
      <w:pPr>
        <w:spacing w:before="100" w:beforeAutospacing="1" w:after="100" w:afterAutospacing="1"/>
      </w:pPr>
      <w:r w:rsidRPr="00FD214B">
        <w:t>NLRP3</w:t>
      </w:r>
      <w:r w:rsidRPr="00FD214B">
        <w:rPr>
          <w:rFonts w:ascii="Cambria Math" w:hAnsi="Cambria Math" w:cs="Cambria Math"/>
        </w:rPr>
        <w:t>−</w:t>
      </w:r>
      <w:r w:rsidRPr="00FD214B">
        <w:t>/</w:t>
      </w:r>
      <w:r w:rsidRPr="00FD214B">
        <w:rPr>
          <w:rFonts w:ascii="Cambria Math" w:hAnsi="Cambria Math" w:cs="Cambria Math"/>
        </w:rPr>
        <w:t>−</w:t>
      </w:r>
      <w:r w:rsidRPr="00FD214B">
        <w:t>或关键组分缺失小鼠在结肠炎模型中一般表现为炎症和组织损伤减轻。例如NLRP3缺失小鼠对DSS处理的体重下降和结肠组织损伤明显缓解，这也提示了直接针对NLRP3的治疗潜力。</w:t>
      </w:r>
    </w:p>
    <w:p w14:paraId="7704BF86" w14:textId="77777777" w:rsidR="00FD214B" w:rsidRDefault="0065128C" w:rsidP="00320A74">
      <w:pPr>
        <w:pStyle w:val="4"/>
        <w:rPr>
          <w:rFonts w:ascii="宋体" w:eastAsia="宋体" w:hAnsi="宋体" w:cs="宋体"/>
          <w:b/>
          <w:bCs/>
          <w:kern w:val="0"/>
          <w:sz w:val="24"/>
        </w:rPr>
      </w:pPr>
      <w:r w:rsidRPr="00FD214B">
        <w:rPr>
          <w:rFonts w:ascii="宋体" w:eastAsia="宋体" w:hAnsi="宋体" w:cs="宋体"/>
          <w:b/>
          <w:bCs/>
          <w:kern w:val="0"/>
          <w:sz w:val="24"/>
        </w:rPr>
        <w:t>微生物干预</w:t>
      </w:r>
    </w:p>
    <w:p w14:paraId="35C4CB88" w14:textId="047E2958" w:rsidR="00FD214B" w:rsidRPr="00FD214B" w:rsidRDefault="0065128C" w:rsidP="00FD214B">
      <w:pPr>
        <w:spacing w:before="100" w:beforeAutospacing="1" w:after="100" w:afterAutospacing="1"/>
      </w:pPr>
      <w:r w:rsidRPr="00FD214B">
        <w:t>在肠道疾病中极具应用价值。已有研究使用</w:t>
      </w:r>
      <w:r w:rsidRPr="00FD214B">
        <w:rPr>
          <w:b/>
          <w:bCs/>
        </w:rPr>
        <w:t>益生菌</w:t>
      </w:r>
      <w:r w:rsidRPr="00FD214B">
        <w:t>预处理来调节肠道NLRP3通路，如用</w:t>
      </w:r>
      <w:r w:rsidRPr="00FD214B">
        <w:rPr>
          <w:b/>
          <w:bCs/>
        </w:rPr>
        <w:t>肠球菌E. faecalis</w:t>
      </w:r>
      <w:r w:rsidRPr="00FD214B">
        <w:t>（热灭活）预先灌胃，可显著降低DSS诱导结肠炎的严重程度，并减少后续结肠肿瘤的发生 ；该保护效应在NLRP3敲除小鼠中消失，证明益生菌通过</w:t>
      </w:r>
      <w:r w:rsidRPr="00FD214B">
        <w:rPr>
          <w:b/>
          <w:bCs/>
        </w:rPr>
        <w:t>抑制NLRP3介导的炎症</w:t>
      </w:r>
      <w:r w:rsidRPr="00FD214B">
        <w:t>发挥作用 。</w:t>
      </w:r>
    </w:p>
    <w:p w14:paraId="6B5DCD91" w14:textId="77777777" w:rsidR="00FD214B" w:rsidRDefault="0065128C" w:rsidP="00320A74">
      <w:pPr>
        <w:pStyle w:val="4"/>
        <w:rPr>
          <w:rFonts w:ascii="宋体" w:eastAsia="宋体" w:hAnsi="宋体" w:cs="宋体"/>
          <w:kern w:val="0"/>
          <w:sz w:val="24"/>
        </w:rPr>
      </w:pPr>
      <w:r w:rsidRPr="00FD214B">
        <w:rPr>
          <w:rFonts w:ascii="宋体" w:eastAsia="宋体" w:hAnsi="宋体" w:cs="宋体"/>
          <w:b/>
          <w:bCs/>
          <w:kern w:val="0"/>
          <w:sz w:val="24"/>
        </w:rPr>
        <w:t>其他机制</w:t>
      </w:r>
    </w:p>
    <w:p w14:paraId="4BC8B8E0" w14:textId="54E4DF77" w:rsidR="0065128C" w:rsidRPr="00FD214B" w:rsidRDefault="0065128C" w:rsidP="00FD214B">
      <w:pPr>
        <w:spacing w:before="100" w:beforeAutospacing="1" w:after="100" w:afterAutospacing="1"/>
      </w:pPr>
      <w:r w:rsidRPr="00FD214B">
        <w:t>抗氧化剂和ROS抑制在肠道炎症中也有效，例如过表达超氧化物歧化酶(SOD)的小鼠对结肠炎更耐受，因为ROS水平降低影响NLRP3激活。</w:t>
      </w:r>
    </w:p>
    <w:p w14:paraId="6E6937D3" w14:textId="5D71C024" w:rsidR="0065128C" w:rsidRPr="0065128C" w:rsidRDefault="00AB3526" w:rsidP="00AB3526">
      <w:pPr>
        <w:pStyle w:val="3"/>
        <w:rPr>
          <w:rFonts w:ascii="宋体" w:eastAsia="宋体" w:hAnsi="宋体" w:cs="宋体"/>
          <w:kern w:val="0"/>
          <w:sz w:val="24"/>
        </w:rPr>
      </w:pPr>
      <w:r>
        <w:rPr>
          <w:rFonts w:ascii="宋体" w:eastAsia="宋体" w:hAnsi="宋体" w:cs="宋体" w:hint="eastAsia"/>
          <w:kern w:val="0"/>
          <w:sz w:val="24"/>
        </w:rPr>
        <w:t>疾病模型</w:t>
      </w:r>
    </w:p>
    <w:p w14:paraId="6613B486" w14:textId="77777777" w:rsidR="00AB3526" w:rsidRDefault="0065128C" w:rsidP="00AB3526">
      <w:pPr>
        <w:pStyle w:val="4"/>
        <w:rPr>
          <w:rFonts w:ascii="宋体" w:eastAsia="宋体" w:hAnsi="宋体" w:cs="宋体"/>
          <w:b/>
          <w:bCs/>
          <w:kern w:val="0"/>
          <w:sz w:val="24"/>
        </w:rPr>
      </w:pPr>
      <w:r w:rsidRPr="0065128C">
        <w:rPr>
          <w:rFonts w:ascii="宋体" w:eastAsia="宋体" w:hAnsi="宋体" w:cs="宋体"/>
          <w:b/>
          <w:bCs/>
          <w:kern w:val="0"/>
          <w:sz w:val="24"/>
        </w:rPr>
        <w:t>结肠炎相关肿瘤（CAC）模型</w:t>
      </w:r>
    </w:p>
    <w:p w14:paraId="30870C85" w14:textId="77777777" w:rsidR="004C6835" w:rsidRDefault="0065128C" w:rsidP="00320A74">
      <w:r w:rsidRPr="0065128C">
        <w:rPr>
          <w:b/>
          <w:bCs/>
        </w:rPr>
        <w:t>通常采用AOM+DSS</w:t>
      </w:r>
      <w:r w:rsidRPr="0065128C">
        <w:t>（致癌物偶氮甲烷注射联合周期性DSS饮水）方法诱导，复制人类溃疡性结肠炎并发结直肠癌的发生过程。在CAC模型中也观察到NLRP3介导的炎症在肿瘤形成中起推波助澜作用。例如</w:t>
      </w:r>
      <w:proofErr w:type="spellStart"/>
      <w:r w:rsidRPr="0065128C">
        <w:t>RalGAP</w:t>
      </w:r>
      <w:proofErr w:type="spellEnd"/>
      <w:r w:rsidRPr="0065128C">
        <w:t>α2基因缺失小鼠在CAC模型中长出更多更大的肿瘤，并伴随</w:t>
      </w:r>
      <w:r w:rsidRPr="0065128C">
        <w:rPr>
          <w:b/>
          <w:bCs/>
        </w:rPr>
        <w:t>肿瘤组织中IL-1β、NLRP3、ASC、Caspase-1表达显著升高</w:t>
      </w:r>
      <w:r w:rsidRPr="0065128C">
        <w:t xml:space="preserve"> ；使用NLRP3抑制剂处理这些小鼠，可</w:t>
      </w:r>
      <w:r w:rsidRPr="0065128C">
        <w:rPr>
          <w:b/>
          <w:bCs/>
        </w:rPr>
        <w:t>减少侵润性肿瘤数量</w:t>
      </w:r>
      <w:r w:rsidRPr="0065128C">
        <w:t xml:space="preserve"> 。这表明通过阻断NLRP3炎症小体，可以抑制炎症驱动的肿瘤进展。</w:t>
      </w:r>
    </w:p>
    <w:p w14:paraId="68D88A51" w14:textId="563F246F" w:rsidR="004C6835" w:rsidRDefault="0065128C" w:rsidP="004C6835">
      <w:pPr>
        <w:pStyle w:val="4"/>
      </w:pPr>
      <w:r w:rsidRPr="0065128C">
        <w:rPr>
          <w:rFonts w:ascii="宋体" w:eastAsia="宋体" w:hAnsi="宋体" w:cs="宋体"/>
          <w:b/>
          <w:bCs/>
          <w:kern w:val="0"/>
          <w:sz w:val="24"/>
        </w:rPr>
        <w:t>胃炎/胃癌</w:t>
      </w:r>
      <w:r w:rsidRPr="0065128C">
        <w:rPr>
          <w:rFonts w:ascii="宋体" w:eastAsia="宋体" w:hAnsi="宋体" w:cs="宋体"/>
          <w:kern w:val="0"/>
          <w:sz w:val="24"/>
        </w:rPr>
        <w:t>模型</w:t>
      </w:r>
    </w:p>
    <w:p w14:paraId="558F7A4F" w14:textId="67ACBCEC" w:rsidR="0065128C" w:rsidRPr="0065128C" w:rsidRDefault="0065128C" w:rsidP="00320A74">
      <w:r w:rsidRPr="0065128C">
        <w:t>NLRP3同样参与疾病调控。例如</w:t>
      </w:r>
      <w:r w:rsidRPr="0065128C">
        <w:rPr>
          <w:b/>
          <w:bCs/>
        </w:rPr>
        <w:t>幽门螺杆菌</w:t>
      </w:r>
      <w:r w:rsidRPr="0065128C">
        <w:t>慢性感染小鼠模型显示，缺乏黏液素Muc1的小鼠因失去对NLRP3的负调控而发生致命性胃炎，伴胃黏膜IL-1β水平升高；而将NLRP3或Caspase-1同时敲除则可防止Muc1缺失所致的严重胃炎 。这提示胃黏膜屏障通过抑制炎症小体维持耐受，失衡则导致炎症失控。</w:t>
      </w:r>
    </w:p>
    <w:p w14:paraId="7C540EAC" w14:textId="77777777" w:rsidR="0065128C" w:rsidRPr="0065128C" w:rsidRDefault="0065128C" w:rsidP="00320A74"/>
    <w:p w14:paraId="03EB45BF" w14:textId="77777777" w:rsidR="00AB3526" w:rsidRDefault="0065128C" w:rsidP="00AB3526">
      <w:pPr>
        <w:pStyle w:val="4"/>
        <w:rPr>
          <w:rFonts w:ascii="宋体" w:eastAsia="宋体" w:hAnsi="宋体" w:cs="宋体"/>
          <w:b/>
          <w:bCs/>
          <w:kern w:val="0"/>
          <w:sz w:val="24"/>
        </w:rPr>
      </w:pPr>
      <w:r w:rsidRPr="0065128C">
        <w:rPr>
          <w:rFonts w:ascii="宋体" w:eastAsia="宋体" w:hAnsi="宋体" w:cs="宋体"/>
          <w:b/>
          <w:bCs/>
          <w:kern w:val="0"/>
          <w:sz w:val="24"/>
        </w:rPr>
        <w:lastRenderedPageBreak/>
        <w:t>胰腺炎</w:t>
      </w:r>
    </w:p>
    <w:p w14:paraId="3FC3E4DB" w14:textId="73DF7445" w:rsidR="0065128C" w:rsidRPr="0065128C" w:rsidRDefault="0065128C" w:rsidP="00320A74">
      <w:r w:rsidRPr="0065128C">
        <w:t>常用</w:t>
      </w:r>
      <w:r w:rsidRPr="0065128C">
        <w:rPr>
          <w:b/>
          <w:bCs/>
        </w:rPr>
        <w:t>高剂量胰岛素促泌素（如串珠霉素</w:t>
      </w:r>
      <w:proofErr w:type="spellStart"/>
      <w:r w:rsidRPr="0065128C">
        <w:rPr>
          <w:b/>
          <w:bCs/>
        </w:rPr>
        <w:t>Cerulein</w:t>
      </w:r>
      <w:proofErr w:type="spellEnd"/>
      <w:r w:rsidRPr="0065128C">
        <w:rPr>
          <w:b/>
          <w:bCs/>
        </w:rPr>
        <w:t>反复注射）+LPS</w:t>
      </w:r>
      <w:r w:rsidRPr="0065128C">
        <w:t>诱导小鼠重症胰腺炎(SAP)。研究表明NLRP3在胰腺炎全身炎症反应中起关键作用。例如SP-D（肺表面活性物质蛋白D）缺乏小鼠在SAP后出现更严重的胰腺坏死和急性肺损伤，伴随血清IL-1β、IL-6等大幅升高，而SP-D人源转基因小鼠炎症较轻 。SP-D通过</w:t>
      </w:r>
      <w:r w:rsidRPr="0065128C">
        <w:rPr>
          <w:b/>
          <w:bCs/>
        </w:rPr>
        <w:t>抑制巨噬细胞中NLRP3和NF-</w:t>
      </w:r>
      <w:proofErr w:type="spellStart"/>
      <w:r w:rsidRPr="0065128C">
        <w:rPr>
          <w:b/>
          <w:bCs/>
        </w:rPr>
        <w:t>κB</w:t>
      </w:r>
      <w:proofErr w:type="spellEnd"/>
      <w:r w:rsidRPr="0065128C">
        <w:rPr>
          <w:b/>
          <w:bCs/>
        </w:rPr>
        <w:t>的过度激活</w:t>
      </w:r>
      <w:r w:rsidRPr="0065128C">
        <w:t>来保护机体，提示增强内源性抑制可减轻胰腺炎的多器官损伤 。直接针对NLRP3的干预在SAP模型中也有效：有报道使用NLRP3抑制剂或IL-1受体拮抗剂可降低实验性胰腺炎的小鼠病死率和组织损伤。</w:t>
      </w:r>
    </w:p>
    <w:tbl>
      <w:tblPr>
        <w:tblW w:w="17040" w:type="dxa"/>
        <w:tblLook w:val="04A0" w:firstRow="1" w:lastRow="0" w:firstColumn="1" w:lastColumn="0" w:noHBand="0" w:noVBand="1"/>
      </w:tblPr>
      <w:tblGrid>
        <w:gridCol w:w="4260"/>
        <w:gridCol w:w="4260"/>
        <w:gridCol w:w="4260"/>
        <w:gridCol w:w="4260"/>
      </w:tblGrid>
      <w:tr w:rsidR="004C6835" w14:paraId="2BC0BBBF" w14:textId="77777777" w:rsidTr="004C6835">
        <w:trPr>
          <w:trHeight w:val="300"/>
        </w:trPr>
        <w:tc>
          <w:tcPr>
            <w:tcW w:w="4260" w:type="dxa"/>
            <w:tcBorders>
              <w:top w:val="single" w:sz="4" w:space="0" w:color="auto"/>
              <w:left w:val="single" w:sz="4" w:space="0" w:color="auto"/>
              <w:bottom w:val="single" w:sz="4" w:space="0" w:color="auto"/>
              <w:right w:val="single" w:sz="4" w:space="0" w:color="auto"/>
            </w:tcBorders>
            <w:shd w:val="clear" w:color="auto" w:fill="auto"/>
            <w:hideMark/>
          </w:tcPr>
          <w:p w14:paraId="78153C4F" w14:textId="77777777" w:rsidR="004C6835" w:rsidRDefault="004C6835">
            <w:pPr>
              <w:jc w:val="center"/>
              <w:rPr>
                <w:b/>
                <w:bCs/>
                <w:sz w:val="22"/>
                <w:szCs w:val="22"/>
              </w:rPr>
            </w:pPr>
            <w:r>
              <w:rPr>
                <w:rFonts w:hint="eastAsia"/>
                <w:b/>
                <w:bCs/>
                <w:sz w:val="22"/>
                <w:szCs w:val="22"/>
              </w:rPr>
              <w:t>疾病模型</w:t>
            </w:r>
          </w:p>
        </w:tc>
        <w:tc>
          <w:tcPr>
            <w:tcW w:w="4260" w:type="dxa"/>
            <w:tcBorders>
              <w:top w:val="single" w:sz="4" w:space="0" w:color="auto"/>
              <w:left w:val="nil"/>
              <w:bottom w:val="single" w:sz="4" w:space="0" w:color="auto"/>
              <w:right w:val="single" w:sz="4" w:space="0" w:color="auto"/>
            </w:tcBorders>
            <w:shd w:val="clear" w:color="auto" w:fill="auto"/>
            <w:hideMark/>
          </w:tcPr>
          <w:p w14:paraId="61B79111" w14:textId="77777777" w:rsidR="004C6835" w:rsidRDefault="004C6835">
            <w:pPr>
              <w:jc w:val="center"/>
              <w:rPr>
                <w:rFonts w:hint="eastAsia"/>
                <w:b/>
                <w:bCs/>
                <w:sz w:val="22"/>
                <w:szCs w:val="22"/>
              </w:rPr>
            </w:pPr>
            <w:r>
              <w:rPr>
                <w:rFonts w:hint="eastAsia"/>
                <w:b/>
                <w:bCs/>
                <w:sz w:val="22"/>
                <w:szCs w:val="22"/>
              </w:rPr>
              <w:t>诱导方法</w:t>
            </w:r>
          </w:p>
        </w:tc>
        <w:tc>
          <w:tcPr>
            <w:tcW w:w="4260" w:type="dxa"/>
            <w:tcBorders>
              <w:top w:val="single" w:sz="4" w:space="0" w:color="auto"/>
              <w:left w:val="nil"/>
              <w:bottom w:val="single" w:sz="4" w:space="0" w:color="auto"/>
              <w:right w:val="single" w:sz="4" w:space="0" w:color="auto"/>
            </w:tcBorders>
            <w:shd w:val="clear" w:color="auto" w:fill="auto"/>
            <w:hideMark/>
          </w:tcPr>
          <w:p w14:paraId="5A452871" w14:textId="77777777" w:rsidR="004C6835" w:rsidRDefault="004C6835">
            <w:pPr>
              <w:jc w:val="center"/>
              <w:rPr>
                <w:rFonts w:hint="eastAsia"/>
                <w:b/>
                <w:bCs/>
                <w:sz w:val="22"/>
                <w:szCs w:val="22"/>
              </w:rPr>
            </w:pPr>
            <w:r>
              <w:rPr>
                <w:rFonts w:hint="eastAsia"/>
                <w:b/>
                <w:bCs/>
                <w:sz w:val="22"/>
                <w:szCs w:val="22"/>
              </w:rPr>
              <w:t>NLRP3抑制干预</w:t>
            </w:r>
          </w:p>
        </w:tc>
        <w:tc>
          <w:tcPr>
            <w:tcW w:w="4260" w:type="dxa"/>
            <w:tcBorders>
              <w:top w:val="single" w:sz="4" w:space="0" w:color="auto"/>
              <w:left w:val="nil"/>
              <w:bottom w:val="single" w:sz="4" w:space="0" w:color="auto"/>
              <w:right w:val="single" w:sz="4" w:space="0" w:color="auto"/>
            </w:tcBorders>
            <w:shd w:val="clear" w:color="auto" w:fill="auto"/>
            <w:hideMark/>
          </w:tcPr>
          <w:p w14:paraId="2A2D6D24" w14:textId="77777777" w:rsidR="004C6835" w:rsidRDefault="004C6835">
            <w:pPr>
              <w:jc w:val="center"/>
              <w:rPr>
                <w:rFonts w:hint="eastAsia"/>
                <w:b/>
                <w:bCs/>
                <w:sz w:val="22"/>
                <w:szCs w:val="22"/>
              </w:rPr>
            </w:pPr>
            <w:r>
              <w:rPr>
                <w:rFonts w:hint="eastAsia"/>
                <w:b/>
                <w:bCs/>
                <w:sz w:val="22"/>
                <w:szCs w:val="22"/>
              </w:rPr>
              <w:t>表型指标</w:t>
            </w:r>
          </w:p>
        </w:tc>
      </w:tr>
      <w:tr w:rsidR="004C6835" w14:paraId="13FC28D2" w14:textId="77777777" w:rsidTr="004C6835">
        <w:trPr>
          <w:trHeight w:val="2700"/>
        </w:trPr>
        <w:tc>
          <w:tcPr>
            <w:tcW w:w="4260" w:type="dxa"/>
            <w:tcBorders>
              <w:top w:val="nil"/>
              <w:left w:val="nil"/>
              <w:bottom w:val="nil"/>
              <w:right w:val="nil"/>
            </w:tcBorders>
            <w:shd w:val="clear" w:color="auto" w:fill="auto"/>
            <w:hideMark/>
          </w:tcPr>
          <w:p w14:paraId="1BEF54AC" w14:textId="77777777" w:rsidR="004C6835" w:rsidRDefault="004C6835">
            <w:pPr>
              <w:rPr>
                <w:rFonts w:hint="eastAsia"/>
                <w:color w:val="000000"/>
                <w:sz w:val="22"/>
                <w:szCs w:val="22"/>
              </w:rPr>
            </w:pPr>
            <w:r>
              <w:rPr>
                <w:rFonts w:hint="eastAsia"/>
                <w:color w:val="000000"/>
                <w:sz w:val="22"/>
                <w:szCs w:val="22"/>
              </w:rPr>
              <w:t>溃疡性结肠炎(Ulcerative Colitis)</w:t>
            </w:r>
          </w:p>
        </w:tc>
        <w:tc>
          <w:tcPr>
            <w:tcW w:w="4260" w:type="dxa"/>
            <w:tcBorders>
              <w:top w:val="nil"/>
              <w:left w:val="nil"/>
              <w:bottom w:val="nil"/>
              <w:right w:val="nil"/>
            </w:tcBorders>
            <w:shd w:val="clear" w:color="auto" w:fill="auto"/>
            <w:hideMark/>
          </w:tcPr>
          <w:p w14:paraId="47900C7F" w14:textId="77777777" w:rsidR="004C6835" w:rsidRDefault="004C6835">
            <w:pPr>
              <w:rPr>
                <w:rFonts w:hint="eastAsia"/>
                <w:color w:val="000000"/>
                <w:sz w:val="22"/>
                <w:szCs w:val="22"/>
              </w:rPr>
            </w:pPr>
            <w:r>
              <w:rPr>
                <w:rFonts w:hint="eastAsia"/>
                <w:color w:val="000000"/>
                <w:sz w:val="22"/>
                <w:szCs w:val="22"/>
              </w:rPr>
              <w:t>DSS（葡聚糖硫酸钠）饮水诱导急性结肠炎；TNBS（2,4,6-三硝基苯磺酸）灌肠诱导（偏Crohn病模型）</w:t>
            </w:r>
          </w:p>
        </w:tc>
        <w:tc>
          <w:tcPr>
            <w:tcW w:w="4260" w:type="dxa"/>
            <w:tcBorders>
              <w:top w:val="nil"/>
              <w:left w:val="nil"/>
              <w:bottom w:val="nil"/>
              <w:right w:val="nil"/>
            </w:tcBorders>
            <w:shd w:val="clear" w:color="auto" w:fill="auto"/>
            <w:hideMark/>
          </w:tcPr>
          <w:p w14:paraId="7C3C3EF2" w14:textId="77777777" w:rsidR="004C6835" w:rsidRDefault="004C6835">
            <w:pPr>
              <w:rPr>
                <w:rFonts w:hint="eastAsia"/>
                <w:color w:val="000000"/>
                <w:sz w:val="22"/>
                <w:szCs w:val="22"/>
              </w:rPr>
            </w:pPr>
            <w:r>
              <w:rPr>
                <w:rFonts w:hint="eastAsia"/>
                <w:color w:val="000000"/>
                <w:sz w:val="22"/>
                <w:szCs w:val="22"/>
              </w:rPr>
              <w:t>药物：MCC950等NLRP3抑制剂减轻结肠炎损伤。天然产物：马齿苋提取物/汁显著降低炎症并抑制NLRP3/焦亡 ；黄连素、小檗碱等中草药成分抗肠炎。基因：Nlrp3</w:t>
            </w:r>
            <w:r>
              <w:rPr>
                <w:rFonts w:ascii="Cambria Math" w:hAnsi="Cambria Math" w:cs="Cambria Math"/>
                <w:color w:val="000000"/>
                <w:sz w:val="22"/>
                <w:szCs w:val="22"/>
              </w:rPr>
              <w:t>−</w:t>
            </w:r>
            <w:r>
              <w:rPr>
                <w:rFonts w:hint="eastAsia"/>
                <w:color w:val="000000"/>
                <w:sz w:val="22"/>
                <w:szCs w:val="22"/>
              </w:rPr>
              <w:t>/</w:t>
            </w:r>
            <w:r>
              <w:rPr>
                <w:rFonts w:ascii="Cambria Math" w:hAnsi="Cambria Math" w:cs="Cambria Math"/>
                <w:color w:val="000000"/>
                <w:sz w:val="22"/>
                <w:szCs w:val="22"/>
              </w:rPr>
              <w:t>−</w:t>
            </w:r>
            <w:r>
              <w:rPr>
                <w:rFonts w:hint="eastAsia"/>
                <w:color w:val="000000"/>
                <w:sz w:val="22"/>
                <w:szCs w:val="22"/>
              </w:rPr>
              <w:t>或Casp1</w:t>
            </w:r>
            <w:r>
              <w:rPr>
                <w:rFonts w:ascii="Cambria Math" w:hAnsi="Cambria Math" w:cs="Cambria Math"/>
                <w:color w:val="000000"/>
                <w:sz w:val="22"/>
                <w:szCs w:val="22"/>
              </w:rPr>
              <w:t>−</w:t>
            </w:r>
            <w:r>
              <w:rPr>
                <w:rFonts w:hint="eastAsia"/>
                <w:color w:val="000000"/>
                <w:sz w:val="22"/>
                <w:szCs w:val="22"/>
              </w:rPr>
              <w:t>/</w:t>
            </w:r>
            <w:r>
              <w:rPr>
                <w:rFonts w:ascii="Cambria Math" w:hAnsi="Cambria Math" w:cs="Cambria Math"/>
                <w:color w:val="000000"/>
                <w:sz w:val="22"/>
                <w:szCs w:val="22"/>
              </w:rPr>
              <w:t>−</w:t>
            </w:r>
            <w:r>
              <w:rPr>
                <w:rFonts w:hint="eastAsia"/>
                <w:color w:val="000000"/>
                <w:sz w:val="22"/>
                <w:szCs w:val="22"/>
              </w:rPr>
              <w:t>小鼠对DSS更耐受（炎症和体重丢失较轻）。微生物：益生菌（灭活肠球菌）预处理减少结肠炎并需NLRP3通路参与 。其他：抗氧化剂（如NAC）减低肠黏膜ROS</w:t>
            </w:r>
          </w:p>
        </w:tc>
        <w:tc>
          <w:tcPr>
            <w:tcW w:w="4260" w:type="dxa"/>
            <w:tcBorders>
              <w:top w:val="nil"/>
              <w:left w:val="nil"/>
              <w:bottom w:val="nil"/>
              <w:right w:val="nil"/>
            </w:tcBorders>
            <w:shd w:val="clear" w:color="auto" w:fill="auto"/>
            <w:hideMark/>
          </w:tcPr>
          <w:p w14:paraId="2E47CFD0" w14:textId="77777777" w:rsidR="004C6835" w:rsidRDefault="004C6835">
            <w:pPr>
              <w:rPr>
                <w:rFonts w:hint="eastAsia"/>
                <w:color w:val="000000"/>
                <w:sz w:val="22"/>
                <w:szCs w:val="22"/>
              </w:rPr>
            </w:pPr>
            <w:r>
              <w:rPr>
                <w:rFonts w:hint="eastAsia"/>
                <w:color w:val="000000"/>
                <w:sz w:val="22"/>
                <w:szCs w:val="22"/>
              </w:rPr>
              <w:t>疾病活动指数(体重下降%、便血、腹泻评分) ；结肠长度（炎症导致缩短）；结肠组织学炎症评分；血清/结肠组织中IL-1β、MPO活性等炎症指标</w:t>
            </w:r>
          </w:p>
        </w:tc>
      </w:tr>
      <w:tr w:rsidR="004C6835" w14:paraId="413373D2" w14:textId="77777777" w:rsidTr="004C6835">
        <w:trPr>
          <w:trHeight w:val="2700"/>
        </w:trPr>
        <w:tc>
          <w:tcPr>
            <w:tcW w:w="4260" w:type="dxa"/>
            <w:tcBorders>
              <w:top w:val="nil"/>
              <w:left w:val="nil"/>
              <w:bottom w:val="nil"/>
              <w:right w:val="nil"/>
            </w:tcBorders>
            <w:shd w:val="clear" w:color="auto" w:fill="auto"/>
            <w:hideMark/>
          </w:tcPr>
          <w:p w14:paraId="4BB6B3FD" w14:textId="77777777" w:rsidR="004C6835" w:rsidRDefault="004C6835">
            <w:pPr>
              <w:rPr>
                <w:rFonts w:hint="eastAsia"/>
                <w:color w:val="000000"/>
                <w:sz w:val="22"/>
                <w:szCs w:val="22"/>
              </w:rPr>
            </w:pPr>
            <w:r>
              <w:rPr>
                <w:rFonts w:hint="eastAsia"/>
                <w:color w:val="000000"/>
                <w:sz w:val="22"/>
                <w:szCs w:val="22"/>
              </w:rPr>
              <w:t>结肠炎相关结直肠癌 (CAC)</w:t>
            </w:r>
          </w:p>
        </w:tc>
        <w:tc>
          <w:tcPr>
            <w:tcW w:w="4260" w:type="dxa"/>
            <w:tcBorders>
              <w:top w:val="nil"/>
              <w:left w:val="nil"/>
              <w:bottom w:val="nil"/>
              <w:right w:val="nil"/>
            </w:tcBorders>
            <w:shd w:val="clear" w:color="auto" w:fill="auto"/>
            <w:hideMark/>
          </w:tcPr>
          <w:p w14:paraId="3B23D77D" w14:textId="77777777" w:rsidR="004C6835" w:rsidRDefault="004C6835">
            <w:pPr>
              <w:rPr>
                <w:rFonts w:hint="eastAsia"/>
                <w:color w:val="000000"/>
                <w:sz w:val="22"/>
                <w:szCs w:val="22"/>
              </w:rPr>
            </w:pPr>
            <w:r>
              <w:rPr>
                <w:rFonts w:hint="eastAsia"/>
                <w:color w:val="000000"/>
                <w:sz w:val="22"/>
                <w:szCs w:val="22"/>
              </w:rPr>
              <w:t>AOM（偶氮甲烷）腹腔注射+周期性DSS诱导结肠炎反复发作，数月后形成肿瘤</w:t>
            </w:r>
          </w:p>
        </w:tc>
        <w:tc>
          <w:tcPr>
            <w:tcW w:w="4260" w:type="dxa"/>
            <w:tcBorders>
              <w:top w:val="nil"/>
              <w:left w:val="nil"/>
              <w:bottom w:val="nil"/>
              <w:right w:val="nil"/>
            </w:tcBorders>
            <w:shd w:val="clear" w:color="auto" w:fill="auto"/>
            <w:hideMark/>
          </w:tcPr>
          <w:p w14:paraId="690EA36F" w14:textId="77777777" w:rsidR="004C6835" w:rsidRDefault="004C6835">
            <w:pPr>
              <w:rPr>
                <w:rFonts w:hint="eastAsia"/>
                <w:color w:val="000000"/>
                <w:sz w:val="22"/>
                <w:szCs w:val="22"/>
              </w:rPr>
            </w:pPr>
            <w:r>
              <w:rPr>
                <w:rFonts w:hint="eastAsia"/>
                <w:color w:val="000000"/>
                <w:sz w:val="22"/>
                <w:szCs w:val="22"/>
              </w:rPr>
              <w:t>药物：NLRP3抑制剂（如MCC950）减少肿瘤数量和大小 。天然产物：白藜芦醇、槲皮素等报道可减缓CAC肿瘤发生（作用机制包含抑制炎症小体）。基因：Nlrp3</w:t>
            </w:r>
            <w:r>
              <w:rPr>
                <w:rFonts w:ascii="Cambria Math" w:hAnsi="Cambria Math" w:cs="Cambria Math"/>
                <w:color w:val="000000"/>
                <w:sz w:val="22"/>
                <w:szCs w:val="22"/>
              </w:rPr>
              <w:t>−</w:t>
            </w:r>
            <w:r>
              <w:rPr>
                <w:rFonts w:hint="eastAsia"/>
                <w:color w:val="000000"/>
                <w:sz w:val="22"/>
                <w:szCs w:val="22"/>
              </w:rPr>
              <w:t>/</w:t>
            </w:r>
            <w:r>
              <w:rPr>
                <w:rFonts w:ascii="Cambria Math" w:hAnsi="Cambria Math" w:cs="Cambria Math"/>
                <w:color w:val="000000"/>
                <w:sz w:val="22"/>
                <w:szCs w:val="22"/>
              </w:rPr>
              <w:t>−</w:t>
            </w:r>
            <w:r>
              <w:rPr>
                <w:rFonts w:hint="eastAsia"/>
                <w:color w:val="000000"/>
                <w:sz w:val="22"/>
                <w:szCs w:val="22"/>
              </w:rPr>
              <w:t>小鼠在AOM/DSS方案中肿瘤负荷降低；相反，</w:t>
            </w:r>
            <w:proofErr w:type="spellStart"/>
            <w:r>
              <w:rPr>
                <w:rFonts w:hint="eastAsia"/>
                <w:color w:val="000000"/>
                <w:sz w:val="22"/>
                <w:szCs w:val="22"/>
              </w:rPr>
              <w:t>RalGAP</w:t>
            </w:r>
            <w:proofErr w:type="spellEnd"/>
            <w:r>
              <w:rPr>
                <w:rFonts w:hint="eastAsia"/>
                <w:color w:val="000000"/>
                <w:sz w:val="22"/>
                <w:szCs w:val="22"/>
              </w:rPr>
              <w:t>α2</w:t>
            </w:r>
            <w:r>
              <w:rPr>
                <w:rFonts w:ascii="Cambria Math" w:hAnsi="Cambria Math" w:cs="Cambria Math"/>
                <w:color w:val="000000"/>
                <w:sz w:val="22"/>
                <w:szCs w:val="22"/>
              </w:rPr>
              <w:t>−</w:t>
            </w:r>
            <w:r>
              <w:rPr>
                <w:rFonts w:hint="eastAsia"/>
                <w:color w:val="000000"/>
                <w:sz w:val="22"/>
                <w:szCs w:val="22"/>
              </w:rPr>
              <w:t>/</w:t>
            </w:r>
            <w:r>
              <w:rPr>
                <w:rFonts w:ascii="Cambria Math" w:hAnsi="Cambria Math" w:cs="Cambria Math"/>
                <w:color w:val="000000"/>
                <w:sz w:val="22"/>
                <w:szCs w:val="22"/>
              </w:rPr>
              <w:t>−</w:t>
            </w:r>
            <w:r>
              <w:rPr>
                <w:rFonts w:hint="eastAsia"/>
                <w:color w:val="000000"/>
                <w:sz w:val="22"/>
                <w:szCs w:val="22"/>
              </w:rPr>
              <w:t>小鼠肿瘤增多且NLRP3激活上升 。微生物：调节肠道菌群（如产丁酸菌增加）可下调NLRP3。其他：NSAIDs预防肿瘤与炎症抑制</w:t>
            </w:r>
          </w:p>
        </w:tc>
        <w:tc>
          <w:tcPr>
            <w:tcW w:w="4260" w:type="dxa"/>
            <w:tcBorders>
              <w:top w:val="nil"/>
              <w:left w:val="nil"/>
              <w:bottom w:val="nil"/>
              <w:right w:val="nil"/>
            </w:tcBorders>
            <w:shd w:val="clear" w:color="auto" w:fill="auto"/>
            <w:hideMark/>
          </w:tcPr>
          <w:p w14:paraId="71A0CF09" w14:textId="77777777" w:rsidR="004C6835" w:rsidRDefault="004C6835">
            <w:pPr>
              <w:rPr>
                <w:rFonts w:hint="eastAsia"/>
                <w:color w:val="000000"/>
                <w:sz w:val="22"/>
                <w:szCs w:val="22"/>
              </w:rPr>
            </w:pPr>
            <w:r>
              <w:rPr>
                <w:rFonts w:hint="eastAsia"/>
                <w:color w:val="000000"/>
                <w:sz w:val="22"/>
                <w:szCs w:val="22"/>
              </w:rPr>
              <w:t>肿瘤个数与体积（结肠镜检查或剖检计数）；肿瘤分级（侵润深度、分化程度） ；结肠炎症评分；肿瘤组织中IL-1β、Caspase-1活性等</w:t>
            </w:r>
          </w:p>
        </w:tc>
      </w:tr>
      <w:tr w:rsidR="004C6835" w14:paraId="3D0FE0CE" w14:textId="77777777" w:rsidTr="004C6835">
        <w:trPr>
          <w:trHeight w:val="2700"/>
        </w:trPr>
        <w:tc>
          <w:tcPr>
            <w:tcW w:w="4260" w:type="dxa"/>
            <w:tcBorders>
              <w:top w:val="nil"/>
              <w:left w:val="nil"/>
              <w:bottom w:val="nil"/>
              <w:right w:val="nil"/>
            </w:tcBorders>
            <w:shd w:val="clear" w:color="auto" w:fill="auto"/>
            <w:hideMark/>
          </w:tcPr>
          <w:p w14:paraId="6DEF1A2D" w14:textId="77777777" w:rsidR="004C6835" w:rsidRDefault="004C6835">
            <w:pPr>
              <w:rPr>
                <w:rFonts w:hint="eastAsia"/>
                <w:color w:val="000000"/>
                <w:sz w:val="22"/>
                <w:szCs w:val="22"/>
              </w:rPr>
            </w:pPr>
            <w:r>
              <w:rPr>
                <w:rFonts w:hint="eastAsia"/>
                <w:color w:val="000000"/>
                <w:sz w:val="22"/>
                <w:szCs w:val="22"/>
              </w:rPr>
              <w:t>幽门螺杆菌相关胃炎/溃疡</w:t>
            </w:r>
          </w:p>
        </w:tc>
        <w:tc>
          <w:tcPr>
            <w:tcW w:w="4260" w:type="dxa"/>
            <w:tcBorders>
              <w:top w:val="nil"/>
              <w:left w:val="nil"/>
              <w:bottom w:val="nil"/>
              <w:right w:val="nil"/>
            </w:tcBorders>
            <w:shd w:val="clear" w:color="auto" w:fill="auto"/>
            <w:hideMark/>
          </w:tcPr>
          <w:p w14:paraId="08CC16DA" w14:textId="77777777" w:rsidR="004C6835" w:rsidRDefault="004C6835">
            <w:pPr>
              <w:rPr>
                <w:rFonts w:hint="eastAsia"/>
                <w:color w:val="000000"/>
                <w:sz w:val="22"/>
                <w:szCs w:val="22"/>
              </w:rPr>
            </w:pPr>
            <w:r>
              <w:rPr>
                <w:rFonts w:hint="eastAsia"/>
                <w:color w:val="000000"/>
                <w:sz w:val="22"/>
                <w:szCs w:val="22"/>
              </w:rPr>
              <w:t>霍乱毒素预处理后灌胃H. pylori活菌，感染数月形成慢性活动性胃炎，部分发生胃黏膜不典型增生</w:t>
            </w:r>
          </w:p>
        </w:tc>
        <w:tc>
          <w:tcPr>
            <w:tcW w:w="4260" w:type="dxa"/>
            <w:tcBorders>
              <w:top w:val="nil"/>
              <w:left w:val="nil"/>
              <w:bottom w:val="nil"/>
              <w:right w:val="nil"/>
            </w:tcBorders>
            <w:shd w:val="clear" w:color="auto" w:fill="auto"/>
            <w:hideMark/>
          </w:tcPr>
          <w:p w14:paraId="18956F42" w14:textId="77777777" w:rsidR="004C6835" w:rsidRDefault="004C6835">
            <w:pPr>
              <w:rPr>
                <w:rFonts w:hint="eastAsia"/>
                <w:color w:val="000000"/>
                <w:sz w:val="22"/>
                <w:szCs w:val="22"/>
              </w:rPr>
            </w:pPr>
            <w:r>
              <w:rPr>
                <w:rFonts w:hint="eastAsia"/>
                <w:color w:val="000000"/>
                <w:sz w:val="22"/>
                <w:szCs w:val="22"/>
              </w:rPr>
              <w:t>药物：质子泵抑制剂及抗生素清除细菌为主，直接NLRP3干预少见报道。天然产物：一些提取物（如绿茶多酚）可减轻H. pylori胃炎的炎症级别（推测与NLRP3抑制相关）。基因：Muc1黏液素缺失导致NLRP3失控引发致死性胃炎，Nlrp3或Casp1敲除可避免严重胃损伤 。微生物：益生菌（三联活菌制剂等）辅助根除感染并减轻炎症。其他：抗氧化剂、IL-1Ra等</w:t>
            </w:r>
          </w:p>
        </w:tc>
        <w:tc>
          <w:tcPr>
            <w:tcW w:w="4260" w:type="dxa"/>
            <w:tcBorders>
              <w:top w:val="nil"/>
              <w:left w:val="nil"/>
              <w:bottom w:val="nil"/>
              <w:right w:val="nil"/>
            </w:tcBorders>
            <w:shd w:val="clear" w:color="auto" w:fill="auto"/>
            <w:hideMark/>
          </w:tcPr>
          <w:p w14:paraId="37D9E416" w14:textId="77777777" w:rsidR="004C6835" w:rsidRDefault="004C6835">
            <w:pPr>
              <w:rPr>
                <w:rFonts w:hint="eastAsia"/>
                <w:color w:val="000000"/>
                <w:sz w:val="22"/>
                <w:szCs w:val="22"/>
              </w:rPr>
            </w:pPr>
            <w:r>
              <w:rPr>
                <w:rFonts w:hint="eastAsia"/>
                <w:color w:val="000000"/>
                <w:sz w:val="22"/>
                <w:szCs w:val="22"/>
              </w:rPr>
              <w:t>胃黏膜炎症评分（活动性、中性粒和单核浸润）；溃疡愈合率；幽门螺杆菌定植负荷；胃组织中IL-1β水平 ；前癌病变发生情况</w:t>
            </w:r>
          </w:p>
        </w:tc>
      </w:tr>
      <w:tr w:rsidR="004C6835" w14:paraId="0EF96073" w14:textId="77777777" w:rsidTr="004C6835">
        <w:trPr>
          <w:trHeight w:val="3900"/>
        </w:trPr>
        <w:tc>
          <w:tcPr>
            <w:tcW w:w="4260" w:type="dxa"/>
            <w:tcBorders>
              <w:top w:val="nil"/>
              <w:left w:val="nil"/>
              <w:bottom w:val="nil"/>
              <w:right w:val="nil"/>
            </w:tcBorders>
            <w:shd w:val="clear" w:color="auto" w:fill="auto"/>
            <w:hideMark/>
          </w:tcPr>
          <w:p w14:paraId="25301D3F" w14:textId="77777777" w:rsidR="004C6835" w:rsidRDefault="004C6835">
            <w:pPr>
              <w:rPr>
                <w:rFonts w:hint="eastAsia"/>
                <w:color w:val="000000"/>
                <w:sz w:val="22"/>
                <w:szCs w:val="22"/>
              </w:rPr>
            </w:pPr>
            <w:r>
              <w:rPr>
                <w:rFonts w:hint="eastAsia"/>
                <w:color w:val="000000"/>
                <w:sz w:val="22"/>
                <w:szCs w:val="22"/>
              </w:rPr>
              <w:t>急性胰腺炎及并发症</w:t>
            </w:r>
          </w:p>
        </w:tc>
        <w:tc>
          <w:tcPr>
            <w:tcW w:w="4260" w:type="dxa"/>
            <w:tcBorders>
              <w:top w:val="nil"/>
              <w:left w:val="nil"/>
              <w:bottom w:val="nil"/>
              <w:right w:val="nil"/>
            </w:tcBorders>
            <w:shd w:val="clear" w:color="auto" w:fill="auto"/>
            <w:hideMark/>
          </w:tcPr>
          <w:p w14:paraId="41DECEA1" w14:textId="77777777" w:rsidR="004C6835" w:rsidRDefault="004C6835">
            <w:pPr>
              <w:rPr>
                <w:rFonts w:hint="eastAsia"/>
                <w:color w:val="000000"/>
                <w:sz w:val="22"/>
                <w:szCs w:val="22"/>
              </w:rPr>
            </w:pPr>
            <w:r>
              <w:rPr>
                <w:rFonts w:hint="eastAsia"/>
                <w:color w:val="000000"/>
                <w:sz w:val="22"/>
                <w:szCs w:val="22"/>
              </w:rPr>
              <w:t>串珠霉素(</w:t>
            </w:r>
            <w:proofErr w:type="spellStart"/>
            <w:r>
              <w:rPr>
                <w:rFonts w:hint="eastAsia"/>
                <w:color w:val="000000"/>
                <w:sz w:val="22"/>
                <w:szCs w:val="22"/>
              </w:rPr>
              <w:t>Cerulein</w:t>
            </w:r>
            <w:proofErr w:type="spellEnd"/>
            <w:r>
              <w:rPr>
                <w:rFonts w:hint="eastAsia"/>
                <w:color w:val="000000"/>
                <w:sz w:val="22"/>
                <w:szCs w:val="22"/>
              </w:rPr>
              <w:t>)反复腹腔注射诱导急性胰腺炎（轻中度）；</w:t>
            </w:r>
            <w:proofErr w:type="spellStart"/>
            <w:r>
              <w:rPr>
                <w:rFonts w:hint="eastAsia"/>
                <w:color w:val="000000"/>
                <w:sz w:val="22"/>
                <w:szCs w:val="22"/>
              </w:rPr>
              <w:t>Cerulein+LPS</w:t>
            </w:r>
            <w:proofErr w:type="spellEnd"/>
            <w:r>
              <w:rPr>
                <w:rFonts w:hint="eastAsia"/>
                <w:color w:val="000000"/>
                <w:sz w:val="22"/>
                <w:szCs w:val="22"/>
              </w:rPr>
              <w:t>诱导重症胰腺炎及全身炎症反应综合征</w:t>
            </w:r>
          </w:p>
        </w:tc>
        <w:tc>
          <w:tcPr>
            <w:tcW w:w="4260" w:type="dxa"/>
            <w:tcBorders>
              <w:top w:val="nil"/>
              <w:left w:val="nil"/>
              <w:bottom w:val="nil"/>
              <w:right w:val="nil"/>
            </w:tcBorders>
            <w:shd w:val="clear" w:color="auto" w:fill="auto"/>
            <w:hideMark/>
          </w:tcPr>
          <w:p w14:paraId="1BA9E10A" w14:textId="77777777" w:rsidR="004C6835" w:rsidRDefault="004C6835">
            <w:pPr>
              <w:rPr>
                <w:rFonts w:hint="eastAsia"/>
                <w:color w:val="000000"/>
                <w:sz w:val="22"/>
                <w:szCs w:val="22"/>
              </w:rPr>
            </w:pPr>
            <w:r>
              <w:rPr>
                <w:rFonts w:hint="eastAsia"/>
                <w:color w:val="000000"/>
                <w:sz w:val="22"/>
                <w:szCs w:val="22"/>
              </w:rPr>
              <w:t>药物：IL-1受体拮抗剂Anakinra在重症胰腺炎模型中降低多器官衰竭发生；小分子如DIM（吲哚-3-甲醇衍生物）抑制炎症小体减少炎症。天然产物：姜黄素、白藜芦醇等报道可减轻胰腺炎症水肿（作用包括抑制NLRP3和氧化应激）。基因：Nlrp3或</w:t>
            </w:r>
            <w:proofErr w:type="spellStart"/>
            <w:r>
              <w:rPr>
                <w:rFonts w:hint="eastAsia"/>
                <w:color w:val="000000"/>
                <w:sz w:val="22"/>
                <w:szCs w:val="22"/>
              </w:rPr>
              <w:t>Asc</w:t>
            </w:r>
            <w:proofErr w:type="spellEnd"/>
            <w:r>
              <w:rPr>
                <w:rFonts w:hint="eastAsia"/>
                <w:color w:val="000000"/>
                <w:sz w:val="22"/>
                <w:szCs w:val="22"/>
              </w:rPr>
              <w:t>缺失小鼠胰腺炎症反应减弱，器官损伤评分较低。特别地，SP-D缺陷使炎症加剧而SP-D过表达保护小鼠免受严重肺损伤，机制是影响巨噬细胞NLRP3/NF-κB通路 。微生物：肠道菌群移位与胰腺感染有关，但直接靶向NLRP3的菌群干预尚少。其他：输注α1-抗胰蛋白酶等抗炎措施</w:t>
            </w:r>
          </w:p>
        </w:tc>
        <w:tc>
          <w:tcPr>
            <w:tcW w:w="4260" w:type="dxa"/>
            <w:tcBorders>
              <w:top w:val="nil"/>
              <w:left w:val="nil"/>
              <w:bottom w:val="nil"/>
              <w:right w:val="nil"/>
            </w:tcBorders>
            <w:shd w:val="clear" w:color="auto" w:fill="auto"/>
            <w:hideMark/>
          </w:tcPr>
          <w:p w14:paraId="5F2AFB59" w14:textId="77777777" w:rsidR="004C6835" w:rsidRDefault="004C6835">
            <w:pPr>
              <w:rPr>
                <w:rFonts w:hint="eastAsia"/>
                <w:color w:val="000000"/>
                <w:sz w:val="22"/>
                <w:szCs w:val="22"/>
              </w:rPr>
            </w:pPr>
            <w:r>
              <w:rPr>
                <w:rFonts w:hint="eastAsia"/>
                <w:color w:val="000000"/>
                <w:sz w:val="22"/>
                <w:szCs w:val="22"/>
              </w:rPr>
              <w:t>血清淀粉酶、脂肪酶活性（反映胰腺损伤）；胰腺组织病理学评分（水肿、出血、坏死程度）；肺湿/干比值和氧合指数（评估ARDS）；血清IL-1β、IL-6、TNF-α浓度；多器官功能衰竭评分</w:t>
            </w:r>
          </w:p>
        </w:tc>
      </w:tr>
    </w:tbl>
    <w:p w14:paraId="592F6F83" w14:textId="77777777" w:rsidR="0065128C" w:rsidRPr="0065128C" w:rsidRDefault="0065128C" w:rsidP="00320A74"/>
    <w:p w14:paraId="00A48F7B" w14:textId="77777777" w:rsidR="00AB3526" w:rsidRDefault="0065128C" w:rsidP="00AB3526">
      <w:pPr>
        <w:pStyle w:val="3"/>
        <w:rPr>
          <w:rFonts w:ascii="宋体" w:eastAsia="宋体" w:hAnsi="宋体" w:cs="宋体"/>
          <w:kern w:val="0"/>
          <w:sz w:val="24"/>
        </w:rPr>
      </w:pPr>
      <w:r w:rsidRPr="0065128C">
        <w:rPr>
          <w:rFonts w:ascii="宋体" w:eastAsia="宋体" w:hAnsi="宋体" w:cs="宋体"/>
          <w:kern w:val="0"/>
          <w:sz w:val="24"/>
        </w:rPr>
        <w:t>消化系统模型表型评价指标</w:t>
      </w:r>
    </w:p>
    <w:p w14:paraId="5CED01CA" w14:textId="77777777" w:rsidR="00AB3526" w:rsidRDefault="0065128C" w:rsidP="00320A74">
      <w:r w:rsidRPr="0065128C">
        <w:rPr>
          <w:b/>
          <w:bCs/>
        </w:rPr>
        <w:t>临床症状/评分</w:t>
      </w:r>
      <w:r w:rsidRPr="0065128C">
        <w:t>（如结肠炎的疾病活动指数DAI：体重、粪便性状、便血情况 ）</w:t>
      </w:r>
    </w:p>
    <w:p w14:paraId="646A921F" w14:textId="77777777" w:rsidR="00AB3526" w:rsidRDefault="0065128C" w:rsidP="00320A74">
      <w:r w:rsidRPr="0065128C">
        <w:rPr>
          <w:b/>
          <w:bCs/>
        </w:rPr>
        <w:t>组织学评分</w:t>
      </w:r>
      <w:r w:rsidRPr="0065128C">
        <w:t>（结肠组织炎症和溃疡评分；胰腺坏死和出血评分等）</w:t>
      </w:r>
    </w:p>
    <w:p w14:paraId="715BBCAB" w14:textId="77777777" w:rsidR="00AB3526" w:rsidRDefault="0065128C" w:rsidP="00320A74">
      <w:r w:rsidRPr="0065128C">
        <w:rPr>
          <w:b/>
          <w:bCs/>
        </w:rPr>
        <w:t>器官指数</w:t>
      </w:r>
      <w:r w:rsidRPr="0065128C">
        <w:t>（结肠长度、脾脏重量等）</w:t>
      </w:r>
    </w:p>
    <w:p w14:paraId="072BB7A2" w14:textId="77777777" w:rsidR="00AB3526" w:rsidRDefault="0065128C" w:rsidP="00320A74">
      <w:r w:rsidRPr="0065128C">
        <w:rPr>
          <w:b/>
          <w:bCs/>
        </w:rPr>
        <w:t>生化指标</w:t>
      </w:r>
      <w:r w:rsidRPr="0065128C">
        <w:t>（血清炎症细胞因子、胰酶活性、肝酶等）</w:t>
      </w:r>
    </w:p>
    <w:p w14:paraId="0BD5D926" w14:textId="3330673E" w:rsidR="0065128C" w:rsidRPr="0065128C" w:rsidRDefault="0065128C" w:rsidP="00320A74">
      <w:r w:rsidRPr="0065128C">
        <w:rPr>
          <w:b/>
          <w:bCs/>
        </w:rPr>
        <w:t>分子指标</w:t>
      </w:r>
      <w:r w:rsidRPr="0065128C">
        <w:t>（组织中NLRP3炎症小体及IL-1β等的表达水平）</w:t>
      </w:r>
    </w:p>
    <w:p w14:paraId="77D0C4B1" w14:textId="77777777" w:rsidR="0065128C" w:rsidRPr="0065128C" w:rsidRDefault="0065128C" w:rsidP="0065128C">
      <w:pPr>
        <w:spacing w:before="100" w:beforeAutospacing="1" w:after="100" w:afterAutospacing="1"/>
      </w:pPr>
    </w:p>
    <w:p w14:paraId="3769E7D8" w14:textId="77777777" w:rsidR="00547230" w:rsidRPr="0065128C" w:rsidRDefault="00547230" w:rsidP="00547230">
      <w:pPr>
        <w:spacing w:before="100" w:beforeAutospacing="1" w:after="100" w:afterAutospacing="1"/>
        <w:outlineLvl w:val="1"/>
        <w:rPr>
          <w:b/>
          <w:bCs/>
          <w:sz w:val="36"/>
          <w:szCs w:val="36"/>
        </w:rPr>
      </w:pPr>
      <w:r w:rsidRPr="0065128C">
        <w:rPr>
          <w:b/>
          <w:bCs/>
          <w:sz w:val="36"/>
          <w:szCs w:val="36"/>
        </w:rPr>
        <w:t>心血管系统相关疾病模型</w:t>
      </w:r>
    </w:p>
    <w:p w14:paraId="74F01152" w14:textId="77777777" w:rsidR="00547230" w:rsidRPr="0065128C" w:rsidRDefault="00547230" w:rsidP="00547230">
      <w:pPr>
        <w:spacing w:before="100" w:beforeAutospacing="1" w:after="100" w:afterAutospacing="1"/>
      </w:pPr>
    </w:p>
    <w:p w14:paraId="38D57E69" w14:textId="77777777" w:rsidR="00547230" w:rsidRDefault="00547230" w:rsidP="00547230">
      <w:pPr>
        <w:pStyle w:val="3"/>
        <w:rPr>
          <w:rFonts w:ascii="宋体" w:eastAsia="宋体" w:hAnsi="宋体" w:cs="宋体"/>
          <w:b/>
          <w:bCs/>
          <w:kern w:val="0"/>
          <w:sz w:val="24"/>
        </w:rPr>
      </w:pPr>
      <w:r w:rsidRPr="0065128C">
        <w:rPr>
          <w:rFonts w:ascii="宋体" w:eastAsia="宋体" w:hAnsi="宋体" w:cs="宋体"/>
          <w:b/>
          <w:bCs/>
          <w:kern w:val="0"/>
          <w:sz w:val="24"/>
        </w:rPr>
        <w:t>文献数量</w:t>
      </w:r>
    </w:p>
    <w:p w14:paraId="715F5324" w14:textId="77777777" w:rsidR="00547230" w:rsidRPr="0065128C" w:rsidRDefault="00547230" w:rsidP="00547230">
      <w:pPr>
        <w:spacing w:before="100" w:beforeAutospacing="1" w:after="100" w:afterAutospacing="1"/>
      </w:pPr>
      <w:r w:rsidRPr="0065128C">
        <w:rPr>
          <w:b/>
          <w:bCs/>
        </w:rPr>
        <w:t>关于心血管系统</w:t>
      </w:r>
      <w:r w:rsidRPr="0065128C">
        <w:t>的NLRP3相关研究约有</w:t>
      </w:r>
      <w:r w:rsidRPr="0065128C">
        <w:rPr>
          <w:b/>
          <w:bCs/>
        </w:rPr>
        <w:t>80~100篇</w:t>
      </w:r>
      <w:r w:rsidRPr="0065128C">
        <w:t>。心血管疾病模型中NLRP3炎症小体主要涉及</w:t>
      </w:r>
      <w:r w:rsidRPr="0065128C">
        <w:rPr>
          <w:b/>
          <w:bCs/>
        </w:rPr>
        <w:t>动脉粥样硬化</w:t>
      </w:r>
      <w:r w:rsidRPr="0065128C">
        <w:t>、</w:t>
      </w:r>
      <w:r w:rsidRPr="0065128C">
        <w:rPr>
          <w:b/>
          <w:bCs/>
        </w:rPr>
        <w:t>缺血再灌注损伤</w:t>
      </w:r>
      <w:r w:rsidRPr="0065128C">
        <w:t>、</w:t>
      </w:r>
      <w:r w:rsidRPr="0065128C">
        <w:rPr>
          <w:b/>
          <w:bCs/>
        </w:rPr>
        <w:t>心律失常</w:t>
      </w:r>
      <w:r w:rsidRPr="0065128C">
        <w:t>和</w:t>
      </w:r>
      <w:r w:rsidRPr="0065128C">
        <w:rPr>
          <w:b/>
          <w:bCs/>
        </w:rPr>
        <w:t>高血压心脏损伤</w:t>
      </w:r>
      <w:r w:rsidRPr="0065128C">
        <w:t>等。虽然心肌和血管细胞并非经典免疫细胞，但在应激和损伤状态下，心肌细胞、血管内皮和平滑肌细胞中也可激活炎症小体，引起无菌炎症，这在上述疾病中具有重要作用。</w:t>
      </w:r>
    </w:p>
    <w:p w14:paraId="7105737A" w14:textId="77777777" w:rsidR="00547230" w:rsidRPr="0065128C" w:rsidRDefault="00547230" w:rsidP="00547230">
      <w:pPr>
        <w:spacing w:before="100" w:beforeAutospacing="1" w:after="100" w:afterAutospacing="1"/>
      </w:pPr>
    </w:p>
    <w:p w14:paraId="792C02A2" w14:textId="77777777" w:rsidR="00547230" w:rsidRDefault="00547230" w:rsidP="00547230">
      <w:pPr>
        <w:pStyle w:val="3"/>
        <w:rPr>
          <w:rFonts w:ascii="宋体" w:eastAsia="宋体" w:hAnsi="宋体" w:cs="宋体"/>
          <w:b/>
          <w:bCs/>
          <w:kern w:val="0"/>
          <w:sz w:val="24"/>
        </w:rPr>
      </w:pPr>
      <w:r w:rsidRPr="0065128C">
        <w:rPr>
          <w:rFonts w:ascii="宋体" w:eastAsia="宋体" w:hAnsi="宋体" w:cs="宋体"/>
          <w:b/>
          <w:bCs/>
          <w:kern w:val="0"/>
          <w:sz w:val="24"/>
        </w:rPr>
        <w:t>NLRP3干预及表型评估</w:t>
      </w:r>
    </w:p>
    <w:p w14:paraId="286DEFAC" w14:textId="77777777" w:rsidR="00547230" w:rsidRDefault="00547230" w:rsidP="00547230">
      <w:pPr>
        <w:pStyle w:val="4"/>
        <w:rPr>
          <w:rFonts w:ascii="宋体" w:eastAsia="宋体" w:hAnsi="宋体" w:cs="宋体"/>
          <w:kern w:val="0"/>
          <w:sz w:val="24"/>
        </w:rPr>
      </w:pPr>
      <w:r w:rsidRPr="0065128C">
        <w:rPr>
          <w:rFonts w:ascii="宋体" w:eastAsia="宋体" w:hAnsi="宋体" w:cs="宋体"/>
          <w:b/>
          <w:bCs/>
          <w:kern w:val="0"/>
          <w:sz w:val="24"/>
        </w:rPr>
        <w:t>在动脉粥样硬化</w:t>
      </w:r>
      <w:r w:rsidRPr="0065128C">
        <w:rPr>
          <w:rFonts w:ascii="宋体" w:eastAsia="宋体" w:hAnsi="宋体" w:cs="宋体"/>
          <w:kern w:val="0"/>
          <w:sz w:val="24"/>
        </w:rPr>
        <w:t>模型</w:t>
      </w:r>
    </w:p>
    <w:p w14:paraId="1C9065D7" w14:textId="77777777" w:rsidR="00547230" w:rsidRDefault="00547230" w:rsidP="00547230">
      <w:pPr>
        <w:spacing w:before="100" w:beforeAutospacing="1" w:after="100" w:afterAutospacing="1"/>
      </w:pPr>
      <w:r w:rsidRPr="0065128C">
        <w:t>（常用</w:t>
      </w:r>
      <w:proofErr w:type="spellStart"/>
      <w:r w:rsidRPr="0065128C">
        <w:t>ApoE</w:t>
      </w:r>
      <w:proofErr w:type="spellEnd"/>
      <w:r w:rsidRPr="0065128C">
        <w:rPr>
          <w:rFonts w:ascii="Cambria Math" w:hAnsi="Cambria Math" w:cs="Cambria Math"/>
        </w:rPr>
        <w:t>−</w:t>
      </w:r>
      <w:r w:rsidRPr="0065128C">
        <w:t>/</w:t>
      </w:r>
      <w:r w:rsidRPr="0065128C">
        <w:rPr>
          <w:rFonts w:ascii="Cambria Math" w:hAnsi="Cambria Math" w:cs="Cambria Math"/>
        </w:rPr>
        <w:t>−</w:t>
      </w:r>
      <w:r w:rsidRPr="0065128C">
        <w:t>或</w:t>
      </w:r>
      <w:proofErr w:type="spellStart"/>
      <w:r w:rsidRPr="0065128C">
        <w:t>LDLr</w:t>
      </w:r>
      <w:proofErr w:type="spellEnd"/>
      <w:r w:rsidRPr="0065128C">
        <w:rPr>
          <w:rFonts w:ascii="Cambria Math" w:hAnsi="Cambria Math" w:cs="Cambria Math"/>
        </w:rPr>
        <w:t>−</w:t>
      </w:r>
      <w:r w:rsidRPr="0065128C">
        <w:t>/</w:t>
      </w:r>
      <w:r w:rsidRPr="0065128C">
        <w:rPr>
          <w:rFonts w:ascii="Cambria Math" w:hAnsi="Cambria Math" w:cs="Cambria Math"/>
        </w:rPr>
        <w:t>−</w:t>
      </w:r>
      <w:r w:rsidRPr="0065128C">
        <w:t>高脂饲养小鼠），巨噬细胞中的NLRP3介导IL-1β释放，促使斑块形成和不稳定。《美国心脏病学会杂志》的一项研究表明，在雌性</w:t>
      </w:r>
      <w:proofErr w:type="spellStart"/>
      <w:r w:rsidRPr="0065128C">
        <w:t>LDLr</w:t>
      </w:r>
      <w:proofErr w:type="spellEnd"/>
      <w:r w:rsidRPr="0065128C">
        <w:rPr>
          <w:rFonts w:ascii="Cambria Math" w:hAnsi="Cambria Math" w:cs="Cambria Math"/>
        </w:rPr>
        <w:t>−</w:t>
      </w:r>
      <w:r w:rsidRPr="0065128C">
        <w:t>/</w:t>
      </w:r>
      <w:r w:rsidRPr="0065128C">
        <w:rPr>
          <w:rFonts w:ascii="Cambria Math" w:hAnsi="Cambria Math" w:cs="Cambria Math"/>
        </w:rPr>
        <w:t>−</w:t>
      </w:r>
      <w:r w:rsidRPr="0065128C">
        <w:t>小鼠中敲除NLRP3可显著减少主动脉窦的粥样斑块面积和脂质沉积，而在雄性中效果不明显 ；阉割处理改变了这一性别差异，提示性激素通过调控炎症小体影响动脉粥样硬化进程。这暗示抑制NLRP3可能对部分人群（如低雌激素状态）效果更好。临床上针对IL-1β的药物Canakinumab已在人群试验显示减少心血管事件，支持了炎症小体在动脉粥样硬化中的作用。</w:t>
      </w:r>
    </w:p>
    <w:p w14:paraId="6A9FA01A" w14:textId="77777777" w:rsidR="00547230" w:rsidRDefault="00547230" w:rsidP="00547230">
      <w:pPr>
        <w:pStyle w:val="4"/>
        <w:rPr>
          <w:rFonts w:ascii="宋体" w:eastAsia="宋体" w:hAnsi="宋体" w:cs="宋体"/>
          <w:kern w:val="0"/>
          <w:sz w:val="24"/>
        </w:rPr>
      </w:pPr>
      <w:r w:rsidRPr="0065128C">
        <w:rPr>
          <w:rFonts w:ascii="宋体" w:eastAsia="宋体" w:hAnsi="宋体" w:cs="宋体"/>
          <w:b/>
          <w:bCs/>
          <w:kern w:val="0"/>
          <w:sz w:val="24"/>
        </w:rPr>
        <w:lastRenderedPageBreak/>
        <w:t>心肌缺血/再灌注(I/R)损伤</w:t>
      </w:r>
      <w:r w:rsidRPr="0065128C">
        <w:rPr>
          <w:rFonts w:ascii="宋体" w:eastAsia="宋体" w:hAnsi="宋体" w:cs="宋体"/>
          <w:kern w:val="0"/>
          <w:sz w:val="24"/>
        </w:rPr>
        <w:t>模型</w:t>
      </w:r>
    </w:p>
    <w:p w14:paraId="08CDEBBA" w14:textId="77777777" w:rsidR="00547230" w:rsidRDefault="00547230" w:rsidP="00547230">
      <w:pPr>
        <w:spacing w:before="100" w:beforeAutospacing="1" w:after="100" w:afterAutospacing="1"/>
      </w:pPr>
      <w:r w:rsidRPr="0065128C">
        <w:t>（如左冠状动脉结扎再开放）中，缺血应激也会触发NLRP3激活，导致心肌细胞凋亡和炎症。通过NLRP3抑制可保护心肌，例如</w:t>
      </w:r>
      <w:r w:rsidRPr="0065128C">
        <w:rPr>
          <w:b/>
          <w:bCs/>
        </w:rPr>
        <w:t>他汀类</w:t>
      </w:r>
      <w:r w:rsidRPr="0065128C">
        <w:t>和</w:t>
      </w:r>
      <w:r w:rsidRPr="0065128C">
        <w:rPr>
          <w:b/>
          <w:bCs/>
        </w:rPr>
        <w:t>P2X7受体拮抗剂</w:t>
      </w:r>
      <w:r w:rsidRPr="0065128C">
        <w:t>都被报道可通过削弱NLRP3通路减少心肌梗死面积。</w:t>
      </w:r>
    </w:p>
    <w:p w14:paraId="5ED8EFB9" w14:textId="77777777" w:rsidR="00547230" w:rsidRDefault="00547230" w:rsidP="00547230">
      <w:pPr>
        <w:pStyle w:val="4"/>
        <w:rPr>
          <w:rFonts w:ascii="宋体" w:eastAsia="宋体" w:hAnsi="宋体" w:cs="宋体"/>
          <w:kern w:val="0"/>
          <w:sz w:val="24"/>
        </w:rPr>
      </w:pPr>
      <w:r w:rsidRPr="0065128C">
        <w:rPr>
          <w:rFonts w:ascii="宋体" w:eastAsia="宋体" w:hAnsi="宋体" w:cs="宋体"/>
          <w:b/>
          <w:bCs/>
          <w:kern w:val="0"/>
          <w:sz w:val="24"/>
        </w:rPr>
        <w:t>心律失常</w:t>
      </w:r>
    </w:p>
    <w:p w14:paraId="43716C0A" w14:textId="77777777" w:rsidR="00547230" w:rsidRDefault="00547230" w:rsidP="00547230">
      <w:pPr>
        <w:spacing w:before="100" w:beforeAutospacing="1" w:after="100" w:afterAutospacing="1"/>
      </w:pPr>
      <w:r w:rsidRPr="0065128C">
        <w:t>上文提到肥胖相关的心房颤动易感是NLRP3依赖的，此外心力衰竭相关的室性心律失常也与炎症小体介导的心肌重构有关。阻断IL-1β或直接抑制NLRP3，有望减少由心脏纤维化和离子通道重构引起的心律失常发生。</w:t>
      </w:r>
    </w:p>
    <w:p w14:paraId="714AA1AF" w14:textId="77777777" w:rsidR="00547230" w:rsidRDefault="00547230" w:rsidP="00547230">
      <w:pPr>
        <w:pStyle w:val="4"/>
        <w:rPr>
          <w:rFonts w:ascii="宋体" w:eastAsia="宋体" w:hAnsi="宋体" w:cs="宋体"/>
          <w:kern w:val="0"/>
          <w:sz w:val="24"/>
        </w:rPr>
      </w:pPr>
      <w:r w:rsidRPr="0065128C">
        <w:rPr>
          <w:rFonts w:ascii="宋体" w:eastAsia="宋体" w:hAnsi="宋体" w:cs="宋体"/>
          <w:b/>
          <w:bCs/>
          <w:kern w:val="0"/>
          <w:sz w:val="24"/>
        </w:rPr>
        <w:t>高血压</w:t>
      </w:r>
      <w:r w:rsidRPr="0065128C">
        <w:rPr>
          <w:rFonts w:ascii="宋体" w:eastAsia="宋体" w:hAnsi="宋体" w:cs="宋体"/>
          <w:kern w:val="0"/>
          <w:sz w:val="24"/>
        </w:rPr>
        <w:t>和</w:t>
      </w:r>
      <w:r w:rsidRPr="0065128C">
        <w:rPr>
          <w:rFonts w:ascii="宋体" w:eastAsia="宋体" w:hAnsi="宋体" w:cs="宋体"/>
          <w:b/>
          <w:bCs/>
          <w:kern w:val="0"/>
          <w:sz w:val="24"/>
        </w:rPr>
        <w:t>心室肥厚</w:t>
      </w:r>
      <w:r w:rsidRPr="0065128C">
        <w:rPr>
          <w:rFonts w:ascii="宋体" w:eastAsia="宋体" w:hAnsi="宋体" w:cs="宋体"/>
          <w:kern w:val="0"/>
          <w:sz w:val="24"/>
        </w:rPr>
        <w:t>模型</w:t>
      </w:r>
    </w:p>
    <w:p w14:paraId="57299F8C" w14:textId="77777777" w:rsidR="00547230" w:rsidRDefault="00547230" w:rsidP="00547230">
      <w:pPr>
        <w:spacing w:before="100" w:beforeAutospacing="1" w:after="100" w:afterAutospacing="1"/>
      </w:pPr>
      <w:r w:rsidRPr="0065128C">
        <w:t>（如Ang-II持续输注小鼠）中，心肌和血管的NLRP3激活导致心肌肥大和纤维化。NLRP3缺失小鼠在Ang-II诱导的高血压中心肌肥厚较轻，心功能保留较好；而给予NLRP3抑制剂MCC950也显示降低血压和心脏纤维化趋势。</w:t>
      </w:r>
    </w:p>
    <w:p w14:paraId="72DAAA21" w14:textId="77777777" w:rsidR="00547230" w:rsidRDefault="00547230" w:rsidP="00547230">
      <w:pPr>
        <w:pStyle w:val="4"/>
        <w:rPr>
          <w:rFonts w:ascii="宋体" w:eastAsia="宋体" w:hAnsi="宋体" w:cs="宋体"/>
          <w:b/>
          <w:bCs/>
          <w:kern w:val="0"/>
          <w:sz w:val="24"/>
        </w:rPr>
      </w:pPr>
      <w:r w:rsidRPr="0065128C">
        <w:rPr>
          <w:rFonts w:ascii="宋体" w:eastAsia="宋体" w:hAnsi="宋体" w:cs="宋体"/>
          <w:b/>
          <w:bCs/>
          <w:kern w:val="0"/>
          <w:sz w:val="24"/>
        </w:rPr>
        <w:t>心肾综合征</w:t>
      </w:r>
    </w:p>
    <w:p w14:paraId="49BD9FE2" w14:textId="77777777" w:rsidR="00547230" w:rsidRPr="0065128C" w:rsidRDefault="00547230" w:rsidP="00547230">
      <w:pPr>
        <w:spacing w:before="100" w:beforeAutospacing="1" w:after="100" w:afterAutospacing="1"/>
      </w:pPr>
      <w:r w:rsidRPr="0065128C">
        <w:t>复杂情况下，炎症小体也是共同驱动损伤的因素。</w:t>
      </w:r>
    </w:p>
    <w:p w14:paraId="0AAB9086" w14:textId="77777777" w:rsidR="00547230" w:rsidRPr="0065128C" w:rsidRDefault="00547230" w:rsidP="00547230">
      <w:pPr>
        <w:spacing w:before="100" w:beforeAutospacing="1" w:after="100" w:afterAutospacing="1"/>
      </w:pPr>
    </w:p>
    <w:p w14:paraId="72D41BF9" w14:textId="77777777" w:rsidR="00547230" w:rsidRDefault="00547230" w:rsidP="00547230">
      <w:pPr>
        <w:pStyle w:val="3"/>
        <w:rPr>
          <w:rFonts w:ascii="宋体" w:eastAsia="宋体" w:hAnsi="宋体" w:cs="宋体"/>
          <w:kern w:val="0"/>
          <w:sz w:val="24"/>
        </w:rPr>
      </w:pPr>
      <w:r w:rsidRPr="0065128C">
        <w:rPr>
          <w:rFonts w:ascii="宋体" w:eastAsia="宋体" w:hAnsi="宋体" w:cs="宋体"/>
          <w:kern w:val="0"/>
          <w:sz w:val="24"/>
        </w:rPr>
        <w:t>心血管模型评估主要使用</w:t>
      </w:r>
    </w:p>
    <w:p w14:paraId="4E42219B" w14:textId="77777777" w:rsidR="00547230" w:rsidRDefault="00547230" w:rsidP="00547230">
      <w:pPr>
        <w:spacing w:before="100" w:beforeAutospacing="1" w:after="100" w:afterAutospacing="1"/>
      </w:pPr>
      <w:r w:rsidRPr="0065128C">
        <w:rPr>
          <w:b/>
          <w:bCs/>
        </w:rPr>
        <w:t>影像学指标</w:t>
      </w:r>
      <w:r w:rsidRPr="0065128C">
        <w:t>（超声心动图测量射血分数EF、心室肥厚壁厚等）</w:t>
      </w:r>
    </w:p>
    <w:p w14:paraId="5A1024C7" w14:textId="77777777" w:rsidR="00547230" w:rsidRDefault="00547230" w:rsidP="00547230">
      <w:pPr>
        <w:spacing w:before="100" w:beforeAutospacing="1" w:after="100" w:afterAutospacing="1"/>
      </w:pPr>
      <w:r w:rsidRPr="0065128C">
        <w:rPr>
          <w:b/>
          <w:bCs/>
        </w:rPr>
        <w:t>心功能参数</w:t>
      </w:r>
      <w:r w:rsidRPr="0065128C">
        <w:t>（血流动力学检测心输出量、左室收缩压等）</w:t>
      </w:r>
    </w:p>
    <w:p w14:paraId="385FCE98" w14:textId="77777777" w:rsidR="00547230" w:rsidRDefault="00547230" w:rsidP="00547230">
      <w:pPr>
        <w:spacing w:before="100" w:beforeAutospacing="1" w:after="100" w:afterAutospacing="1"/>
      </w:pPr>
      <w:r w:rsidRPr="0065128C">
        <w:rPr>
          <w:b/>
          <w:bCs/>
        </w:rPr>
        <w:t>组织学</w:t>
      </w:r>
      <w:r w:rsidRPr="0065128C">
        <w:t>（心肌梗死面积 TTC染色；心肌胶原纤维Masson染色）</w:t>
      </w:r>
    </w:p>
    <w:p w14:paraId="4E857110" w14:textId="77777777" w:rsidR="00547230" w:rsidRDefault="00547230" w:rsidP="00547230">
      <w:pPr>
        <w:spacing w:before="100" w:beforeAutospacing="1" w:after="100" w:afterAutospacing="1"/>
      </w:pPr>
      <w:r w:rsidRPr="0065128C">
        <w:rPr>
          <w:b/>
          <w:bCs/>
        </w:rPr>
        <w:t>生化指标</w:t>
      </w:r>
      <w:r w:rsidRPr="0065128C">
        <w:t>（血清肌钙蛋白、B型利钠肽BNP水平等）</w:t>
      </w:r>
    </w:p>
    <w:p w14:paraId="704F5677" w14:textId="77777777" w:rsidR="00547230" w:rsidRDefault="00547230" w:rsidP="00547230">
      <w:pPr>
        <w:spacing w:before="100" w:beforeAutospacing="1" w:after="100" w:afterAutospacing="1"/>
      </w:pPr>
      <w:r w:rsidRPr="0065128C">
        <w:rPr>
          <w:b/>
          <w:bCs/>
        </w:rPr>
        <w:t>炎症指标</w:t>
      </w:r>
      <w:r w:rsidRPr="0065128C">
        <w:t>（心肌或斑块内IL-1β、NLRP3、巨噬细胞浸润程度）</w:t>
      </w:r>
    </w:p>
    <w:p w14:paraId="2EB50366" w14:textId="77777777" w:rsidR="00547230" w:rsidRPr="0065128C" w:rsidRDefault="00547230" w:rsidP="00547230">
      <w:pPr>
        <w:spacing w:before="100" w:beforeAutospacing="1" w:after="100" w:afterAutospacing="1"/>
      </w:pPr>
      <w:r w:rsidRPr="0065128C">
        <w:t>总的来说，在心血管疾病模型中抑制NLRP3炎症小体</w:t>
      </w:r>
      <w:r w:rsidRPr="0065128C">
        <w:rPr>
          <w:b/>
          <w:bCs/>
        </w:rPr>
        <w:t>有助于减少无菌炎症造成的组织破坏和功能障碍</w:t>
      </w:r>
      <w:r w:rsidRPr="0065128C">
        <w:t>，对于动脉硬化斑块稳定、心肌存活和纤维化抑制等均有益处。这为心血管疾病提供了一条免疫炎症调控的新思路。</w:t>
      </w:r>
    </w:p>
    <w:p w14:paraId="715036BE" w14:textId="77777777" w:rsidR="00547230" w:rsidRPr="0065128C" w:rsidRDefault="00547230" w:rsidP="00547230">
      <w:pPr>
        <w:spacing w:before="100" w:beforeAutospacing="1" w:after="100" w:afterAutospacing="1"/>
      </w:pPr>
    </w:p>
    <w:p w14:paraId="3748F618" w14:textId="77777777" w:rsidR="0065128C" w:rsidRPr="0065128C" w:rsidRDefault="0065128C" w:rsidP="0065128C">
      <w:pPr>
        <w:spacing w:before="100" w:beforeAutospacing="1" w:after="100" w:afterAutospacing="1"/>
        <w:outlineLvl w:val="1"/>
        <w:rPr>
          <w:b/>
          <w:bCs/>
          <w:sz w:val="36"/>
          <w:szCs w:val="36"/>
        </w:rPr>
      </w:pPr>
      <w:r w:rsidRPr="0065128C">
        <w:rPr>
          <w:b/>
          <w:bCs/>
          <w:sz w:val="36"/>
          <w:szCs w:val="36"/>
        </w:rPr>
        <w:t>呼吸系统相关疾病模型</w:t>
      </w:r>
    </w:p>
    <w:p w14:paraId="0515C985" w14:textId="77777777" w:rsidR="0065128C" w:rsidRPr="0065128C" w:rsidRDefault="0065128C" w:rsidP="0065128C">
      <w:pPr>
        <w:spacing w:before="100" w:beforeAutospacing="1" w:after="100" w:afterAutospacing="1"/>
      </w:pPr>
    </w:p>
    <w:p w14:paraId="01785C2A" w14:textId="77777777" w:rsidR="00AB3526" w:rsidRDefault="0065128C" w:rsidP="00AB3526">
      <w:pPr>
        <w:pStyle w:val="3"/>
        <w:rPr>
          <w:rFonts w:ascii="宋体" w:eastAsia="宋体" w:hAnsi="宋体" w:cs="宋体"/>
          <w:b/>
          <w:bCs/>
          <w:kern w:val="0"/>
          <w:sz w:val="24"/>
        </w:rPr>
      </w:pPr>
      <w:r w:rsidRPr="0065128C">
        <w:rPr>
          <w:rFonts w:ascii="宋体" w:eastAsia="宋体" w:hAnsi="宋体" w:cs="宋体"/>
          <w:b/>
          <w:bCs/>
          <w:kern w:val="0"/>
          <w:sz w:val="24"/>
        </w:rPr>
        <w:lastRenderedPageBreak/>
        <w:t>文献数量</w:t>
      </w:r>
    </w:p>
    <w:p w14:paraId="2FE09BC7" w14:textId="255D259A" w:rsidR="0065128C" w:rsidRPr="0065128C" w:rsidRDefault="0065128C" w:rsidP="0065128C">
      <w:pPr>
        <w:spacing w:before="100" w:beforeAutospacing="1" w:after="100" w:afterAutospacing="1"/>
      </w:pPr>
      <w:r w:rsidRPr="0065128C">
        <w:rPr>
          <w:b/>
          <w:bCs/>
        </w:rPr>
        <w:t>关于呼吸系统</w:t>
      </w:r>
      <w:r w:rsidRPr="0065128C">
        <w:t>炎症与损伤的小鼠模型研究大约有</w:t>
      </w:r>
      <w:r w:rsidRPr="0065128C">
        <w:rPr>
          <w:b/>
          <w:bCs/>
        </w:rPr>
        <w:t>60~70篇</w:t>
      </w:r>
      <w:r w:rsidRPr="0065128C">
        <w:t>。呼吸系统疾病模型包括</w:t>
      </w:r>
      <w:r w:rsidRPr="0065128C">
        <w:rPr>
          <w:b/>
          <w:bCs/>
        </w:rPr>
        <w:t>支气管哮喘</w:t>
      </w:r>
      <w:r w:rsidRPr="0065128C">
        <w:t>、</w:t>
      </w:r>
      <w:r w:rsidRPr="0065128C">
        <w:rPr>
          <w:b/>
          <w:bCs/>
        </w:rPr>
        <w:t>慢性阻塞性肺疾病（COPD）</w:t>
      </w:r>
      <w:r w:rsidRPr="0065128C">
        <w:t>、</w:t>
      </w:r>
      <w:r w:rsidRPr="0065128C">
        <w:rPr>
          <w:b/>
          <w:bCs/>
        </w:rPr>
        <w:t>急性肺损伤/急性呼吸窘迫综合征（ALI/ARDS）</w:t>
      </w:r>
      <w:r w:rsidRPr="0065128C">
        <w:t>、</w:t>
      </w:r>
      <w:r w:rsidRPr="0065128C">
        <w:rPr>
          <w:b/>
          <w:bCs/>
        </w:rPr>
        <w:t>肺纤维化</w:t>
      </w:r>
      <w:r w:rsidRPr="0065128C">
        <w:t>以及职业性肺病如</w:t>
      </w:r>
      <w:r w:rsidRPr="0065128C">
        <w:rPr>
          <w:b/>
          <w:bCs/>
        </w:rPr>
        <w:t>矽肺</w:t>
      </w:r>
      <w:r w:rsidRPr="0065128C">
        <w:t>等。这些疾病多与炎症反应和免疫失衡有关，而NLRP3炎症小体在肺部巨噬细胞、中性粒细胞等中的过度激活被认为是引起气道损伤、重塑和纤维化的重要机制。</w:t>
      </w:r>
    </w:p>
    <w:p w14:paraId="56C4FE6E" w14:textId="77777777" w:rsidR="0065128C" w:rsidRPr="0065128C" w:rsidRDefault="0065128C" w:rsidP="0065128C">
      <w:pPr>
        <w:spacing w:before="100" w:beforeAutospacing="1" w:after="100" w:afterAutospacing="1"/>
      </w:pPr>
    </w:p>
    <w:p w14:paraId="27412711" w14:textId="77777777" w:rsidR="00AB3526" w:rsidRDefault="0065128C" w:rsidP="00AB3526">
      <w:pPr>
        <w:pStyle w:val="3"/>
        <w:rPr>
          <w:rFonts w:ascii="宋体" w:eastAsia="宋体" w:hAnsi="宋体" w:cs="宋体"/>
          <w:b/>
          <w:bCs/>
          <w:kern w:val="0"/>
          <w:sz w:val="24"/>
        </w:rPr>
      </w:pPr>
      <w:r w:rsidRPr="0065128C">
        <w:rPr>
          <w:rFonts w:ascii="宋体" w:eastAsia="宋体" w:hAnsi="宋体" w:cs="宋体"/>
          <w:b/>
          <w:bCs/>
          <w:kern w:val="0"/>
          <w:sz w:val="24"/>
        </w:rPr>
        <w:t>NLRP3干预及表型评估</w:t>
      </w:r>
    </w:p>
    <w:p w14:paraId="0A34D34C" w14:textId="77777777" w:rsidR="00AB3526" w:rsidRDefault="0065128C" w:rsidP="0065128C">
      <w:pPr>
        <w:spacing w:before="100" w:beforeAutospacing="1" w:after="100" w:afterAutospacing="1"/>
      </w:pPr>
      <w:r w:rsidRPr="0065128C">
        <w:rPr>
          <w:b/>
          <w:bCs/>
        </w:rPr>
        <w:t>在哮喘</w:t>
      </w:r>
      <w:r w:rsidRPr="0065128C">
        <w:t>模型（典型为</w:t>
      </w:r>
      <w:r w:rsidRPr="0065128C">
        <w:rPr>
          <w:b/>
          <w:bCs/>
        </w:rPr>
        <w:t>OVA致敏和激发</w:t>
      </w:r>
      <w:r w:rsidRPr="0065128C">
        <w:t>的过敏性哮喘模型），NLRP3介导的IL-1β等在气道炎症中升高。通过抑制炎症小体可以减轻气道高反应和炎症渗出。例如：</w:t>
      </w:r>
    </w:p>
    <w:p w14:paraId="567CEAD9" w14:textId="77777777" w:rsidR="00AB3526" w:rsidRDefault="0065128C" w:rsidP="00AB3526">
      <w:pPr>
        <w:pStyle w:val="4"/>
        <w:rPr>
          <w:rFonts w:ascii="宋体" w:eastAsia="宋体" w:hAnsi="宋体" w:cs="宋体"/>
          <w:kern w:val="0"/>
          <w:sz w:val="24"/>
        </w:rPr>
      </w:pPr>
      <w:r w:rsidRPr="00AB3526">
        <w:rPr>
          <w:rFonts w:ascii="宋体" w:eastAsia="宋体" w:hAnsi="宋体" w:cs="宋体"/>
          <w:b/>
          <w:bCs/>
          <w:kern w:val="0"/>
          <w:sz w:val="24"/>
        </w:rPr>
        <w:t>药物</w:t>
      </w:r>
    </w:p>
    <w:p w14:paraId="75DA2AE7" w14:textId="1A6958B5" w:rsidR="00AB3526" w:rsidRPr="00AB3526" w:rsidRDefault="0065128C" w:rsidP="00AB3526">
      <w:pPr>
        <w:spacing w:before="100" w:beforeAutospacing="1" w:after="100" w:afterAutospacing="1"/>
      </w:pPr>
      <w:r w:rsidRPr="00AB3526">
        <w:t>有研究将</w:t>
      </w:r>
      <w:r w:rsidRPr="00AB3526">
        <w:rPr>
          <w:b/>
          <w:bCs/>
        </w:rPr>
        <w:t>FGF21（成纤维细胞生长因子21）作为干预手段，发现FGF21基因缺失小鼠OVA激发后哮喘表型加重，炎症小体激活增强，而补充FGF21可逆转这一现象 。说明提高FGF21水平（类似药物作用）能通过抑制NLRP3途径发挥抗哮喘作用。 另外，维生素D在类固醇抵抗的重症哮喘</w:t>
      </w:r>
      <w:r w:rsidRPr="00AB3526">
        <w:t>模型中显示出</w:t>
      </w:r>
      <w:r w:rsidRPr="00AB3526">
        <w:rPr>
          <w:b/>
          <w:bCs/>
        </w:rPr>
        <w:t>下调NLRP3</w:t>
      </w:r>
      <w:r w:rsidRPr="00AB3526">
        <w:t>、提高激素敏感性的效果 。</w:t>
      </w:r>
    </w:p>
    <w:p w14:paraId="3AD08152" w14:textId="77777777" w:rsidR="00AB3526" w:rsidRDefault="0065128C" w:rsidP="00AB3526">
      <w:pPr>
        <w:pStyle w:val="4"/>
        <w:rPr>
          <w:rFonts w:ascii="宋体" w:eastAsia="宋体" w:hAnsi="宋体" w:cs="宋体"/>
          <w:kern w:val="0"/>
          <w:sz w:val="24"/>
        </w:rPr>
      </w:pPr>
      <w:r w:rsidRPr="00AB3526">
        <w:rPr>
          <w:rFonts w:ascii="宋体" w:eastAsia="宋体" w:hAnsi="宋体" w:cs="宋体"/>
          <w:b/>
          <w:bCs/>
          <w:kern w:val="0"/>
          <w:sz w:val="24"/>
        </w:rPr>
        <w:t>天然产物和膳食补充</w:t>
      </w:r>
    </w:p>
    <w:p w14:paraId="7C2496BF" w14:textId="6FF23B0E" w:rsidR="00AB3526" w:rsidRPr="00AB3526" w:rsidRDefault="0065128C" w:rsidP="00AB3526">
      <w:pPr>
        <w:spacing w:before="100" w:beforeAutospacing="1" w:after="100" w:afterAutospacing="1"/>
      </w:pPr>
      <w:r w:rsidRPr="00AB3526">
        <w:t>如</w:t>
      </w:r>
      <w:r w:rsidRPr="00AB3526">
        <w:rPr>
          <w:b/>
          <w:bCs/>
        </w:rPr>
        <w:t>鱼皮胶原多肽</w:t>
      </w:r>
      <w:r w:rsidRPr="00AB3526">
        <w:t>给OVA哮喘小鼠灌胃可减轻气道炎症，减少肺中NLRP3、IL-1β等的生成 ；另一例</w:t>
      </w:r>
      <w:r w:rsidRPr="00AB3526">
        <w:rPr>
          <w:b/>
          <w:bCs/>
        </w:rPr>
        <w:t>姜黄素纳米粒</w:t>
      </w:r>
      <w:r w:rsidRPr="00AB3526">
        <w:t>吸入被报道可抑制哮喘气道的炎症小体活性，改善肺功能。</w:t>
      </w:r>
    </w:p>
    <w:p w14:paraId="00FE9231" w14:textId="77777777" w:rsidR="00AB3526" w:rsidRDefault="0065128C" w:rsidP="00AB3526">
      <w:pPr>
        <w:pStyle w:val="4"/>
        <w:rPr>
          <w:rFonts w:ascii="宋体" w:eastAsia="宋体" w:hAnsi="宋体" w:cs="宋体"/>
          <w:kern w:val="0"/>
          <w:sz w:val="24"/>
        </w:rPr>
      </w:pPr>
      <w:r w:rsidRPr="00AB3526">
        <w:rPr>
          <w:rFonts w:ascii="宋体" w:eastAsia="宋体" w:hAnsi="宋体" w:cs="宋体"/>
          <w:b/>
          <w:bCs/>
          <w:kern w:val="0"/>
          <w:sz w:val="24"/>
        </w:rPr>
        <w:t>基因</w:t>
      </w:r>
    </w:p>
    <w:p w14:paraId="0C11DE81" w14:textId="09CFB926" w:rsidR="00AB3526" w:rsidRPr="00AB3526" w:rsidRDefault="0065128C" w:rsidP="00AB3526">
      <w:pPr>
        <w:spacing w:before="100" w:beforeAutospacing="1" w:after="100" w:afterAutospacing="1"/>
      </w:pPr>
      <w:r w:rsidRPr="00AB3526">
        <w:t>Nlrp3</w:t>
      </w:r>
      <w:r w:rsidRPr="00AB3526">
        <w:rPr>
          <w:rFonts w:ascii="Cambria Math" w:hAnsi="Cambria Math" w:cs="Cambria Math"/>
        </w:rPr>
        <w:t>−</w:t>
      </w:r>
      <w:r w:rsidRPr="00AB3526">
        <w:t>/</w:t>
      </w:r>
      <w:r w:rsidRPr="00AB3526">
        <w:rPr>
          <w:rFonts w:ascii="Cambria Math" w:hAnsi="Cambria Math" w:cs="Cambria Math"/>
        </w:rPr>
        <w:t>−</w:t>
      </w:r>
      <w:r w:rsidRPr="00AB3526">
        <w:t>或Il1r</w:t>
      </w:r>
      <w:r w:rsidRPr="00AB3526">
        <w:rPr>
          <w:rFonts w:ascii="Cambria Math" w:hAnsi="Cambria Math" w:cs="Cambria Math"/>
        </w:rPr>
        <w:t>−</w:t>
      </w:r>
      <w:r w:rsidRPr="00AB3526">
        <w:t>/</w:t>
      </w:r>
      <w:r w:rsidRPr="00AB3526">
        <w:rPr>
          <w:rFonts w:ascii="Cambria Math" w:hAnsi="Cambria Math" w:cs="Cambria Math"/>
        </w:rPr>
        <w:t>−</w:t>
      </w:r>
      <w:r w:rsidRPr="00AB3526">
        <w:t>小鼠对OVA诱导的气道炎症反应减弱；而过表达一些负调控分子（如NLRX1）的小鼠哮喘表型也较轻，这些基因操作均通过影响炎症小体通路发挥作用。</w:t>
      </w:r>
    </w:p>
    <w:p w14:paraId="68D4B492" w14:textId="77777777" w:rsidR="00AB3526" w:rsidRDefault="0065128C" w:rsidP="00AB3526">
      <w:pPr>
        <w:pStyle w:val="4"/>
        <w:rPr>
          <w:rFonts w:ascii="宋体" w:eastAsia="宋体" w:hAnsi="宋体" w:cs="宋体"/>
          <w:kern w:val="0"/>
          <w:sz w:val="24"/>
        </w:rPr>
      </w:pPr>
      <w:r w:rsidRPr="00AB3526">
        <w:rPr>
          <w:rFonts w:ascii="宋体" w:eastAsia="宋体" w:hAnsi="宋体" w:cs="宋体"/>
          <w:b/>
          <w:bCs/>
          <w:kern w:val="0"/>
          <w:sz w:val="24"/>
        </w:rPr>
        <w:t>微生物</w:t>
      </w:r>
    </w:p>
    <w:p w14:paraId="067D92E4" w14:textId="13A62B38" w:rsidR="00AB3526" w:rsidRPr="00AB3526" w:rsidRDefault="0065128C" w:rsidP="00AB3526">
      <w:pPr>
        <w:spacing w:before="100" w:beforeAutospacing="1" w:after="100" w:afterAutospacing="1"/>
      </w:pPr>
      <w:r w:rsidRPr="00AB3526">
        <w:t>肠道菌群产代谢物丁酸可促进调节性T细胞，间接降低气道NLRP3激活，从而减轻哮喘（目前多为相关性研究）。</w:t>
      </w:r>
    </w:p>
    <w:p w14:paraId="354D779F" w14:textId="77777777" w:rsidR="00AB3526" w:rsidRDefault="0065128C" w:rsidP="00AB3526">
      <w:pPr>
        <w:pStyle w:val="4"/>
        <w:rPr>
          <w:rFonts w:ascii="宋体" w:eastAsia="宋体" w:hAnsi="宋体" w:cs="宋体"/>
          <w:kern w:val="0"/>
          <w:sz w:val="24"/>
        </w:rPr>
      </w:pPr>
      <w:r w:rsidRPr="00AB3526">
        <w:rPr>
          <w:rFonts w:ascii="宋体" w:eastAsia="宋体" w:hAnsi="宋体" w:cs="宋体"/>
          <w:b/>
          <w:bCs/>
          <w:kern w:val="0"/>
          <w:sz w:val="24"/>
        </w:rPr>
        <w:t>其他</w:t>
      </w:r>
    </w:p>
    <w:p w14:paraId="5E619355" w14:textId="443EB909" w:rsidR="0065128C" w:rsidRPr="00AB3526" w:rsidRDefault="0065128C" w:rsidP="00AB3526">
      <w:pPr>
        <w:spacing w:before="100" w:beforeAutospacing="1" w:after="100" w:afterAutospacing="1"/>
      </w:pPr>
      <w:r w:rsidRPr="00AB3526">
        <w:t>例如</w:t>
      </w:r>
      <w:r w:rsidRPr="00AB3526">
        <w:rPr>
          <w:b/>
          <w:bCs/>
        </w:rPr>
        <w:t>锻炼</w:t>
      </w:r>
      <w:r w:rsidRPr="00AB3526">
        <w:t>和</w:t>
      </w:r>
      <w:r w:rsidRPr="00AB3526">
        <w:rPr>
          <w:b/>
          <w:bCs/>
        </w:rPr>
        <w:t>减重</w:t>
      </w:r>
      <w:r w:rsidRPr="00AB3526">
        <w:t>在肥胖相关哮喘模型中能降低NLRP3介导的气道炎症。</w:t>
      </w:r>
    </w:p>
    <w:p w14:paraId="605E07C2" w14:textId="2FFF802C" w:rsidR="0065128C" w:rsidRPr="0065128C" w:rsidRDefault="00AB3526" w:rsidP="00AB3526">
      <w:pPr>
        <w:pStyle w:val="3"/>
        <w:rPr>
          <w:rFonts w:ascii="宋体" w:eastAsia="宋体" w:hAnsi="宋体" w:cs="宋体"/>
          <w:kern w:val="0"/>
          <w:sz w:val="24"/>
        </w:rPr>
      </w:pPr>
      <w:r>
        <w:rPr>
          <w:rFonts w:ascii="宋体" w:eastAsia="宋体" w:hAnsi="宋体" w:cs="宋体" w:hint="eastAsia"/>
          <w:kern w:val="0"/>
          <w:sz w:val="24"/>
        </w:rPr>
        <w:lastRenderedPageBreak/>
        <w:t>模型</w:t>
      </w:r>
    </w:p>
    <w:p w14:paraId="791F8220" w14:textId="77777777" w:rsidR="00AB3526" w:rsidRDefault="0065128C" w:rsidP="00AB3526">
      <w:pPr>
        <w:pStyle w:val="4"/>
        <w:rPr>
          <w:rFonts w:ascii="宋体" w:eastAsia="宋体" w:hAnsi="宋体" w:cs="宋体"/>
          <w:kern w:val="0"/>
          <w:sz w:val="24"/>
        </w:rPr>
      </w:pPr>
      <w:r w:rsidRPr="0065128C">
        <w:rPr>
          <w:rFonts w:ascii="宋体" w:eastAsia="宋体" w:hAnsi="宋体" w:cs="宋体"/>
          <w:b/>
          <w:bCs/>
          <w:kern w:val="0"/>
          <w:sz w:val="24"/>
        </w:rPr>
        <w:t>肺纤维化</w:t>
      </w:r>
      <w:r w:rsidRPr="0065128C">
        <w:rPr>
          <w:rFonts w:ascii="宋体" w:eastAsia="宋体" w:hAnsi="宋体" w:cs="宋体"/>
          <w:kern w:val="0"/>
          <w:sz w:val="24"/>
        </w:rPr>
        <w:t>模型</w:t>
      </w:r>
    </w:p>
    <w:p w14:paraId="125C7C30" w14:textId="3C9D49A8" w:rsidR="0065128C" w:rsidRPr="0065128C" w:rsidRDefault="0065128C" w:rsidP="0065128C">
      <w:pPr>
        <w:spacing w:before="100" w:beforeAutospacing="1" w:after="100" w:afterAutospacing="1"/>
      </w:pPr>
      <w:r w:rsidRPr="0065128C">
        <w:t>以</w:t>
      </w:r>
      <w:r w:rsidRPr="0065128C">
        <w:rPr>
          <w:b/>
          <w:bCs/>
        </w:rPr>
        <w:t>博莱霉素(BLM)静脉或气管给药</w:t>
      </w:r>
      <w:r w:rsidRPr="0065128C">
        <w:t>诱导的小鼠肺纤维化为代表，巨噬细胞NLRP3/IL-1β的激活驱动了成纤维细胞活化和胶原沉积。抑制炎症小体可抗纤维化：</w:t>
      </w:r>
      <w:r w:rsidRPr="0065128C">
        <w:rPr>
          <w:b/>
          <w:bCs/>
        </w:rPr>
        <w:t>栀子苷（</w:t>
      </w:r>
      <w:proofErr w:type="spellStart"/>
      <w:r w:rsidRPr="0065128C">
        <w:rPr>
          <w:b/>
          <w:bCs/>
        </w:rPr>
        <w:t>Geniposide</w:t>
      </w:r>
      <w:proofErr w:type="spellEnd"/>
      <w:r w:rsidRPr="0065128C">
        <w:rPr>
          <w:b/>
          <w:bCs/>
        </w:rPr>
        <w:t>）作为天然产物显著改善了BLM诱导的肺纤维化，其机制包括抑制肺泡巨噬细胞NLRP3并调节代谢紊乱 。另一个例子是SS-31</w:t>
      </w:r>
      <w:r w:rsidRPr="0065128C">
        <w:t>线粒体靶向抗氧化肽，给BLM模型小鼠腹腔注射后，明显减轻了肺部炎症和纤维化程度，并改善肺组织学结构 。</w:t>
      </w:r>
      <w:r w:rsidRPr="0065128C">
        <w:rPr>
          <w:b/>
          <w:bCs/>
        </w:rPr>
        <w:t>矽肺</w:t>
      </w:r>
      <w:r w:rsidRPr="0065128C">
        <w:t>（硅尘诱导肺纤维化）模型中，中国已批准的抗纤维化药物</w:t>
      </w:r>
      <w:r w:rsidRPr="0065128C">
        <w:rPr>
          <w:b/>
          <w:bCs/>
        </w:rPr>
        <w:t>香草碱（别名川柯酚，Tetrandrine）经研究发现其作用机制正是同时抑制NLRP3经典和非经典炎症小体通路</w:t>
      </w:r>
      <w:r w:rsidRPr="0065128C">
        <w:t>，从而减轻肺巨噬细胞释放致纤维化介质 。这进一步解释了其临床效果，并为开发更针对性的矽肺治疗提供了思路。</w:t>
      </w:r>
    </w:p>
    <w:p w14:paraId="011507B2" w14:textId="77777777" w:rsidR="0065128C" w:rsidRPr="0065128C" w:rsidRDefault="0065128C" w:rsidP="0065128C">
      <w:pPr>
        <w:spacing w:before="100" w:beforeAutospacing="1" w:after="100" w:afterAutospacing="1"/>
      </w:pPr>
    </w:p>
    <w:p w14:paraId="5884DE1F" w14:textId="77777777" w:rsidR="00AB3526" w:rsidRDefault="0065128C" w:rsidP="00AB3526">
      <w:pPr>
        <w:pStyle w:val="4"/>
        <w:rPr>
          <w:rFonts w:ascii="宋体" w:eastAsia="宋体" w:hAnsi="宋体" w:cs="宋体"/>
          <w:kern w:val="0"/>
          <w:sz w:val="24"/>
        </w:rPr>
      </w:pPr>
      <w:r w:rsidRPr="0065128C">
        <w:rPr>
          <w:rFonts w:ascii="宋体" w:eastAsia="宋体" w:hAnsi="宋体" w:cs="宋体"/>
          <w:b/>
          <w:bCs/>
          <w:kern w:val="0"/>
          <w:sz w:val="24"/>
        </w:rPr>
        <w:t>急性肺损伤(ALI)/ARDS</w:t>
      </w:r>
      <w:r w:rsidRPr="0065128C">
        <w:rPr>
          <w:rFonts w:ascii="宋体" w:eastAsia="宋体" w:hAnsi="宋体" w:cs="宋体"/>
          <w:kern w:val="0"/>
          <w:sz w:val="24"/>
        </w:rPr>
        <w:t>模型</w:t>
      </w:r>
    </w:p>
    <w:p w14:paraId="1ED4EB5E" w14:textId="07941F63" w:rsidR="0065128C" w:rsidRPr="0065128C" w:rsidRDefault="0065128C" w:rsidP="0065128C">
      <w:pPr>
        <w:spacing w:before="100" w:beforeAutospacing="1" w:after="100" w:afterAutospacing="1"/>
      </w:pPr>
      <w:r w:rsidRPr="0065128C">
        <w:t>由</w:t>
      </w:r>
      <w:r w:rsidRPr="0065128C">
        <w:rPr>
          <w:b/>
          <w:bCs/>
        </w:rPr>
        <w:t>LPS静脉注射</w:t>
      </w:r>
      <w:r w:rsidRPr="0065128C">
        <w:t>或</w:t>
      </w:r>
      <w:r w:rsidRPr="0065128C">
        <w:rPr>
          <w:b/>
          <w:bCs/>
        </w:rPr>
        <w:t>肺内给药</w:t>
      </w:r>
      <w:r w:rsidRPr="0065128C">
        <w:t>诱导，全身性炎症激活肺内NLRP3，导致危重的炎症反应。干预NLRP3可保护肺功能，例如应用IL-1受体拮抗剂、NLRP3抑制剂或双敲小鼠（如GSDMD</w:t>
      </w:r>
      <w:r w:rsidRPr="0065128C">
        <w:rPr>
          <w:rFonts w:ascii="Cambria Math" w:hAnsi="Cambria Math" w:cs="Cambria Math"/>
        </w:rPr>
        <w:t>−</w:t>
      </w:r>
      <w:r w:rsidRPr="0065128C">
        <w:t>/</w:t>
      </w:r>
      <w:r w:rsidRPr="0065128C">
        <w:rPr>
          <w:rFonts w:ascii="Cambria Math" w:hAnsi="Cambria Math" w:cs="Cambria Math"/>
        </w:rPr>
        <w:t>−</w:t>
      </w:r>
      <w:r w:rsidRPr="0065128C">
        <w:t>小鼠无法发生炎症小体介导的细胞焦亡）在ARDS模型中均显示肺水肿和炎症下降 。前述提到的GSNOR</w:t>
      </w:r>
      <w:r w:rsidRPr="0065128C">
        <w:rPr>
          <w:rFonts w:ascii="Cambria Math" w:hAnsi="Cambria Math" w:cs="Cambria Math"/>
        </w:rPr>
        <w:t>−</w:t>
      </w:r>
      <w:r w:rsidRPr="0065128C">
        <w:t>/</w:t>
      </w:r>
      <w:r w:rsidRPr="0065128C">
        <w:rPr>
          <w:rFonts w:ascii="Cambria Math" w:hAnsi="Cambria Math" w:cs="Cambria Math"/>
        </w:rPr>
        <w:t>−</w:t>
      </w:r>
      <w:r w:rsidRPr="0065128C">
        <w:t>小鼠研究也表明，敲除NLRP3可以缓解内毒素性休克时的炎症损伤 。</w:t>
      </w:r>
    </w:p>
    <w:p w14:paraId="6956355C" w14:textId="77777777" w:rsidR="0065128C" w:rsidRPr="0065128C" w:rsidRDefault="0065128C" w:rsidP="0065128C">
      <w:pPr>
        <w:spacing w:before="100" w:beforeAutospacing="1" w:after="100" w:afterAutospacing="1"/>
      </w:pPr>
    </w:p>
    <w:p w14:paraId="6FE99D06" w14:textId="77777777" w:rsidR="00547230" w:rsidRDefault="00547230" w:rsidP="00547230">
      <w:pPr>
        <w:pStyle w:val="3"/>
        <w:rPr>
          <w:rFonts w:ascii="宋体" w:eastAsia="宋体" w:hAnsi="宋体" w:cs="宋体" w:hint="eastAsia"/>
          <w:kern w:val="0"/>
          <w:sz w:val="24"/>
        </w:rPr>
      </w:pPr>
      <w:r w:rsidRPr="0065128C">
        <w:rPr>
          <w:rFonts w:ascii="宋体" w:eastAsia="宋体" w:hAnsi="宋体" w:cs="宋体"/>
          <w:kern w:val="0"/>
          <w:sz w:val="24"/>
        </w:rPr>
        <w:t>呼吸系统各模型评估指标</w:t>
      </w:r>
    </w:p>
    <w:p w14:paraId="7039DE98" w14:textId="77777777" w:rsidR="00547230" w:rsidRDefault="00547230" w:rsidP="00547230">
      <w:pPr>
        <w:spacing w:before="100" w:beforeAutospacing="1" w:after="100" w:afterAutospacing="1"/>
      </w:pPr>
      <w:r w:rsidRPr="0065128C">
        <w:rPr>
          <w:b/>
          <w:bCs/>
        </w:rPr>
        <w:t>肺功能</w:t>
      </w:r>
      <w:r w:rsidRPr="0065128C">
        <w:t>（支气管反应性实验、肺顺应性等）</w:t>
      </w:r>
    </w:p>
    <w:p w14:paraId="771D7150" w14:textId="77777777" w:rsidR="00547230" w:rsidRDefault="00547230" w:rsidP="00547230">
      <w:pPr>
        <w:spacing w:before="100" w:beforeAutospacing="1" w:after="100" w:afterAutospacing="1"/>
      </w:pPr>
      <w:r w:rsidRPr="0065128C">
        <w:rPr>
          <w:b/>
          <w:bCs/>
        </w:rPr>
        <w:t>气道炎症细胞计数</w:t>
      </w:r>
      <w:r w:rsidRPr="0065128C">
        <w:t>（BALF中的嗜酸性粒细胞、中性粒细胞数）</w:t>
      </w:r>
    </w:p>
    <w:p w14:paraId="3F911342" w14:textId="77777777" w:rsidR="00547230" w:rsidRDefault="00547230" w:rsidP="00547230">
      <w:pPr>
        <w:spacing w:before="100" w:beforeAutospacing="1" w:after="100" w:afterAutospacing="1"/>
      </w:pPr>
      <w:r w:rsidRPr="0065128C">
        <w:rPr>
          <w:b/>
          <w:bCs/>
        </w:rPr>
        <w:t>细胞因子</w:t>
      </w:r>
      <w:r w:rsidRPr="0065128C">
        <w:t>（IL-1β、IL-18、IL-5、IL-13等Th2或炎症因子水平）</w:t>
      </w:r>
    </w:p>
    <w:p w14:paraId="3B9C94EE" w14:textId="77777777" w:rsidR="00547230" w:rsidRDefault="00547230" w:rsidP="00547230">
      <w:pPr>
        <w:spacing w:before="100" w:beforeAutospacing="1" w:after="100" w:afterAutospacing="1"/>
      </w:pPr>
      <w:r w:rsidRPr="0065128C">
        <w:rPr>
          <w:b/>
          <w:bCs/>
        </w:rPr>
        <w:t>病理组织学</w:t>
      </w:r>
      <w:r w:rsidRPr="0065128C">
        <w:t>（气道黏膜杯状细胞增生、平滑肌肥厚评分；肺组织胶原纤维染色面积等）</w:t>
      </w:r>
    </w:p>
    <w:p w14:paraId="010A5305" w14:textId="77777777" w:rsidR="00547230" w:rsidRDefault="00547230" w:rsidP="00547230">
      <w:pPr>
        <w:spacing w:before="100" w:beforeAutospacing="1" w:after="100" w:afterAutospacing="1"/>
      </w:pPr>
      <w:r w:rsidRPr="0065128C">
        <w:rPr>
          <w:b/>
          <w:bCs/>
        </w:rPr>
        <w:t>生存率</w:t>
      </w:r>
      <w:r w:rsidRPr="0065128C">
        <w:t>（在ARDS等模型中）</w:t>
      </w:r>
    </w:p>
    <w:p w14:paraId="041F9128" w14:textId="77777777" w:rsidR="00547230" w:rsidRPr="0065128C" w:rsidRDefault="00547230" w:rsidP="00547230">
      <w:pPr>
        <w:spacing w:before="100" w:beforeAutospacing="1" w:after="100" w:afterAutospacing="1"/>
      </w:pPr>
      <w:r w:rsidRPr="0065128C">
        <w:t>总的来说，抑制NLRP3在多种肺部疾病模型中均显示</w:t>
      </w:r>
      <w:r w:rsidRPr="0065128C">
        <w:rPr>
          <w:b/>
          <w:bCs/>
        </w:rPr>
        <w:t>减轻炎症、改善病理</w:t>
      </w:r>
      <w:r w:rsidRPr="0065128C">
        <w:t>的作用，证明炎症小体是呼吸系统疾病治疗的潜在靶点。</w:t>
      </w:r>
    </w:p>
    <w:p w14:paraId="4A1050B2" w14:textId="77777777" w:rsidR="00547230" w:rsidRPr="0065128C" w:rsidRDefault="00547230" w:rsidP="00547230">
      <w:pPr>
        <w:spacing w:before="100" w:beforeAutospacing="1" w:after="100" w:afterAutospacing="1"/>
      </w:pPr>
    </w:p>
    <w:sectPr w:rsidR="00547230" w:rsidRPr="0065128C">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宝铭 龚" w:date="2025-06-24T16:47:00Z" w:initials="宝龚">
    <w:p w14:paraId="793D4715" w14:textId="77777777" w:rsidR="0065128C" w:rsidRDefault="0065128C" w:rsidP="0065128C">
      <w:r>
        <w:rPr>
          <w:rStyle w:val="ae"/>
        </w:rPr>
        <w:annotationRef/>
      </w:r>
      <w:r>
        <w:t>但是考虑到eph对神经发育的影响，不是很好解释</w:t>
      </w:r>
    </w:p>
    <w:p w14:paraId="34FBF111" w14:textId="77777777" w:rsidR="0065128C" w:rsidRDefault="0065128C" w:rsidP="0065128C"/>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BF1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3BC53A" w16cex:dateUtc="2025-06-24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BF111" w16cid:durableId="753BC5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D50AD"/>
    <w:multiLevelType w:val="hybridMultilevel"/>
    <w:tmpl w:val="9F983252"/>
    <w:lvl w:ilvl="0" w:tplc="174C088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82F4277"/>
    <w:multiLevelType w:val="hybridMultilevel"/>
    <w:tmpl w:val="27263F50"/>
    <w:lvl w:ilvl="0" w:tplc="5EF2E81C">
      <w:start w:val="1"/>
      <w:numFmt w:val="lowerLetter"/>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EC0413C"/>
    <w:multiLevelType w:val="hybridMultilevel"/>
    <w:tmpl w:val="7B20D7AE"/>
    <w:lvl w:ilvl="0" w:tplc="174C088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337789A"/>
    <w:multiLevelType w:val="hybridMultilevel"/>
    <w:tmpl w:val="F7A282D0"/>
    <w:lvl w:ilvl="0" w:tplc="174C088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64E000A"/>
    <w:multiLevelType w:val="hybridMultilevel"/>
    <w:tmpl w:val="61E6291E"/>
    <w:lvl w:ilvl="0" w:tplc="CD8C074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B15D0D"/>
    <w:multiLevelType w:val="hybridMultilevel"/>
    <w:tmpl w:val="2160BCE2"/>
    <w:lvl w:ilvl="0" w:tplc="5EF2E81C">
      <w:start w:val="1"/>
      <w:numFmt w:val="lowerLetter"/>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5A5339A"/>
    <w:multiLevelType w:val="hybridMultilevel"/>
    <w:tmpl w:val="96582B72"/>
    <w:lvl w:ilvl="0" w:tplc="CD8C074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09E2568"/>
    <w:multiLevelType w:val="hybridMultilevel"/>
    <w:tmpl w:val="6A0A71EE"/>
    <w:lvl w:ilvl="0" w:tplc="174C088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AA44001"/>
    <w:multiLevelType w:val="hybridMultilevel"/>
    <w:tmpl w:val="BC3E088A"/>
    <w:lvl w:ilvl="0" w:tplc="CD8C074E">
      <w:start w:val="1"/>
      <w:numFmt w:val="decimal"/>
      <w:lvlText w:val="（%1）"/>
      <w:lvlJc w:val="left"/>
      <w:pPr>
        <w:ind w:left="720" w:hanging="72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88026271">
    <w:abstractNumId w:val="2"/>
  </w:num>
  <w:num w:numId="2" w16cid:durableId="1625772524">
    <w:abstractNumId w:val="0"/>
  </w:num>
  <w:num w:numId="3" w16cid:durableId="1365667488">
    <w:abstractNumId w:val="7"/>
  </w:num>
  <w:num w:numId="4" w16cid:durableId="91557939">
    <w:abstractNumId w:val="3"/>
  </w:num>
  <w:num w:numId="5" w16cid:durableId="1225022450">
    <w:abstractNumId w:val="1"/>
  </w:num>
  <w:num w:numId="6" w16cid:durableId="1699426388">
    <w:abstractNumId w:val="5"/>
  </w:num>
  <w:num w:numId="7" w16cid:durableId="220332571">
    <w:abstractNumId w:val="6"/>
  </w:num>
  <w:num w:numId="8" w16cid:durableId="1136024800">
    <w:abstractNumId w:val="4"/>
  </w:num>
  <w:num w:numId="9" w16cid:durableId="121785575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宝铭 龚">
    <w15:presenceInfo w15:providerId="Windows Live" w15:userId="47025793d5803e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9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28C"/>
    <w:rsid w:val="000071D8"/>
    <w:rsid w:val="0000752D"/>
    <w:rsid w:val="0001364B"/>
    <w:rsid w:val="00017B73"/>
    <w:rsid w:val="00033862"/>
    <w:rsid w:val="000358D8"/>
    <w:rsid w:val="000401BC"/>
    <w:rsid w:val="000616B9"/>
    <w:rsid w:val="00073F52"/>
    <w:rsid w:val="000C6F00"/>
    <w:rsid w:val="000E09D1"/>
    <w:rsid w:val="000E3D5E"/>
    <w:rsid w:val="000E6975"/>
    <w:rsid w:val="000F0D86"/>
    <w:rsid w:val="000F6A60"/>
    <w:rsid w:val="00106F35"/>
    <w:rsid w:val="0014470F"/>
    <w:rsid w:val="0017462E"/>
    <w:rsid w:val="001938EF"/>
    <w:rsid w:val="001C4FB9"/>
    <w:rsid w:val="001C50A3"/>
    <w:rsid w:val="001E21A4"/>
    <w:rsid w:val="001F5BE1"/>
    <w:rsid w:val="00201566"/>
    <w:rsid w:val="002206C4"/>
    <w:rsid w:val="00231277"/>
    <w:rsid w:val="00236C37"/>
    <w:rsid w:val="00281785"/>
    <w:rsid w:val="002B5973"/>
    <w:rsid w:val="002C4673"/>
    <w:rsid w:val="002E0BDE"/>
    <w:rsid w:val="002F1FAC"/>
    <w:rsid w:val="002F4CF8"/>
    <w:rsid w:val="00302F84"/>
    <w:rsid w:val="00320A74"/>
    <w:rsid w:val="00324035"/>
    <w:rsid w:val="003241E8"/>
    <w:rsid w:val="00325304"/>
    <w:rsid w:val="00325DFB"/>
    <w:rsid w:val="003307AA"/>
    <w:rsid w:val="00342AC1"/>
    <w:rsid w:val="00370562"/>
    <w:rsid w:val="0037371C"/>
    <w:rsid w:val="0037554C"/>
    <w:rsid w:val="003873E6"/>
    <w:rsid w:val="003905A3"/>
    <w:rsid w:val="00394620"/>
    <w:rsid w:val="003E13B1"/>
    <w:rsid w:val="003F5D8A"/>
    <w:rsid w:val="00411630"/>
    <w:rsid w:val="00413688"/>
    <w:rsid w:val="004207DC"/>
    <w:rsid w:val="004334D0"/>
    <w:rsid w:val="00440E00"/>
    <w:rsid w:val="00441FD0"/>
    <w:rsid w:val="00463DF9"/>
    <w:rsid w:val="00476282"/>
    <w:rsid w:val="0048412F"/>
    <w:rsid w:val="00495308"/>
    <w:rsid w:val="004A7C10"/>
    <w:rsid w:val="004C413E"/>
    <w:rsid w:val="004C6835"/>
    <w:rsid w:val="004C7695"/>
    <w:rsid w:val="004D3EE6"/>
    <w:rsid w:val="004F12A5"/>
    <w:rsid w:val="004F5E5B"/>
    <w:rsid w:val="00500D84"/>
    <w:rsid w:val="00534A8B"/>
    <w:rsid w:val="00537323"/>
    <w:rsid w:val="00547230"/>
    <w:rsid w:val="0054786E"/>
    <w:rsid w:val="00562FB8"/>
    <w:rsid w:val="0056545A"/>
    <w:rsid w:val="005A1280"/>
    <w:rsid w:val="005B6311"/>
    <w:rsid w:val="005B7ED0"/>
    <w:rsid w:val="005C1E15"/>
    <w:rsid w:val="005C1F7A"/>
    <w:rsid w:val="005C37AB"/>
    <w:rsid w:val="005C61F7"/>
    <w:rsid w:val="005E6B92"/>
    <w:rsid w:val="005F6640"/>
    <w:rsid w:val="006027EF"/>
    <w:rsid w:val="00607D6D"/>
    <w:rsid w:val="00624D82"/>
    <w:rsid w:val="006257B1"/>
    <w:rsid w:val="006308B7"/>
    <w:rsid w:val="00642724"/>
    <w:rsid w:val="0065128C"/>
    <w:rsid w:val="00673294"/>
    <w:rsid w:val="0067402E"/>
    <w:rsid w:val="00686107"/>
    <w:rsid w:val="00686B85"/>
    <w:rsid w:val="006903AC"/>
    <w:rsid w:val="006A53B8"/>
    <w:rsid w:val="006A7A83"/>
    <w:rsid w:val="006B1CA1"/>
    <w:rsid w:val="006B3299"/>
    <w:rsid w:val="006D19F4"/>
    <w:rsid w:val="006E23E4"/>
    <w:rsid w:val="006E3445"/>
    <w:rsid w:val="006E7C45"/>
    <w:rsid w:val="007131DF"/>
    <w:rsid w:val="007168D3"/>
    <w:rsid w:val="00716B44"/>
    <w:rsid w:val="00733DE7"/>
    <w:rsid w:val="00764F2A"/>
    <w:rsid w:val="00783357"/>
    <w:rsid w:val="007B20F9"/>
    <w:rsid w:val="007C1735"/>
    <w:rsid w:val="007C58C1"/>
    <w:rsid w:val="007D19A9"/>
    <w:rsid w:val="007D383E"/>
    <w:rsid w:val="007E2601"/>
    <w:rsid w:val="007E4867"/>
    <w:rsid w:val="008018C6"/>
    <w:rsid w:val="00803D72"/>
    <w:rsid w:val="00807D79"/>
    <w:rsid w:val="008271AF"/>
    <w:rsid w:val="00827228"/>
    <w:rsid w:val="00835C03"/>
    <w:rsid w:val="008406E2"/>
    <w:rsid w:val="008420D5"/>
    <w:rsid w:val="0085320B"/>
    <w:rsid w:val="00853F55"/>
    <w:rsid w:val="00857419"/>
    <w:rsid w:val="008815CF"/>
    <w:rsid w:val="00890C7D"/>
    <w:rsid w:val="008937FD"/>
    <w:rsid w:val="008A191A"/>
    <w:rsid w:val="008A6346"/>
    <w:rsid w:val="008B25AC"/>
    <w:rsid w:val="008C73D3"/>
    <w:rsid w:val="008D2C0B"/>
    <w:rsid w:val="008D5B63"/>
    <w:rsid w:val="00905B7D"/>
    <w:rsid w:val="009069B5"/>
    <w:rsid w:val="00932676"/>
    <w:rsid w:val="0094641C"/>
    <w:rsid w:val="0095525B"/>
    <w:rsid w:val="00982442"/>
    <w:rsid w:val="009A657E"/>
    <w:rsid w:val="009B3429"/>
    <w:rsid w:val="009B76BB"/>
    <w:rsid w:val="009E0488"/>
    <w:rsid w:val="009E6C1F"/>
    <w:rsid w:val="009F20A2"/>
    <w:rsid w:val="00A01FF3"/>
    <w:rsid w:val="00A04ABB"/>
    <w:rsid w:val="00A36797"/>
    <w:rsid w:val="00A37549"/>
    <w:rsid w:val="00A404A9"/>
    <w:rsid w:val="00A41188"/>
    <w:rsid w:val="00A43C86"/>
    <w:rsid w:val="00A508BB"/>
    <w:rsid w:val="00A50DD6"/>
    <w:rsid w:val="00A6234D"/>
    <w:rsid w:val="00A76254"/>
    <w:rsid w:val="00A90926"/>
    <w:rsid w:val="00A91020"/>
    <w:rsid w:val="00A95F3F"/>
    <w:rsid w:val="00AA03F3"/>
    <w:rsid w:val="00AB14E7"/>
    <w:rsid w:val="00AB3526"/>
    <w:rsid w:val="00AB5310"/>
    <w:rsid w:val="00AD5BFC"/>
    <w:rsid w:val="00AE74D6"/>
    <w:rsid w:val="00B06788"/>
    <w:rsid w:val="00B20B09"/>
    <w:rsid w:val="00B313BA"/>
    <w:rsid w:val="00B349EF"/>
    <w:rsid w:val="00B46348"/>
    <w:rsid w:val="00B503E8"/>
    <w:rsid w:val="00B54170"/>
    <w:rsid w:val="00B56723"/>
    <w:rsid w:val="00B76563"/>
    <w:rsid w:val="00B811C1"/>
    <w:rsid w:val="00B86880"/>
    <w:rsid w:val="00B947EA"/>
    <w:rsid w:val="00B97CB0"/>
    <w:rsid w:val="00BA4AAC"/>
    <w:rsid w:val="00BB6E02"/>
    <w:rsid w:val="00BF2B8F"/>
    <w:rsid w:val="00BF36A7"/>
    <w:rsid w:val="00BF5AAE"/>
    <w:rsid w:val="00C12EC1"/>
    <w:rsid w:val="00C14708"/>
    <w:rsid w:val="00C20FAC"/>
    <w:rsid w:val="00C215FA"/>
    <w:rsid w:val="00C2666A"/>
    <w:rsid w:val="00C30750"/>
    <w:rsid w:val="00C64E1F"/>
    <w:rsid w:val="00C717A2"/>
    <w:rsid w:val="00CB3E5A"/>
    <w:rsid w:val="00CE0CC3"/>
    <w:rsid w:val="00CE1993"/>
    <w:rsid w:val="00D03346"/>
    <w:rsid w:val="00D03654"/>
    <w:rsid w:val="00D13E88"/>
    <w:rsid w:val="00D36EA9"/>
    <w:rsid w:val="00D443DC"/>
    <w:rsid w:val="00D57CA8"/>
    <w:rsid w:val="00D63F90"/>
    <w:rsid w:val="00D7765D"/>
    <w:rsid w:val="00D93941"/>
    <w:rsid w:val="00D97512"/>
    <w:rsid w:val="00DA5B22"/>
    <w:rsid w:val="00DB29D5"/>
    <w:rsid w:val="00DC3183"/>
    <w:rsid w:val="00DE18FE"/>
    <w:rsid w:val="00DE1F9C"/>
    <w:rsid w:val="00DE452A"/>
    <w:rsid w:val="00DF79B5"/>
    <w:rsid w:val="00E50085"/>
    <w:rsid w:val="00E51A59"/>
    <w:rsid w:val="00E73746"/>
    <w:rsid w:val="00E91ABC"/>
    <w:rsid w:val="00EA4F0C"/>
    <w:rsid w:val="00EE1553"/>
    <w:rsid w:val="00EE2C88"/>
    <w:rsid w:val="00EF6A35"/>
    <w:rsid w:val="00F04750"/>
    <w:rsid w:val="00F20AD3"/>
    <w:rsid w:val="00F24FA6"/>
    <w:rsid w:val="00F71715"/>
    <w:rsid w:val="00F80E39"/>
    <w:rsid w:val="00F81503"/>
    <w:rsid w:val="00F97C66"/>
    <w:rsid w:val="00FA0293"/>
    <w:rsid w:val="00FB2F35"/>
    <w:rsid w:val="00FC4E03"/>
    <w:rsid w:val="00FD214B"/>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285544"/>
  <w15:chartTrackingRefBased/>
  <w15:docId w15:val="{893E3464-CC9A-8F49-AA83-D263427C1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6835"/>
    <w:rPr>
      <w:rFonts w:ascii="宋体" w:eastAsia="宋体" w:hAnsi="宋体" w:cs="宋体"/>
      <w:kern w:val="0"/>
      <w:sz w:val="24"/>
    </w:rPr>
  </w:style>
  <w:style w:type="paragraph" w:styleId="1">
    <w:name w:val="heading 1"/>
    <w:basedOn w:val="a"/>
    <w:next w:val="a"/>
    <w:link w:val="10"/>
    <w:uiPriority w:val="9"/>
    <w:qFormat/>
    <w:rsid w:val="0065128C"/>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rPr>
  </w:style>
  <w:style w:type="paragraph" w:styleId="2">
    <w:name w:val="heading 2"/>
    <w:basedOn w:val="a"/>
    <w:next w:val="a"/>
    <w:link w:val="20"/>
    <w:uiPriority w:val="9"/>
    <w:unhideWhenUsed/>
    <w:qFormat/>
    <w:rsid w:val="0065128C"/>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rPr>
  </w:style>
  <w:style w:type="paragraph" w:styleId="3">
    <w:name w:val="heading 3"/>
    <w:basedOn w:val="a"/>
    <w:next w:val="a"/>
    <w:link w:val="30"/>
    <w:uiPriority w:val="9"/>
    <w:unhideWhenUsed/>
    <w:qFormat/>
    <w:rsid w:val="0065128C"/>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rPr>
  </w:style>
  <w:style w:type="paragraph" w:styleId="4">
    <w:name w:val="heading 4"/>
    <w:basedOn w:val="a"/>
    <w:next w:val="a"/>
    <w:link w:val="40"/>
    <w:uiPriority w:val="9"/>
    <w:unhideWhenUsed/>
    <w:qFormat/>
    <w:rsid w:val="0065128C"/>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rPr>
  </w:style>
  <w:style w:type="paragraph" w:styleId="5">
    <w:name w:val="heading 5"/>
    <w:basedOn w:val="a"/>
    <w:next w:val="a"/>
    <w:link w:val="50"/>
    <w:uiPriority w:val="9"/>
    <w:unhideWhenUsed/>
    <w:qFormat/>
    <w:rsid w:val="0065128C"/>
    <w:pPr>
      <w:keepNext/>
      <w:keepLines/>
      <w:widowControl w:val="0"/>
      <w:spacing w:before="80" w:after="40"/>
      <w:jc w:val="both"/>
      <w:outlineLvl w:val="4"/>
    </w:pPr>
    <w:rPr>
      <w:rFonts w:asciiTheme="minorHAnsi" w:eastAsiaTheme="minorEastAsia" w:hAnsiTheme="minorHAnsi" w:cstheme="majorBidi"/>
      <w:color w:val="0F4761" w:themeColor="accent1" w:themeShade="BF"/>
      <w:kern w:val="2"/>
    </w:rPr>
  </w:style>
  <w:style w:type="paragraph" w:styleId="6">
    <w:name w:val="heading 6"/>
    <w:basedOn w:val="a"/>
    <w:next w:val="a"/>
    <w:link w:val="60"/>
    <w:uiPriority w:val="9"/>
    <w:semiHidden/>
    <w:unhideWhenUsed/>
    <w:qFormat/>
    <w:rsid w:val="0065128C"/>
    <w:pPr>
      <w:keepNext/>
      <w:keepLines/>
      <w:widowControl w:val="0"/>
      <w:spacing w:before="40"/>
      <w:jc w:val="both"/>
      <w:outlineLvl w:val="5"/>
    </w:pPr>
    <w:rPr>
      <w:rFonts w:asciiTheme="minorHAnsi" w:eastAsiaTheme="minorEastAsia" w:hAnsiTheme="minorHAnsi" w:cstheme="majorBidi"/>
      <w:b/>
      <w:bCs/>
      <w:color w:val="0F4761" w:themeColor="accent1" w:themeShade="BF"/>
      <w:kern w:val="2"/>
      <w:sz w:val="21"/>
    </w:rPr>
  </w:style>
  <w:style w:type="paragraph" w:styleId="7">
    <w:name w:val="heading 7"/>
    <w:basedOn w:val="a"/>
    <w:next w:val="a"/>
    <w:link w:val="70"/>
    <w:uiPriority w:val="9"/>
    <w:semiHidden/>
    <w:unhideWhenUsed/>
    <w:qFormat/>
    <w:rsid w:val="0065128C"/>
    <w:pPr>
      <w:keepNext/>
      <w:keepLines/>
      <w:widowControl w:val="0"/>
      <w:spacing w:before="40"/>
      <w:jc w:val="both"/>
      <w:outlineLvl w:val="6"/>
    </w:pPr>
    <w:rPr>
      <w:rFonts w:asciiTheme="minorHAnsi" w:eastAsiaTheme="minorEastAsia" w:hAnsiTheme="minorHAnsi" w:cstheme="majorBidi"/>
      <w:b/>
      <w:bCs/>
      <w:color w:val="595959" w:themeColor="text1" w:themeTint="A6"/>
      <w:kern w:val="2"/>
      <w:sz w:val="21"/>
    </w:rPr>
  </w:style>
  <w:style w:type="paragraph" w:styleId="8">
    <w:name w:val="heading 8"/>
    <w:basedOn w:val="a"/>
    <w:next w:val="a"/>
    <w:link w:val="80"/>
    <w:uiPriority w:val="9"/>
    <w:semiHidden/>
    <w:unhideWhenUsed/>
    <w:qFormat/>
    <w:rsid w:val="0065128C"/>
    <w:pPr>
      <w:keepNext/>
      <w:keepLines/>
      <w:widowControl w:val="0"/>
      <w:jc w:val="both"/>
      <w:outlineLvl w:val="7"/>
    </w:pPr>
    <w:rPr>
      <w:rFonts w:asciiTheme="minorHAnsi" w:eastAsiaTheme="minorEastAsia" w:hAnsiTheme="minorHAnsi" w:cstheme="majorBidi"/>
      <w:color w:val="595959" w:themeColor="text1" w:themeTint="A6"/>
      <w:kern w:val="2"/>
      <w:sz w:val="21"/>
    </w:rPr>
  </w:style>
  <w:style w:type="paragraph" w:styleId="9">
    <w:name w:val="heading 9"/>
    <w:basedOn w:val="a"/>
    <w:next w:val="a"/>
    <w:link w:val="90"/>
    <w:uiPriority w:val="9"/>
    <w:semiHidden/>
    <w:unhideWhenUsed/>
    <w:qFormat/>
    <w:rsid w:val="0065128C"/>
    <w:pPr>
      <w:keepNext/>
      <w:keepLines/>
      <w:widowControl w:val="0"/>
      <w:jc w:val="both"/>
      <w:outlineLvl w:val="8"/>
    </w:pPr>
    <w:rPr>
      <w:rFonts w:asciiTheme="minorHAnsi" w:eastAsiaTheme="majorEastAsia" w:hAnsiTheme="minorHAnsi" w:cstheme="majorBidi"/>
      <w:color w:val="595959" w:themeColor="text1" w:themeTint="A6"/>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128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5128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5128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5128C"/>
    <w:rPr>
      <w:rFonts w:cstheme="majorBidi"/>
      <w:color w:val="0F4761" w:themeColor="accent1" w:themeShade="BF"/>
      <w:sz w:val="28"/>
      <w:szCs w:val="28"/>
    </w:rPr>
  </w:style>
  <w:style w:type="character" w:customStyle="1" w:styleId="50">
    <w:name w:val="标题 5 字符"/>
    <w:basedOn w:val="a0"/>
    <w:link w:val="5"/>
    <w:uiPriority w:val="9"/>
    <w:rsid w:val="0065128C"/>
    <w:rPr>
      <w:rFonts w:cstheme="majorBidi"/>
      <w:color w:val="0F4761" w:themeColor="accent1" w:themeShade="BF"/>
      <w:sz w:val="24"/>
    </w:rPr>
  </w:style>
  <w:style w:type="character" w:customStyle="1" w:styleId="60">
    <w:name w:val="标题 6 字符"/>
    <w:basedOn w:val="a0"/>
    <w:link w:val="6"/>
    <w:uiPriority w:val="9"/>
    <w:semiHidden/>
    <w:rsid w:val="0065128C"/>
    <w:rPr>
      <w:rFonts w:cstheme="majorBidi"/>
      <w:b/>
      <w:bCs/>
      <w:color w:val="0F4761" w:themeColor="accent1" w:themeShade="BF"/>
    </w:rPr>
  </w:style>
  <w:style w:type="character" w:customStyle="1" w:styleId="70">
    <w:name w:val="标题 7 字符"/>
    <w:basedOn w:val="a0"/>
    <w:link w:val="7"/>
    <w:uiPriority w:val="9"/>
    <w:semiHidden/>
    <w:rsid w:val="0065128C"/>
    <w:rPr>
      <w:rFonts w:cstheme="majorBidi"/>
      <w:b/>
      <w:bCs/>
      <w:color w:val="595959" w:themeColor="text1" w:themeTint="A6"/>
    </w:rPr>
  </w:style>
  <w:style w:type="character" w:customStyle="1" w:styleId="80">
    <w:name w:val="标题 8 字符"/>
    <w:basedOn w:val="a0"/>
    <w:link w:val="8"/>
    <w:uiPriority w:val="9"/>
    <w:semiHidden/>
    <w:rsid w:val="0065128C"/>
    <w:rPr>
      <w:rFonts w:cstheme="majorBidi"/>
      <w:color w:val="595959" w:themeColor="text1" w:themeTint="A6"/>
    </w:rPr>
  </w:style>
  <w:style w:type="character" w:customStyle="1" w:styleId="90">
    <w:name w:val="标题 9 字符"/>
    <w:basedOn w:val="a0"/>
    <w:link w:val="9"/>
    <w:uiPriority w:val="9"/>
    <w:semiHidden/>
    <w:rsid w:val="0065128C"/>
    <w:rPr>
      <w:rFonts w:eastAsiaTheme="majorEastAsia" w:cstheme="majorBidi"/>
      <w:color w:val="595959" w:themeColor="text1" w:themeTint="A6"/>
    </w:rPr>
  </w:style>
  <w:style w:type="paragraph" w:styleId="a3">
    <w:name w:val="Title"/>
    <w:basedOn w:val="a"/>
    <w:next w:val="a"/>
    <w:link w:val="a4"/>
    <w:uiPriority w:val="10"/>
    <w:qFormat/>
    <w:rsid w:val="0065128C"/>
    <w:pPr>
      <w:widowControl w:val="0"/>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12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128C"/>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a6">
    <w:name w:val="副标题 字符"/>
    <w:basedOn w:val="a0"/>
    <w:link w:val="a5"/>
    <w:uiPriority w:val="11"/>
    <w:rsid w:val="006512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128C"/>
    <w:pPr>
      <w:widowControl w:val="0"/>
      <w:spacing w:before="160" w:after="160"/>
      <w:jc w:val="center"/>
    </w:pPr>
    <w:rPr>
      <w:rFonts w:asciiTheme="minorHAnsi" w:eastAsiaTheme="minorEastAsia" w:hAnsiTheme="minorHAnsi" w:cstheme="minorBidi"/>
      <w:i/>
      <w:iCs/>
      <w:color w:val="404040" w:themeColor="text1" w:themeTint="BF"/>
      <w:kern w:val="2"/>
      <w:sz w:val="21"/>
    </w:rPr>
  </w:style>
  <w:style w:type="character" w:customStyle="1" w:styleId="a8">
    <w:name w:val="引用 字符"/>
    <w:basedOn w:val="a0"/>
    <w:link w:val="a7"/>
    <w:uiPriority w:val="29"/>
    <w:rsid w:val="0065128C"/>
    <w:rPr>
      <w:i/>
      <w:iCs/>
      <w:color w:val="404040" w:themeColor="text1" w:themeTint="BF"/>
    </w:rPr>
  </w:style>
  <w:style w:type="paragraph" w:styleId="a9">
    <w:name w:val="List Paragraph"/>
    <w:basedOn w:val="a"/>
    <w:uiPriority w:val="34"/>
    <w:qFormat/>
    <w:rsid w:val="0065128C"/>
    <w:pPr>
      <w:widowControl w:val="0"/>
      <w:ind w:left="720"/>
      <w:contextualSpacing/>
      <w:jc w:val="both"/>
    </w:pPr>
    <w:rPr>
      <w:rFonts w:asciiTheme="minorHAnsi" w:eastAsiaTheme="minorEastAsia" w:hAnsiTheme="minorHAnsi" w:cstheme="minorBidi"/>
      <w:kern w:val="2"/>
      <w:sz w:val="21"/>
    </w:rPr>
  </w:style>
  <w:style w:type="character" w:styleId="aa">
    <w:name w:val="Intense Emphasis"/>
    <w:basedOn w:val="a0"/>
    <w:uiPriority w:val="21"/>
    <w:qFormat/>
    <w:rsid w:val="0065128C"/>
    <w:rPr>
      <w:i/>
      <w:iCs/>
      <w:color w:val="0F4761" w:themeColor="accent1" w:themeShade="BF"/>
    </w:rPr>
  </w:style>
  <w:style w:type="paragraph" w:styleId="ab">
    <w:name w:val="Intense Quote"/>
    <w:basedOn w:val="a"/>
    <w:next w:val="a"/>
    <w:link w:val="ac"/>
    <w:uiPriority w:val="30"/>
    <w:qFormat/>
    <w:rsid w:val="0065128C"/>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rPr>
  </w:style>
  <w:style w:type="character" w:customStyle="1" w:styleId="ac">
    <w:name w:val="明显引用 字符"/>
    <w:basedOn w:val="a0"/>
    <w:link w:val="ab"/>
    <w:uiPriority w:val="30"/>
    <w:rsid w:val="0065128C"/>
    <w:rPr>
      <w:i/>
      <w:iCs/>
      <w:color w:val="0F4761" w:themeColor="accent1" w:themeShade="BF"/>
    </w:rPr>
  </w:style>
  <w:style w:type="character" w:styleId="ad">
    <w:name w:val="Intense Reference"/>
    <w:basedOn w:val="a0"/>
    <w:uiPriority w:val="32"/>
    <w:qFormat/>
    <w:rsid w:val="0065128C"/>
    <w:rPr>
      <w:b/>
      <w:bCs/>
      <w:smallCaps/>
      <w:color w:val="0F4761" w:themeColor="accent1" w:themeShade="BF"/>
      <w:spacing w:val="5"/>
    </w:rPr>
  </w:style>
  <w:style w:type="paragraph" w:customStyle="1" w:styleId="p1">
    <w:name w:val="p1"/>
    <w:basedOn w:val="a"/>
    <w:rsid w:val="0065128C"/>
    <w:pPr>
      <w:spacing w:before="100" w:beforeAutospacing="1" w:after="100" w:afterAutospacing="1"/>
    </w:pPr>
  </w:style>
  <w:style w:type="paragraph" w:customStyle="1" w:styleId="p2">
    <w:name w:val="p2"/>
    <w:basedOn w:val="a"/>
    <w:rsid w:val="0065128C"/>
    <w:pPr>
      <w:spacing w:before="100" w:beforeAutospacing="1" w:after="100" w:afterAutospacing="1"/>
    </w:pPr>
  </w:style>
  <w:style w:type="paragraph" w:customStyle="1" w:styleId="p3">
    <w:name w:val="p3"/>
    <w:basedOn w:val="a"/>
    <w:rsid w:val="0065128C"/>
    <w:pPr>
      <w:spacing w:before="100" w:beforeAutospacing="1" w:after="100" w:afterAutospacing="1"/>
    </w:pPr>
  </w:style>
  <w:style w:type="character" w:customStyle="1" w:styleId="s2">
    <w:name w:val="s2"/>
    <w:basedOn w:val="a0"/>
    <w:rsid w:val="0065128C"/>
  </w:style>
  <w:style w:type="character" w:customStyle="1" w:styleId="s3">
    <w:name w:val="s3"/>
    <w:basedOn w:val="a0"/>
    <w:rsid w:val="0065128C"/>
  </w:style>
  <w:style w:type="character" w:customStyle="1" w:styleId="s4">
    <w:name w:val="s4"/>
    <w:basedOn w:val="a0"/>
    <w:rsid w:val="0065128C"/>
  </w:style>
  <w:style w:type="paragraph" w:styleId="HTML">
    <w:name w:val="HTML Preformatted"/>
    <w:basedOn w:val="a"/>
    <w:link w:val="HTML0"/>
    <w:uiPriority w:val="99"/>
    <w:semiHidden/>
    <w:unhideWhenUsed/>
    <w:rsid w:val="006512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semiHidden/>
    <w:rsid w:val="0065128C"/>
    <w:rPr>
      <w:rFonts w:ascii="宋体" w:eastAsia="宋体" w:hAnsi="宋体" w:cs="宋体"/>
      <w:kern w:val="0"/>
      <w:sz w:val="24"/>
    </w:rPr>
  </w:style>
  <w:style w:type="character" w:styleId="HTML1">
    <w:name w:val="HTML Code"/>
    <w:basedOn w:val="a0"/>
    <w:uiPriority w:val="99"/>
    <w:semiHidden/>
    <w:unhideWhenUsed/>
    <w:rsid w:val="0065128C"/>
    <w:rPr>
      <w:rFonts w:ascii="宋体" w:eastAsia="宋体" w:hAnsi="宋体" w:cs="宋体"/>
      <w:sz w:val="24"/>
      <w:szCs w:val="24"/>
    </w:rPr>
  </w:style>
  <w:style w:type="paragraph" w:customStyle="1" w:styleId="p4">
    <w:name w:val="p4"/>
    <w:basedOn w:val="a"/>
    <w:rsid w:val="0065128C"/>
    <w:pPr>
      <w:spacing w:before="100" w:beforeAutospacing="1" w:after="100" w:afterAutospacing="1"/>
    </w:pPr>
  </w:style>
  <w:style w:type="character" w:customStyle="1" w:styleId="s6">
    <w:name w:val="s6"/>
    <w:basedOn w:val="a0"/>
    <w:rsid w:val="0065128C"/>
  </w:style>
  <w:style w:type="character" w:styleId="ae">
    <w:name w:val="annotation reference"/>
    <w:basedOn w:val="a0"/>
    <w:uiPriority w:val="99"/>
    <w:semiHidden/>
    <w:unhideWhenUsed/>
    <w:rsid w:val="0065128C"/>
    <w:rPr>
      <w:sz w:val="21"/>
      <w:szCs w:val="21"/>
    </w:rPr>
  </w:style>
  <w:style w:type="paragraph" w:styleId="af">
    <w:name w:val="annotation text"/>
    <w:basedOn w:val="a"/>
    <w:link w:val="af0"/>
    <w:uiPriority w:val="99"/>
    <w:semiHidden/>
    <w:unhideWhenUsed/>
    <w:rsid w:val="0065128C"/>
    <w:pPr>
      <w:widowControl w:val="0"/>
    </w:pPr>
    <w:rPr>
      <w:rFonts w:asciiTheme="minorHAnsi" w:eastAsiaTheme="minorEastAsia" w:hAnsiTheme="minorHAnsi" w:cstheme="minorBidi"/>
      <w:kern w:val="2"/>
      <w:sz w:val="21"/>
    </w:rPr>
  </w:style>
  <w:style w:type="character" w:customStyle="1" w:styleId="af0">
    <w:name w:val="批注文字 字符"/>
    <w:basedOn w:val="a0"/>
    <w:link w:val="af"/>
    <w:uiPriority w:val="99"/>
    <w:semiHidden/>
    <w:rsid w:val="0065128C"/>
  </w:style>
  <w:style w:type="paragraph" w:styleId="af1">
    <w:name w:val="annotation subject"/>
    <w:basedOn w:val="af"/>
    <w:next w:val="af"/>
    <w:link w:val="af2"/>
    <w:uiPriority w:val="99"/>
    <w:semiHidden/>
    <w:unhideWhenUsed/>
    <w:rsid w:val="0065128C"/>
    <w:rPr>
      <w:b/>
      <w:bCs/>
    </w:rPr>
  </w:style>
  <w:style w:type="character" w:customStyle="1" w:styleId="af2">
    <w:name w:val="批注主题 字符"/>
    <w:basedOn w:val="af0"/>
    <w:link w:val="af1"/>
    <w:uiPriority w:val="99"/>
    <w:semiHidden/>
    <w:rsid w:val="006512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478079">
      <w:bodyDiv w:val="1"/>
      <w:marLeft w:val="0"/>
      <w:marRight w:val="0"/>
      <w:marTop w:val="0"/>
      <w:marBottom w:val="0"/>
      <w:divBdr>
        <w:top w:val="none" w:sz="0" w:space="0" w:color="auto"/>
        <w:left w:val="none" w:sz="0" w:space="0" w:color="auto"/>
        <w:bottom w:val="none" w:sz="0" w:space="0" w:color="auto"/>
        <w:right w:val="none" w:sz="0" w:space="0" w:color="auto"/>
      </w:divBdr>
    </w:div>
    <w:div w:id="858542714">
      <w:bodyDiv w:val="1"/>
      <w:marLeft w:val="0"/>
      <w:marRight w:val="0"/>
      <w:marTop w:val="0"/>
      <w:marBottom w:val="0"/>
      <w:divBdr>
        <w:top w:val="none" w:sz="0" w:space="0" w:color="auto"/>
        <w:left w:val="none" w:sz="0" w:space="0" w:color="auto"/>
        <w:bottom w:val="none" w:sz="0" w:space="0" w:color="auto"/>
        <w:right w:val="none" w:sz="0" w:space="0" w:color="auto"/>
      </w:divBdr>
    </w:div>
    <w:div w:id="1606883611">
      <w:bodyDiv w:val="1"/>
      <w:marLeft w:val="0"/>
      <w:marRight w:val="0"/>
      <w:marTop w:val="0"/>
      <w:marBottom w:val="0"/>
      <w:divBdr>
        <w:top w:val="none" w:sz="0" w:space="0" w:color="auto"/>
        <w:left w:val="none" w:sz="0" w:space="0" w:color="auto"/>
        <w:bottom w:val="none" w:sz="0" w:space="0" w:color="auto"/>
        <w:right w:val="none" w:sz="0" w:space="0" w:color="auto"/>
      </w:divBdr>
    </w:div>
    <w:div w:id="175913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13</Pages>
  <Words>1877</Words>
  <Characters>10705</Characters>
  <Application>Microsoft Office Word</Application>
  <DocSecurity>0</DocSecurity>
  <Lines>89</Lines>
  <Paragraphs>25</Paragraphs>
  <ScaleCrop>false</ScaleCrop>
  <Company/>
  <LinksUpToDate>false</LinksUpToDate>
  <CharactersWithSpaces>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1</cp:revision>
  <dcterms:created xsi:type="dcterms:W3CDTF">2025-06-24T08:45:00Z</dcterms:created>
  <dcterms:modified xsi:type="dcterms:W3CDTF">2025-06-24T23:33:00Z</dcterms:modified>
</cp:coreProperties>
</file>