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AFD8" w14:textId="77777777" w:rsidR="00760C57" w:rsidRDefault="00760C57" w:rsidP="00760C57">
      <w:r>
        <w:t>1</w:t>
      </w:r>
      <w:r>
        <w:tab/>
        <w:t xml:space="preserve">Collins, T. E., </w:t>
      </w:r>
      <w:proofErr w:type="spellStart"/>
      <w:r>
        <w:t>Karapici</w:t>
      </w:r>
      <w:proofErr w:type="spellEnd"/>
      <w:r>
        <w:t xml:space="preserve">, A. &amp; Berlina, D. Investing in Addressing NCDs and Mental Health Conditions: </w:t>
      </w:r>
      <w:proofErr w:type="gramStart"/>
      <w:r>
        <w:t>a</w:t>
      </w:r>
      <w:proofErr w:type="gramEnd"/>
      <w:r>
        <w:t xml:space="preserve"> Political Choice. Annals of Global Health 91 (2025). https://doi.org:10.5334/aogh.4649</w:t>
      </w:r>
    </w:p>
    <w:p w14:paraId="169FBF9F" w14:textId="77777777" w:rsidR="00760C57" w:rsidRDefault="00760C57" w:rsidP="00760C57">
      <w:r>
        <w:t>2</w:t>
      </w:r>
      <w:r>
        <w:tab/>
        <w:t>Rudd, K. E. et al. Global, regional, and national sepsis incidence and mortality, 1990–2017: analysis for the Global Burden of Disease Study. The Lancet 395, 200-211 (2020). https://doi.org:10.1016/s0140-6736(19)32989-7</w:t>
      </w:r>
    </w:p>
    <w:p w14:paraId="0986FB8D" w14:textId="77777777" w:rsidR="00760C57" w:rsidRDefault="00760C57" w:rsidP="00760C57">
      <w:r>
        <w:t>3</w:t>
      </w:r>
      <w:r>
        <w:tab/>
        <w:t>Gray, A. P. et al. Global, regional, and national sepsis incidence and mortality, 1990–2021: a systematic analysis. The Lancet Global Health 13, e2013-e2026 (2025). https://doi.org:10.1016/s2214-109x(25)00356-0</w:t>
      </w:r>
    </w:p>
    <w:p w14:paraId="1A6CF9F6" w14:textId="77777777" w:rsidR="00760C57" w:rsidRDefault="00760C57" w:rsidP="00760C57">
      <w:r>
        <w:t>4</w:t>
      </w:r>
      <w:r>
        <w:tab/>
        <w:t>Hay, S. I. et al. Burden of 375 diseases and injuries, risk-attributable burden of 88 risk factors, and healthy life expectancy in 204 countries and territories, including 660 subnational locations, 1990–2023: a systematic analysis for the Global Burden of Disease Study 2023. The Lancet 406, 1873-1922 (2025). https://doi.org:10.1016/s0140-6736(25)01637-x</w:t>
      </w:r>
    </w:p>
    <w:p w14:paraId="61BE0C83" w14:textId="77777777" w:rsidR="00760C57" w:rsidRDefault="00760C57" w:rsidP="00760C57">
      <w:r>
        <w:t>5</w:t>
      </w:r>
      <w:r>
        <w:tab/>
        <w:t>Swanson, K. V., Deng, M. &amp; Ting, J. P. Y. The NLRP3 inflammasome: molecular activation and regulation to therapeutics. Nat Rev Immunol 19, 477-489 (2019). https://doi.org:10.1038/s41577-019-0165-0</w:t>
      </w:r>
    </w:p>
    <w:p w14:paraId="52F2D5A1" w14:textId="77777777" w:rsidR="00760C57" w:rsidRDefault="00760C57" w:rsidP="00760C57">
      <w:r>
        <w:t>6</w:t>
      </w:r>
      <w:r>
        <w:tab/>
        <w:t>Mangan, M. S. J. et al. Targeting the NLRP3 inflammasome in inflammatory diseases. Nature Reviews Drug Discovery 17, 588-606 (2018). https://doi.org:10.1038/nrd.2018.97</w:t>
      </w:r>
    </w:p>
    <w:p w14:paraId="48FA6BBD" w14:textId="77777777" w:rsidR="00760C57" w:rsidRDefault="00760C57" w:rsidP="00760C57">
      <w:r>
        <w:t>7</w:t>
      </w:r>
      <w:r>
        <w:tab/>
        <w:t>Shi, J. et al. Cleavage of GSDMD by inflammatory caspases determines pyroptotic cell death. Nature 526, 660-665 (2015). https://doi.org:10.1038/nature15514</w:t>
      </w:r>
    </w:p>
    <w:p w14:paraId="4A03FADD" w14:textId="77777777" w:rsidR="00760C57" w:rsidRDefault="00760C57" w:rsidP="00760C57">
      <w:r>
        <w:t>8</w:t>
      </w:r>
      <w:r>
        <w:tab/>
      </w:r>
      <w:proofErr w:type="spellStart"/>
      <w:r>
        <w:t>Kayagaki</w:t>
      </w:r>
      <w:proofErr w:type="spellEnd"/>
      <w:r>
        <w:t xml:space="preserve">, N. et al. Caspase-11 cleaves </w:t>
      </w:r>
      <w:proofErr w:type="spellStart"/>
      <w:r>
        <w:t>gasdermin</w:t>
      </w:r>
      <w:proofErr w:type="spellEnd"/>
      <w:r>
        <w:t xml:space="preserve"> D for non-canonical inflammasome </w:t>
      </w:r>
      <w:proofErr w:type="spellStart"/>
      <w:r>
        <w:t>signalling</w:t>
      </w:r>
      <w:proofErr w:type="spellEnd"/>
      <w:r>
        <w:t>. Nature 526, 666-671 (2015). https://doi.org:10.1038/nature15541</w:t>
      </w:r>
    </w:p>
    <w:p w14:paraId="15BBDBE3" w14:textId="77777777" w:rsidR="00760C57" w:rsidRDefault="00760C57" w:rsidP="00760C57">
      <w:r>
        <w:t>9</w:t>
      </w:r>
      <w:r>
        <w:tab/>
        <w:t xml:space="preserve">Liu, X. et al. Inflammasome-activated </w:t>
      </w:r>
      <w:proofErr w:type="spellStart"/>
      <w:r>
        <w:t>gasdermin</w:t>
      </w:r>
      <w:proofErr w:type="spellEnd"/>
      <w:r>
        <w:t xml:space="preserve"> D causes </w:t>
      </w:r>
      <w:proofErr w:type="spellStart"/>
      <w:r>
        <w:t>pyroptosis</w:t>
      </w:r>
      <w:proofErr w:type="spellEnd"/>
      <w:r>
        <w:t xml:space="preserve"> by forming membrane pores. Nature 535, 153-158 (2016). https://doi.org:10.1038/nature18629</w:t>
      </w:r>
    </w:p>
    <w:p w14:paraId="62EF40A5" w14:textId="77777777" w:rsidR="00760C57" w:rsidRDefault="00760C57" w:rsidP="00760C57">
      <w:r>
        <w:t>10</w:t>
      </w:r>
      <w:r>
        <w:tab/>
        <w:t xml:space="preserve">Aglietti, R. A. et al. </w:t>
      </w:r>
      <w:proofErr w:type="spellStart"/>
      <w:r>
        <w:t>GsdmD</w:t>
      </w:r>
      <w:proofErr w:type="spellEnd"/>
      <w:r>
        <w:t xml:space="preserve"> p30 elicited by caspase-11 during </w:t>
      </w:r>
      <w:proofErr w:type="spellStart"/>
      <w:r>
        <w:t>pyroptosis</w:t>
      </w:r>
      <w:proofErr w:type="spellEnd"/>
      <w:r>
        <w:t xml:space="preserve"> forms pores in membranes. Proceedings of the National Academy of Sciences 113, 7858-7863 (2016). https://doi.org:10.1073/pnas.1607769113</w:t>
      </w:r>
    </w:p>
    <w:p w14:paraId="0F8FE817" w14:textId="77777777" w:rsidR="00760C57" w:rsidRDefault="00760C57" w:rsidP="00760C57">
      <w:r>
        <w:t>11</w:t>
      </w:r>
      <w:r>
        <w:tab/>
        <w:t xml:space="preserve">Ding, J. et al. Pore-forming activity and structural autoinhibition of the </w:t>
      </w:r>
      <w:proofErr w:type="spellStart"/>
      <w:r>
        <w:t>gasdermin</w:t>
      </w:r>
      <w:proofErr w:type="spellEnd"/>
      <w:r>
        <w:t xml:space="preserve"> family. Nature 535, 111-116 (2016). https://doi.org:10.1038/nature18590</w:t>
      </w:r>
    </w:p>
    <w:p w14:paraId="1EC76E48" w14:textId="77777777" w:rsidR="00760C57" w:rsidRDefault="00760C57" w:rsidP="00760C57">
      <w:r>
        <w:t>12</w:t>
      </w:r>
      <w:r>
        <w:tab/>
        <w:t xml:space="preserve">Miao, R. et al. </w:t>
      </w:r>
      <w:proofErr w:type="spellStart"/>
      <w:r>
        <w:t>Gasdermin</w:t>
      </w:r>
      <w:proofErr w:type="spellEnd"/>
      <w:r>
        <w:t xml:space="preserve"> D permeabilization of mitochondrial inner and outer membranes accelerates and enhances </w:t>
      </w:r>
      <w:proofErr w:type="spellStart"/>
      <w:r>
        <w:t>pyroptosis</w:t>
      </w:r>
      <w:proofErr w:type="spellEnd"/>
      <w:r>
        <w:t>. Immunity 56 (2023). https://doi.org:10.1016/j.immuni.2023.10.004</w:t>
      </w:r>
    </w:p>
    <w:p w14:paraId="63DE9546" w14:textId="77777777" w:rsidR="00760C57" w:rsidRDefault="00760C57" w:rsidP="00760C57">
      <w:r>
        <w:t>13</w:t>
      </w:r>
      <w:r>
        <w:tab/>
        <w:t>Shimada, K. et al. Oxidized Mitochondrial DNA Activates the NLRP3 Inflammasome during Apoptosis. Immunity 36, 401-414 (2012). https://doi.org:10.1016/j.immuni.2012.01.009</w:t>
      </w:r>
    </w:p>
    <w:p w14:paraId="6D118574" w14:textId="77777777" w:rsidR="00760C57" w:rsidRDefault="00760C57" w:rsidP="00760C57">
      <w:r>
        <w:t>14</w:t>
      </w:r>
      <w:r>
        <w:tab/>
        <w:t>Billingham, L. K. et al. Mitochondrial electron transport chain is necessary for NLRP3 inflammasome activation. Nature Immunology 23, 692-704 (2022). https://doi.org:10.1038/s41590-022-01185-3</w:t>
      </w:r>
    </w:p>
    <w:p w14:paraId="5439A9FA" w14:textId="77777777" w:rsidR="00760C57" w:rsidRDefault="00760C57" w:rsidP="00760C57">
      <w:r>
        <w:t>15</w:t>
      </w:r>
      <w:r>
        <w:tab/>
        <w:t xml:space="preserve">Pfeiffer, K. et al. Cardiolipin Stabilizes Respiratory Chain </w:t>
      </w:r>
      <w:proofErr w:type="spellStart"/>
      <w:r>
        <w:t>Supercomplexes</w:t>
      </w:r>
      <w:proofErr w:type="spellEnd"/>
      <w:r>
        <w:t>. Journal of Biological Chemistry 278, 52873-52880 (2003). https://doi.org:10.1074/jbc.m308366200</w:t>
      </w:r>
    </w:p>
    <w:p w14:paraId="433AB8CE" w14:textId="77777777" w:rsidR="00760C57" w:rsidRDefault="00760C57" w:rsidP="00760C57">
      <w:r>
        <w:t>16</w:t>
      </w:r>
      <w:r>
        <w:tab/>
      </w:r>
      <w:proofErr w:type="spellStart"/>
      <w:r>
        <w:t>Acehan</w:t>
      </w:r>
      <w:proofErr w:type="spellEnd"/>
      <w:r>
        <w:t>, D. et al. Cardiolipin Affects the Supramolecular Organization of ATP Synthase in Mitochondria. Biophysical Journal 100, 2184-2192 (2011). https://doi.org:10.1016/j.bpj.2011.03.031</w:t>
      </w:r>
    </w:p>
    <w:p w14:paraId="3ED0A0A3" w14:textId="77777777" w:rsidR="00760C57" w:rsidRDefault="00760C57" w:rsidP="00760C57">
      <w:r>
        <w:t>17</w:t>
      </w:r>
      <w:r>
        <w:tab/>
        <w:t xml:space="preserve">Lee, R. G. et al. Cardiolipin is required for membrane docking of mitochondrial ribosomes </w:t>
      </w:r>
      <w:r>
        <w:lastRenderedPageBreak/>
        <w:t>and protein synthesis. Journal of Cell Science 133 (2020). https://doi.org:10.1242/jcs.240374</w:t>
      </w:r>
    </w:p>
    <w:p w14:paraId="64AF52F9" w14:textId="77777777" w:rsidR="00760C57" w:rsidRDefault="00760C57" w:rsidP="00760C57">
      <w:r>
        <w:t>18</w:t>
      </w:r>
      <w:r>
        <w:tab/>
        <w:t xml:space="preserve">Paradies, G., Paradies, V., Ruggiero, F. M. &amp; </w:t>
      </w:r>
      <w:proofErr w:type="spellStart"/>
      <w:r>
        <w:t>Petrosillo</w:t>
      </w:r>
      <w:proofErr w:type="spellEnd"/>
      <w:r>
        <w:t>, G. Role of Cardiolipin in Mitochondrial Function and Dynamics in Health and Disease: Molecular and Pharmacological Aspects. Cells 8, 728 (2019). https://doi.org:10.3390/cells8070728</w:t>
      </w:r>
    </w:p>
    <w:p w14:paraId="350EF86B" w14:textId="77777777" w:rsidR="00760C57" w:rsidRDefault="00760C57" w:rsidP="00760C57">
      <w:r>
        <w:t>19</w:t>
      </w:r>
      <w:r>
        <w:tab/>
        <w:t>Iyer, Shankar S. et al. Mitochondrial Cardiolipin Is Required for Nlrp3 Inflammasome Activation. Immunity 39, 311-323 (2013). https://doi.org:10.1016/j.immuni.2013.08.001</w:t>
      </w:r>
    </w:p>
    <w:p w14:paraId="1A5CF22C" w14:textId="77777777" w:rsidR="00760C57" w:rsidRDefault="00760C57" w:rsidP="00760C57">
      <w:r>
        <w:t>20</w:t>
      </w:r>
      <w:r>
        <w:tab/>
        <w:t xml:space="preserve">Chu, C. T., </w:t>
      </w:r>
      <w:proofErr w:type="spellStart"/>
      <w:r>
        <w:t>Bay</w:t>
      </w:r>
      <w:r>
        <w:rPr>
          <w:rFonts w:hint="cs"/>
        </w:rPr>
        <w:t>ı</w:t>
      </w:r>
      <w:r>
        <w:t>r</w:t>
      </w:r>
      <w:proofErr w:type="spellEnd"/>
      <w:r>
        <w:t>, H. &amp; Kagan, V. E. LC3 binds externalized cardiolipin on injured mitochondria to signal mitophagy in neurons. Autophagy 10, 376-378 (2013). https://doi.org:10.4161/auto.27191</w:t>
      </w:r>
    </w:p>
    <w:p w14:paraId="7AC33887" w14:textId="77777777" w:rsidR="00760C57" w:rsidRDefault="00760C57" w:rsidP="00760C57">
      <w:r>
        <w:t>21</w:t>
      </w:r>
      <w:r>
        <w:tab/>
        <w:t xml:space="preserve">Tang, Y. et al. Cardiolipin oxidized by ROS from complex II acts as a target of </w:t>
      </w:r>
      <w:proofErr w:type="spellStart"/>
      <w:r>
        <w:t>gasdermin</w:t>
      </w:r>
      <w:proofErr w:type="spellEnd"/>
      <w:r>
        <w:t xml:space="preserve"> D to drive mitochondrial pore and heart dysfunction in endotoxemia. Cell Reports 43, 114237 (2024). https://doi.org:10.1016/j.celrep.2024.114237</w:t>
      </w:r>
    </w:p>
    <w:p w14:paraId="2E5C9C3D" w14:textId="77777777" w:rsidR="00760C57" w:rsidRDefault="00760C57" w:rsidP="00760C57">
      <w:r>
        <w:t>22</w:t>
      </w:r>
      <w:r>
        <w:tab/>
        <w:t xml:space="preserve">Himanen, J.-P. &amp; Nikolov, D. B. Eph receptors and </w:t>
      </w:r>
      <w:proofErr w:type="spellStart"/>
      <w:r>
        <w:t>ephrins</w:t>
      </w:r>
      <w:proofErr w:type="spellEnd"/>
      <w:r>
        <w:t>. The International Journal of Biochemistry &amp;amp; Cell Biology 35, 130-134 (2003). https://doi.org:10.1016/s1357-2725(02)00096-1</w:t>
      </w:r>
    </w:p>
    <w:p w14:paraId="31E29A1E" w14:textId="77777777" w:rsidR="00760C57" w:rsidRDefault="00760C57" w:rsidP="00760C57">
      <w:r>
        <w:t>23</w:t>
      </w:r>
      <w:r>
        <w:tab/>
        <w:t>Darling, T. K. &amp; Lamb, T. J. Emerging Roles for Eph Receptors and Ephrin Ligands in Immunity. Frontiers in Immunology 10 (2019). https://doi.org:10.3389/fimmu.2019.01473</w:t>
      </w:r>
    </w:p>
    <w:p w14:paraId="5D3F2F16" w14:textId="77777777" w:rsidR="00760C57" w:rsidRDefault="00760C57" w:rsidP="00760C57">
      <w:r>
        <w:t>24</w:t>
      </w:r>
      <w:r>
        <w:tab/>
        <w:t>Miao, H. et al. EphA2 Mediates Ligand-Dependent Inhibition and Ligand-Independent Promotion of Cell Migration and Invasion via a Reciprocal Regulatory Loop with Akt. Cancer Cell 16, 9-20 (2009). https://doi.org:10.1016/j.ccr.2009.04.009</w:t>
      </w:r>
    </w:p>
    <w:p w14:paraId="5BFE560D" w14:textId="77777777" w:rsidR="00760C57" w:rsidRDefault="00760C57" w:rsidP="00760C57">
      <w:r>
        <w:t>25</w:t>
      </w:r>
      <w:r>
        <w:tab/>
        <w:t>Sahin, M. Eph receptor and mTOR pathway crosstalk: Implications for cancer. Cell Cycle 9, 2053-2054 (2010). https://doi.org:10.4161/cc.9.11.11925</w:t>
      </w:r>
    </w:p>
    <w:p w14:paraId="4738229D" w14:textId="77777777" w:rsidR="00760C57" w:rsidRDefault="00760C57" w:rsidP="00760C57">
      <w:r>
        <w:t>26</w:t>
      </w:r>
      <w:r>
        <w:tab/>
        <w:t xml:space="preserve">Bergsbaken, T., Fink, S. L. &amp; Cookson, B. T. </w:t>
      </w:r>
      <w:proofErr w:type="spellStart"/>
      <w:r>
        <w:t>Pyroptosis</w:t>
      </w:r>
      <w:proofErr w:type="spellEnd"/>
      <w:r>
        <w:t>: host cell death and inflammation. Nature Reviews Microbiology 7, 99-109 (2009). https://doi.org:10.1038/nrmicro2070</w:t>
      </w:r>
    </w:p>
    <w:p w14:paraId="4F94BE78" w14:textId="77777777" w:rsidR="00760C57" w:rsidRDefault="00760C57" w:rsidP="00760C57">
      <w:r>
        <w:t>27</w:t>
      </w:r>
      <w:r>
        <w:tab/>
        <w:t xml:space="preserve">Xia, S. et al. </w:t>
      </w:r>
      <w:proofErr w:type="spellStart"/>
      <w:r>
        <w:t>Gasdermin</w:t>
      </w:r>
      <w:proofErr w:type="spellEnd"/>
      <w:r>
        <w:t xml:space="preserve"> D pore structure reveals preferential release of mature interleukin-1. Nature 593, 607-611 (2021). https://doi.org:10.1038/s41586-021-03478-3</w:t>
      </w:r>
    </w:p>
    <w:p w14:paraId="185BEED8" w14:textId="77777777" w:rsidR="00760C57" w:rsidRDefault="00760C57" w:rsidP="00760C57">
      <w:r>
        <w:t>28</w:t>
      </w:r>
      <w:r>
        <w:tab/>
        <w:t xml:space="preserve">Zhou, B. &amp; Abbott, D. W. </w:t>
      </w:r>
      <w:proofErr w:type="spellStart"/>
      <w:r>
        <w:t>Gasdermin</w:t>
      </w:r>
      <w:proofErr w:type="spellEnd"/>
      <w:r>
        <w:t xml:space="preserve"> E permits interleukin-1 beta release in distinct </w:t>
      </w:r>
      <w:proofErr w:type="spellStart"/>
      <w:r>
        <w:t>sublytic</w:t>
      </w:r>
      <w:proofErr w:type="spellEnd"/>
      <w:r>
        <w:t xml:space="preserve"> and pyroptotic phases. Cell Reports 35, 108998 (2021). https://doi.org:10.1016/j.celrep.2021.108998</w:t>
      </w:r>
    </w:p>
    <w:p w14:paraId="19E68181" w14:textId="77777777" w:rsidR="00760C57" w:rsidRDefault="00760C57" w:rsidP="00760C57">
      <w:r>
        <w:t>29</w:t>
      </w:r>
      <w:r>
        <w:tab/>
      </w:r>
      <w:proofErr w:type="spellStart"/>
      <w:r>
        <w:t>Kayagaki</w:t>
      </w:r>
      <w:proofErr w:type="spellEnd"/>
      <w:r>
        <w:t>, N. et al. NINJ1 mediates plasma membrane rupture during lytic cell death. Nature 591, 131-136 (2021). https://doi.org:10.1038/s41586-021-03218-7</w:t>
      </w:r>
    </w:p>
    <w:p w14:paraId="3B02EBB5" w14:textId="77777777" w:rsidR="00760C57" w:rsidRDefault="00760C57" w:rsidP="00760C57">
      <w:r>
        <w:t>30</w:t>
      </w:r>
      <w:r>
        <w:tab/>
        <w:t>Rogers, C. et al. Cleavage of DFNA5 by caspase-3 during apoptosis mediates progression to secondary necrotic/pyroptotic cell death. Nature Communications 8 (2017). https://doi.org:10.1038/ncomms14128</w:t>
      </w:r>
    </w:p>
    <w:p w14:paraId="7A196148" w14:textId="77777777" w:rsidR="00760C57" w:rsidRDefault="00760C57" w:rsidP="00760C57">
      <w:r>
        <w:t>31</w:t>
      </w:r>
      <w:r>
        <w:tab/>
        <w:t xml:space="preserve">Wang, Y. et al. Chemotherapy drugs induce </w:t>
      </w:r>
      <w:proofErr w:type="spellStart"/>
      <w:r>
        <w:t>pyroptosis</w:t>
      </w:r>
      <w:proofErr w:type="spellEnd"/>
      <w:r>
        <w:t xml:space="preserve"> through caspase-3 cleavage of a </w:t>
      </w:r>
      <w:proofErr w:type="spellStart"/>
      <w:r>
        <w:t>gasdermin</w:t>
      </w:r>
      <w:proofErr w:type="spellEnd"/>
      <w:r>
        <w:t>. Nature 547, 99-103 (2017). https://doi.org:10.1038/nature22393</w:t>
      </w:r>
    </w:p>
    <w:p w14:paraId="3AB601E4" w14:textId="77777777" w:rsidR="00760C57" w:rsidRDefault="00760C57" w:rsidP="00760C57">
      <w:r>
        <w:t>32</w:t>
      </w:r>
      <w:r>
        <w:tab/>
        <w:t xml:space="preserve">Green, D. R. &amp; </w:t>
      </w:r>
      <w:proofErr w:type="spellStart"/>
      <w:r>
        <w:t>Llambi</w:t>
      </w:r>
      <w:proofErr w:type="spellEnd"/>
      <w:r>
        <w:t>, F. Cell Death Signaling. Cold Spring Harbor Perspectives in Biology 7, a006080 (2015). https://doi.org:10.1101/cshperspect.a006080</w:t>
      </w:r>
    </w:p>
    <w:p w14:paraId="73734F88" w14:textId="77777777" w:rsidR="00760C57" w:rsidRDefault="00760C57" w:rsidP="00760C57">
      <w:r>
        <w:t>33</w:t>
      </w:r>
      <w:r>
        <w:tab/>
        <w:t>Kale, J., Osterlund, E. J. &amp; Andrews, D. W. BCL-2 family proteins: changing partners in the dance towards death. Cell Death &amp;amp; Differentiation 25, 65-80 (2017). https://doi.org:10.1038/cdd.2017.186</w:t>
      </w:r>
    </w:p>
    <w:p w14:paraId="29BF0E17" w14:textId="77777777" w:rsidR="00760C57" w:rsidRDefault="00760C57" w:rsidP="00760C57">
      <w:r>
        <w:t>34</w:t>
      </w:r>
      <w:r>
        <w:tab/>
        <w:t>Kagan, V. E. et al. Cytochrome c acts as a cardiolipin oxygenase required for release of proapoptotic factors. Nature Chemical Biology 1, 223-232 (2005). https://doi.org:10.1038/nchembio727</w:t>
      </w:r>
    </w:p>
    <w:p w14:paraId="218C6199" w14:textId="77777777" w:rsidR="00760C57" w:rsidRDefault="00760C57" w:rsidP="00760C57">
      <w:r>
        <w:lastRenderedPageBreak/>
        <w:t>35</w:t>
      </w:r>
      <w:r>
        <w:tab/>
        <w:t xml:space="preserve">Narendra, D. P. et al. PINK1 Is Selectively Stabilized on Impaired Mitochondria to Activate Parkin. </w:t>
      </w:r>
      <w:proofErr w:type="spellStart"/>
      <w:r>
        <w:t>PLoS</w:t>
      </w:r>
      <w:proofErr w:type="spellEnd"/>
      <w:r>
        <w:t xml:space="preserve"> Biology 8, e1000298 (2010). https://doi.org:10.1371/journal.pbio.1000298</w:t>
      </w:r>
    </w:p>
    <w:p w14:paraId="2188EADF" w14:textId="77777777" w:rsidR="00760C57" w:rsidRDefault="00760C57" w:rsidP="00760C57">
      <w:r>
        <w:t>36</w:t>
      </w:r>
      <w:r>
        <w:tab/>
      </w:r>
      <w:proofErr w:type="spellStart"/>
      <w:r>
        <w:t>Youle</w:t>
      </w:r>
      <w:proofErr w:type="spellEnd"/>
      <w:r>
        <w:t>, R. J. &amp; van der Bliek, A. M. Mitochondrial Fission, Fusion, and Stress. Science 337, 1062-1065 (2012). https://doi.org:10.1126/science.1219855</w:t>
      </w:r>
    </w:p>
    <w:p w14:paraId="1CA74102" w14:textId="77777777" w:rsidR="00760C57" w:rsidRDefault="00760C57" w:rsidP="00760C57">
      <w:r>
        <w:t>37</w:t>
      </w:r>
      <w:r>
        <w:tab/>
        <w:t xml:space="preserve">McNamara, L. K., </w:t>
      </w:r>
      <w:proofErr w:type="spellStart"/>
      <w:r>
        <w:t>Brunzelle</w:t>
      </w:r>
      <w:proofErr w:type="spellEnd"/>
      <w:r>
        <w:t xml:space="preserve">, J. S., </w:t>
      </w:r>
      <w:proofErr w:type="spellStart"/>
      <w:r>
        <w:t>Schavocky</w:t>
      </w:r>
      <w:proofErr w:type="spellEnd"/>
      <w:r>
        <w:t>, J. P., Watterson, D. M. &amp; Grum-</w:t>
      </w:r>
      <w:proofErr w:type="spellStart"/>
      <w:r>
        <w:t>Tokars</w:t>
      </w:r>
      <w:proofErr w:type="spellEnd"/>
      <w:r>
        <w:t xml:space="preserve">, V. Site-directed mutagenesis of the glycine-rich loop of death associated protein kinase (DAPK) identifies it as a key structure for catalytic activity. </w:t>
      </w:r>
      <w:proofErr w:type="spellStart"/>
      <w:r>
        <w:t>Biochimica</w:t>
      </w:r>
      <w:proofErr w:type="spellEnd"/>
      <w:r>
        <w:t xml:space="preserve"> et </w:t>
      </w:r>
      <w:proofErr w:type="spellStart"/>
      <w:r>
        <w:t>Biophysica</w:t>
      </w:r>
      <w:proofErr w:type="spellEnd"/>
      <w:r>
        <w:t xml:space="preserve"> Acta (BBA) - Molecular Cell Research 1813, 1068-1073 (2011). https://doi.org:10.1016/j.bbamcr.2010.11.011</w:t>
      </w:r>
    </w:p>
    <w:p w14:paraId="5775B4F4" w14:textId="77777777" w:rsidR="00760C57" w:rsidRDefault="00760C57" w:rsidP="00760C57">
      <w:r>
        <w:t>38</w:t>
      </w:r>
      <w:r>
        <w:tab/>
        <w:t>Lartigue, L. et al. Caspase-independent Mitochondrial Cell Death Results from Loss of Respiration, Not Cytotoxic Protein Release. Molecular Biology of the Cell 20, 4871-4884 (2009). https://doi.org:10.1091/mbc.e09-07-0649</w:t>
      </w:r>
    </w:p>
    <w:p w14:paraId="59ABDC91" w14:textId="77777777" w:rsidR="00760C57" w:rsidRDefault="00760C57" w:rsidP="00760C57">
      <w:r>
        <w:t>39</w:t>
      </w:r>
      <w:r>
        <w:tab/>
        <w:t xml:space="preserve">Riley, J. S. et al. Mitochondrial inner membrane </w:t>
      </w:r>
      <w:proofErr w:type="spellStart"/>
      <w:r>
        <w:t>permeabilisation</w:t>
      </w:r>
      <w:proofErr w:type="spellEnd"/>
      <w:r>
        <w:t xml:space="preserve"> enables mt &lt;</w:t>
      </w:r>
      <w:proofErr w:type="spellStart"/>
      <w:r>
        <w:t>scp</w:t>
      </w:r>
      <w:proofErr w:type="spellEnd"/>
      <w:r>
        <w:t>&gt;DNA&lt;/</w:t>
      </w:r>
      <w:proofErr w:type="spellStart"/>
      <w:r>
        <w:t>scp</w:t>
      </w:r>
      <w:proofErr w:type="spellEnd"/>
      <w:r>
        <w:t>&gt; release during apoptosis. The EMBO Journal 37 (2018). https://doi.org:10.15252/embj.201899238</w:t>
      </w:r>
    </w:p>
    <w:p w14:paraId="31397E0B" w14:textId="77777777" w:rsidR="00760C57" w:rsidRDefault="00760C57" w:rsidP="00760C57">
      <w:r>
        <w:t>40</w:t>
      </w:r>
      <w:r>
        <w:tab/>
        <w:t xml:space="preserve">McArthur, K. et al. BAK/BAX macropores facilitate mitochondrial herniation and </w:t>
      </w:r>
      <w:proofErr w:type="spellStart"/>
      <w:r>
        <w:t>mtDNA</w:t>
      </w:r>
      <w:proofErr w:type="spellEnd"/>
      <w:r>
        <w:t xml:space="preserve"> efflux during apoptosis. Science 359 (2018). https://doi.org:10.1126/science.aao6047</w:t>
      </w:r>
    </w:p>
    <w:p w14:paraId="05A53DE6" w14:textId="77777777" w:rsidR="00760C57" w:rsidRDefault="00760C57" w:rsidP="00760C57">
      <w:r>
        <w:t>41</w:t>
      </w:r>
      <w:r>
        <w:tab/>
        <w:t>Killarney, S. T. et al. Executioner caspases restrict mitochondrial RNA-driven Type I IFN induction during chemotherapy-induced apoptosis. Nature Communications 14 (2023). https://doi.org:10.1038/s41467-023-37146-z</w:t>
      </w:r>
    </w:p>
    <w:p w14:paraId="2F444220" w14:textId="77777777" w:rsidR="00760C57" w:rsidRDefault="00760C57" w:rsidP="00760C57">
      <w:r>
        <w:t>42</w:t>
      </w:r>
      <w:r>
        <w:tab/>
        <w:t xml:space="preserve">Dhir, A. et al. Mitochondrial double-stranded RNA triggers antiviral </w:t>
      </w:r>
      <w:proofErr w:type="spellStart"/>
      <w:r>
        <w:t>signalling</w:t>
      </w:r>
      <w:proofErr w:type="spellEnd"/>
      <w:r>
        <w:t xml:space="preserve"> in humans. Nature 560, 238-242 (2018). https://doi.org:10.1038/s41586-018-0363-0</w:t>
      </w:r>
    </w:p>
    <w:p w14:paraId="68A9877C" w14:textId="77777777" w:rsidR="00760C57" w:rsidRDefault="00760C57" w:rsidP="00760C57">
      <w:r>
        <w:t>43</w:t>
      </w:r>
      <w:r>
        <w:tab/>
        <w:t xml:space="preserve">White, Michael J. et al. Apoptotic Caspases Suppress </w:t>
      </w:r>
      <w:proofErr w:type="spellStart"/>
      <w:r>
        <w:t>mtDNA</w:t>
      </w:r>
      <w:proofErr w:type="spellEnd"/>
      <w:r>
        <w:t>-Induced STING-Mediated Type I IFN Production. Cell 159, 1549-1562 (2014). https://doi.org:10.1016/j.cell.2014.11.036</w:t>
      </w:r>
    </w:p>
    <w:p w14:paraId="4ABF9349" w14:textId="77777777" w:rsidR="00760C57" w:rsidRDefault="00760C57" w:rsidP="00760C57">
      <w:r>
        <w:t>44</w:t>
      </w:r>
      <w:r>
        <w:tab/>
      </w:r>
      <w:proofErr w:type="spellStart"/>
      <w:r>
        <w:t>Rongvaux</w:t>
      </w:r>
      <w:proofErr w:type="spellEnd"/>
      <w:r>
        <w:t>, A. et al. Apoptotic Caspases Prevent the Induction of Type I Interferons by Mitochondrial DNA. Cell 159, 1563-1577 (2014). https://doi.org:10.1016/j.cell.2014.11.037</w:t>
      </w:r>
    </w:p>
    <w:p w14:paraId="32823F4C" w14:textId="77777777" w:rsidR="00760C57" w:rsidRDefault="00760C57" w:rsidP="00760C57">
      <w:r>
        <w:t>45</w:t>
      </w:r>
      <w:r>
        <w:tab/>
      </w:r>
      <w:proofErr w:type="spellStart"/>
      <w:r>
        <w:t>Giampazolias</w:t>
      </w:r>
      <w:proofErr w:type="spellEnd"/>
      <w:r>
        <w:t>, E. et al. Mitochondrial permeabilization engages NF-</w:t>
      </w:r>
      <w:proofErr w:type="spellStart"/>
      <w:r>
        <w:t>κB</w:t>
      </w:r>
      <w:proofErr w:type="spellEnd"/>
      <w:r>
        <w:t>-dependent anti-</w:t>
      </w:r>
      <w:proofErr w:type="spellStart"/>
      <w:r>
        <w:t>tumour</w:t>
      </w:r>
      <w:proofErr w:type="spellEnd"/>
      <w:r>
        <w:t xml:space="preserve"> activity under caspase deficiency. Nature Cell Biology 19, 1116-1129 (2017). https://doi.org:10.1038/ncb3596</w:t>
      </w:r>
    </w:p>
    <w:p w14:paraId="49C3100A" w14:textId="77777777" w:rsidR="00760C57" w:rsidRDefault="00760C57" w:rsidP="00760C57">
      <w:r>
        <w:t>46</w:t>
      </w:r>
      <w:r>
        <w:tab/>
        <w:t>Ichim, G. et al. Limited Mitochondrial Permeabilization Causes DNA Damage and Genomic Instability in the Absence of Cell Death. Molecular Cell 57, 860-872 (2015). https://doi.org:10.1016/j.molcel.2015.01.018</w:t>
      </w:r>
    </w:p>
    <w:p w14:paraId="5B4B29C5" w14:textId="77777777" w:rsidR="00760C57" w:rsidRDefault="00760C57" w:rsidP="00760C57">
      <w:r>
        <w:t>47</w:t>
      </w:r>
      <w:r>
        <w:tab/>
        <w:t>Colell, A. et al. GAPDH and Autophagy Preserve Survival after Apoptotic Cytochrome c Release in the Absence of Caspase Activation. Cell 129, 983-997 (2007). https://doi.org:10.1016/j.cell.2007.03.045</w:t>
      </w:r>
    </w:p>
    <w:p w14:paraId="6D8E581C" w14:textId="77777777" w:rsidR="00760C57" w:rsidRDefault="00760C57" w:rsidP="00760C57">
      <w:r>
        <w:t>48</w:t>
      </w:r>
      <w:r>
        <w:tab/>
        <w:t>Jiang, X., Jiang, H., Shen, Z. &amp; Wang, X. Activation of mitochondrial protease OMA1 by Bax and Bak promotes cytochrome c release during apoptosis. Proceedings of the National Academy of Sciences 111, 14782-14787 (2014). https://doi.org:10.1073/pnas.1417253111</w:t>
      </w:r>
    </w:p>
    <w:p w14:paraId="08D71972" w14:textId="77777777" w:rsidR="00760C57" w:rsidRDefault="00760C57" w:rsidP="00760C57">
      <w:r>
        <w:t>49</w:t>
      </w:r>
      <w:r>
        <w:tab/>
      </w:r>
      <w:proofErr w:type="spellStart"/>
      <w:r>
        <w:t>Platnich</w:t>
      </w:r>
      <w:proofErr w:type="spellEnd"/>
      <w:r>
        <w:t xml:space="preserve">, J. M. et al. Shiga Toxin/Lipopolysaccharide Activates Caspase-4 and </w:t>
      </w:r>
      <w:proofErr w:type="spellStart"/>
      <w:r>
        <w:t>Gasdermin</w:t>
      </w:r>
      <w:proofErr w:type="spellEnd"/>
      <w:r>
        <w:t xml:space="preserve"> D to Trigger Mitochondrial Reactive Oxygen Species Upstream of the NLRP3 Inflammasome. Cell Reports 25, 1525-1536.e1527 (2018). https://doi.org:10.1016/j.celrep.2018.09.071</w:t>
      </w:r>
    </w:p>
    <w:p w14:paraId="3EF7D3DA" w14:textId="77777777" w:rsidR="00760C57" w:rsidRDefault="00760C57" w:rsidP="00760C57">
      <w:r>
        <w:t>50</w:t>
      </w:r>
      <w:r>
        <w:tab/>
        <w:t xml:space="preserve">Torre‐Minguela, C., Gómez, A. I., </w:t>
      </w:r>
      <w:proofErr w:type="spellStart"/>
      <w:r>
        <w:t>Couillin</w:t>
      </w:r>
      <w:proofErr w:type="spellEnd"/>
      <w:r>
        <w:t xml:space="preserve">, I. &amp; Pelegrín, P. </w:t>
      </w:r>
      <w:proofErr w:type="spellStart"/>
      <w:r>
        <w:t>Gasdermins</w:t>
      </w:r>
      <w:proofErr w:type="spellEnd"/>
      <w:r>
        <w:t xml:space="preserve"> mediate cellular release of mitochondrial DNA during </w:t>
      </w:r>
      <w:proofErr w:type="spellStart"/>
      <w:r>
        <w:t>pyroptosis</w:t>
      </w:r>
      <w:proofErr w:type="spellEnd"/>
      <w:r>
        <w:t xml:space="preserve"> and apoptosis. The FASEB Journal 35 (2021). https://doi.org:10.1096/fj.202100085r</w:t>
      </w:r>
    </w:p>
    <w:p w14:paraId="448716D4" w14:textId="77777777" w:rsidR="00760C57" w:rsidRDefault="00760C57" w:rsidP="00760C57">
      <w:r>
        <w:lastRenderedPageBreak/>
        <w:t>51</w:t>
      </w:r>
      <w:r>
        <w:tab/>
      </w:r>
      <w:proofErr w:type="spellStart"/>
      <w:r>
        <w:t>Kondolf</w:t>
      </w:r>
      <w:proofErr w:type="spellEnd"/>
      <w:r>
        <w:t xml:space="preserve">, H. C., D'Orlando, D. A., Dubyak, G. R. &amp; Abbott, D. W. Protein engineering reveals that </w:t>
      </w:r>
      <w:proofErr w:type="spellStart"/>
      <w:r>
        <w:t>gasdermin</w:t>
      </w:r>
      <w:proofErr w:type="spellEnd"/>
      <w:r>
        <w:t xml:space="preserve"> A preferentially targets mitochondrial membranes over the plasma membrane during </w:t>
      </w:r>
      <w:proofErr w:type="spellStart"/>
      <w:r>
        <w:t>pyroptosis</w:t>
      </w:r>
      <w:proofErr w:type="spellEnd"/>
      <w:r>
        <w:t>. J Biol Chem 299, 102908 (2023). https://doi.org:10.1016/j.jbc.2023.102908</w:t>
      </w:r>
    </w:p>
    <w:p w14:paraId="0D83AB8B" w14:textId="77777777" w:rsidR="00760C57" w:rsidRDefault="00760C57" w:rsidP="00760C57">
      <w:r>
        <w:t>52</w:t>
      </w:r>
      <w:r>
        <w:tab/>
        <w:t xml:space="preserve">Weindel, C. G. et al. Mitochondrial ROS promotes susceptibility to infection via </w:t>
      </w:r>
      <w:proofErr w:type="spellStart"/>
      <w:r>
        <w:t>gasdermin</w:t>
      </w:r>
      <w:proofErr w:type="spellEnd"/>
      <w:r>
        <w:t xml:space="preserve"> D-mediated necroptosis. Cell 185, 3214-3231.e3223 (2022). https://doi.org:10.1016/j.cell.2022.06.038</w:t>
      </w:r>
    </w:p>
    <w:p w14:paraId="0F58B5E3" w14:textId="77777777" w:rsidR="00760C57" w:rsidRDefault="00760C57" w:rsidP="00760C57">
      <w:r>
        <w:t>53</w:t>
      </w:r>
      <w:r>
        <w:tab/>
        <w:t>Su, L. et al. A Plug Release Mechanism for Membrane Permeation by MLKL. Structure 22, 1489-1500 (2014). https://doi.org:10.1016/j.str.2014.07.014</w:t>
      </w:r>
    </w:p>
    <w:p w14:paraId="59467664" w14:textId="77777777" w:rsidR="00760C57" w:rsidRDefault="00760C57" w:rsidP="00760C57">
      <w:r>
        <w:t>54</w:t>
      </w:r>
      <w:r>
        <w:tab/>
        <w:t xml:space="preserve">Rogers, C. et al. </w:t>
      </w:r>
      <w:proofErr w:type="spellStart"/>
      <w:r>
        <w:t>Gasdermin</w:t>
      </w:r>
      <w:proofErr w:type="spellEnd"/>
      <w:r>
        <w:t xml:space="preserve"> pores permeabilize mitochondria to augment caspase-3 activation during apoptosis and inflammasome activation. Nature Communications 10 (2019). https://doi.org:10.1038/s41467-019-09397-2</w:t>
      </w:r>
    </w:p>
    <w:p w14:paraId="7F38CB9E" w14:textId="77777777" w:rsidR="00760C57" w:rsidRDefault="00760C57" w:rsidP="00760C57">
      <w:r>
        <w:t>55</w:t>
      </w:r>
      <w:r>
        <w:tab/>
        <w:t xml:space="preserve">Orzalli, M. H. et al. Virus-mediated inactivation of anti-apoptotic Bcl-2 family members promotes </w:t>
      </w:r>
      <w:proofErr w:type="spellStart"/>
      <w:r>
        <w:t>Gasdermin</w:t>
      </w:r>
      <w:proofErr w:type="spellEnd"/>
      <w:r>
        <w:t xml:space="preserve">-E-dependent </w:t>
      </w:r>
      <w:proofErr w:type="spellStart"/>
      <w:r>
        <w:t>pyroptosis</w:t>
      </w:r>
      <w:proofErr w:type="spellEnd"/>
      <w:r>
        <w:t xml:space="preserve"> in barrier epithelial cells. Immunity 54, 1447-1462.e1445 (2021). https://doi.org:10.1016/j.immuni.2021.04.012</w:t>
      </w:r>
    </w:p>
    <w:p w14:paraId="40E85ED0" w14:textId="77777777" w:rsidR="00760C57" w:rsidRDefault="00760C57" w:rsidP="00760C57">
      <w:r>
        <w:t>56</w:t>
      </w:r>
      <w:r>
        <w:tab/>
        <w:t>Vince, J. E. et al. The Mitochondrial Apoptotic Effectors BAX/BAK Activate Caspase-3 and -7 to Trigger NLRP3 Inflammasome and Caspase-8 Driven IL-1β Activation. Cell Reports 25, 2339-2353.e2334 (2018). https://doi.org:10.1016/j.celrep.2018.10.103</w:t>
      </w:r>
    </w:p>
    <w:p w14:paraId="2D8A397D" w14:textId="77777777" w:rsidR="00760C57" w:rsidRDefault="00760C57" w:rsidP="00760C57">
      <w:r>
        <w:t>57</w:t>
      </w:r>
      <w:r>
        <w:tab/>
        <w:t>Chauhan, D. et al. BAX/BAK-Induced Apoptosis Results in Caspase-8-Dependent IL-1β Maturation in Macrophages. Cell Reports 25, 2354-2368.e2355 (2018). https://doi.org:10.1016/j.celrep.2018.10.087</w:t>
      </w:r>
    </w:p>
    <w:p w14:paraId="2ACC47C7" w14:textId="77777777" w:rsidR="00760C57" w:rsidRDefault="00760C57" w:rsidP="00760C57">
      <w:r>
        <w:t>58</w:t>
      </w:r>
      <w:r>
        <w:tab/>
        <w:t>He, S. et al. Receptor Interacting Protein Kinase-3 Determines Cellular Necrotic Response to TNF-α. Cell 137, 1100-1111 (2009). https://doi.org:10.1016/j.cell.2009.05.021</w:t>
      </w:r>
    </w:p>
    <w:p w14:paraId="79EA6F30" w14:textId="77777777" w:rsidR="00760C57" w:rsidRDefault="00760C57" w:rsidP="00760C57">
      <w:r>
        <w:t>59</w:t>
      </w:r>
      <w:r>
        <w:tab/>
        <w:t xml:space="preserve">Hildebrand, J. M. et al. Activation of the </w:t>
      </w:r>
      <w:proofErr w:type="spellStart"/>
      <w:r>
        <w:t>pseudokinase</w:t>
      </w:r>
      <w:proofErr w:type="spellEnd"/>
      <w:r>
        <w:t xml:space="preserve"> MLKL unleashes the four-helix bundle domain to induce membrane localization and necroptotic cell death. Proceedings of the National Academy of Sciences 111, 15072-15077 (2014). https://doi.org:10.1073/pnas.1408987111</w:t>
      </w:r>
    </w:p>
    <w:p w14:paraId="31B872BC" w14:textId="77777777" w:rsidR="00760C57" w:rsidRDefault="00760C57" w:rsidP="00760C57">
      <w:r>
        <w:t>60</w:t>
      </w:r>
      <w:r>
        <w:tab/>
        <w:t xml:space="preserve">Petrie, E. J. et al. Conformational switching of the </w:t>
      </w:r>
      <w:proofErr w:type="spellStart"/>
      <w:r>
        <w:t>pseudokinase</w:t>
      </w:r>
      <w:proofErr w:type="spellEnd"/>
      <w:r>
        <w:t xml:space="preserve"> domain promotes human MLKL tetramerization and cell death by necroptosis. Nature Communications 9 (2018). https://doi.org:10.1038/s41467-018-04714-7</w:t>
      </w:r>
    </w:p>
    <w:p w14:paraId="0C16582A" w14:textId="77777777" w:rsidR="00760C57" w:rsidRDefault="00760C57" w:rsidP="00760C57">
      <w:r>
        <w:t>61</w:t>
      </w:r>
      <w:r>
        <w:tab/>
        <w:t>Wang, H. et al. Mixed Lineage Kinase Domain-like Protein MLKL Causes Necrotic Membrane Disruption upon Phosphorylation by RIP3. Molecular Cell 54, 133-146 (2014). https://doi.org:10.1016/j.molcel.2014.03.003</w:t>
      </w:r>
    </w:p>
    <w:p w14:paraId="5040E9C5" w14:textId="77777777" w:rsidR="00760C57" w:rsidRDefault="00760C57" w:rsidP="00760C57">
      <w:r>
        <w:t>62</w:t>
      </w:r>
      <w:r>
        <w:tab/>
      </w:r>
      <w:proofErr w:type="spellStart"/>
      <w:r>
        <w:t>Remijsen</w:t>
      </w:r>
      <w:proofErr w:type="spellEnd"/>
      <w:r>
        <w:t>, Q. et al. Depletion of RIPK3 or MLKL blocks TNF-driven necroptosis and switches towards a delayed RIPK1 kinase-dependent apoptosis. Cell Death &amp;amp; Disease 5, e1004-e1004 (2014). https://doi.org:10.1038/cddis.2013.531</w:t>
      </w:r>
    </w:p>
    <w:p w14:paraId="65551257" w14:textId="77777777" w:rsidR="00760C57" w:rsidRDefault="00760C57" w:rsidP="00760C57">
      <w:r>
        <w:t>63</w:t>
      </w:r>
      <w:r>
        <w:tab/>
      </w:r>
      <w:proofErr w:type="spellStart"/>
      <w:r>
        <w:t>Moujalled</w:t>
      </w:r>
      <w:proofErr w:type="spellEnd"/>
      <w:r>
        <w:t>, D. et al. The necroptotic cell death pathway operates in megakaryocytes, but not in platelet synthesis. Cell Death &amp;amp; Disease 12 (2021). https://doi.org:10.1038/s41419-021-03418-z</w:t>
      </w:r>
    </w:p>
    <w:p w14:paraId="0BAD8367" w14:textId="77777777" w:rsidR="00760C57" w:rsidRDefault="00760C57" w:rsidP="00760C57">
      <w:r>
        <w:t>64</w:t>
      </w:r>
      <w:r>
        <w:tab/>
        <w:t xml:space="preserve">Murphy, James M. et al. The </w:t>
      </w:r>
      <w:proofErr w:type="spellStart"/>
      <w:r>
        <w:t>Pseudokinase</w:t>
      </w:r>
      <w:proofErr w:type="spellEnd"/>
      <w:r>
        <w:t xml:space="preserve"> MLKL Mediates Necroptosis via a Molecular Switch Mechanism. Immunity 39, 443-453 (2013). https://doi.org:10.1016/j.immuni.2013.06.018</w:t>
      </w:r>
    </w:p>
    <w:p w14:paraId="1A96BA32" w14:textId="77777777" w:rsidR="00760C57" w:rsidRDefault="00760C57" w:rsidP="00760C57">
      <w:r>
        <w:t>65</w:t>
      </w:r>
      <w:r>
        <w:tab/>
        <w:t xml:space="preserve">Tait, Stephen W. G. et al. Widespread Mitochondrial Depletion via Mitophagy Does Not Compromise Necroptosis. Cell Reports 5, 878-885 (2013). </w:t>
      </w:r>
      <w:r>
        <w:lastRenderedPageBreak/>
        <w:t>https://doi.org:10.1016/j.celrep.2013.10.034</w:t>
      </w:r>
    </w:p>
    <w:p w14:paraId="2371D759" w14:textId="77777777" w:rsidR="00760C57" w:rsidRDefault="00760C57" w:rsidP="00760C57">
      <w:r>
        <w:t>66</w:t>
      </w:r>
      <w:r>
        <w:tab/>
        <w:t>Dixon, Scott J. et al. Ferroptosis: An Iron-Dependent Form of Nonapoptotic Cell Death. Cell 149, 1060-1072 (2012). https://doi.org:10.1016/j.cell.2012.03.042</w:t>
      </w:r>
    </w:p>
    <w:p w14:paraId="615F3A3C" w14:textId="77777777" w:rsidR="00760C57" w:rsidRDefault="00760C57" w:rsidP="00760C57">
      <w:r>
        <w:t>67</w:t>
      </w:r>
      <w:r>
        <w:tab/>
        <w:t>Gan, B. Mitochondrial regulation of ferroptosis. Journal of Cell Biology 220 (2021). https://doi.org:10.1083/jcb.202105043</w:t>
      </w:r>
    </w:p>
    <w:p w14:paraId="1D4A05E3" w14:textId="77777777" w:rsidR="00760C57" w:rsidRDefault="00760C57" w:rsidP="00760C57">
      <w:r>
        <w:t>68</w:t>
      </w:r>
      <w:r>
        <w:tab/>
        <w:t>Friedmann Angeli, J. P. et al. Inactivation of the ferroptosis regulator Gpx4 triggers acute renal failure in mice. Nature Cell Biology 16, 1180-1191 (2014). https://doi.org:10.1038/ncb3064</w:t>
      </w:r>
    </w:p>
    <w:p w14:paraId="3BD09322" w14:textId="77777777" w:rsidR="00760C57" w:rsidRDefault="00760C57" w:rsidP="00760C57">
      <w:r>
        <w:t>69</w:t>
      </w:r>
      <w:r>
        <w:tab/>
        <w:t>Gao, M. et al. Role of Mitochondria in Ferroptosis. Molecular Cell 73, 354-363.e353 (2019). https://doi.org:10.1016/j.molcel.2018.10.042</w:t>
      </w:r>
    </w:p>
    <w:p w14:paraId="4BA945A2" w14:textId="77777777" w:rsidR="00760C57" w:rsidRDefault="00760C57" w:rsidP="00760C57">
      <w:r>
        <w:t>70</w:t>
      </w:r>
      <w:r>
        <w:tab/>
        <w:t>Jelinek, A. et al. Mitochondrial rescue prevents glutathione peroxidase-dependent ferroptosis. Free Radical Biology and Medicine 117, 45-57 (2018). https://doi.org:10.1016/j.freeradbiomed.2018.01.019</w:t>
      </w:r>
    </w:p>
    <w:p w14:paraId="37E1403A" w14:textId="77777777" w:rsidR="00760C57" w:rsidRDefault="00760C57" w:rsidP="00760C57">
      <w:r>
        <w:t>71</w:t>
      </w:r>
      <w:r>
        <w:tab/>
        <w:t>.</w:t>
      </w:r>
    </w:p>
    <w:p w14:paraId="5769CBE2" w14:textId="77777777" w:rsidR="00760C57" w:rsidRDefault="00760C57" w:rsidP="00760C57">
      <w:r>
        <w:t>72</w:t>
      </w:r>
      <w:r>
        <w:tab/>
        <w:t>Heid, M. E. et al. Mitochondrial Reactive Oxygen Species Induces NLRP3-Dependent Lysosomal Damage and Inflammasome Activation. The Journal of Immunology 191, 5230-5238 (2013). https://doi.org:10.4049/jimmunol.1301490</w:t>
      </w:r>
    </w:p>
    <w:p w14:paraId="10BF7CA3" w14:textId="77777777" w:rsidR="00760C57" w:rsidRDefault="00760C57" w:rsidP="00760C57">
      <w:r>
        <w:t>73</w:t>
      </w:r>
      <w:r>
        <w:tab/>
        <w:t xml:space="preserve">Polus, A. et al. Omega-3 fatty acid supplementation influences the whole blood transcriptome in women with obesity, associated with pro-resolving lipid mediator production. </w:t>
      </w:r>
      <w:proofErr w:type="spellStart"/>
      <w:r>
        <w:t>Biochimica</w:t>
      </w:r>
      <w:proofErr w:type="spellEnd"/>
      <w:r>
        <w:t xml:space="preserve"> et </w:t>
      </w:r>
      <w:proofErr w:type="spellStart"/>
      <w:r>
        <w:t>Biophysica</w:t>
      </w:r>
      <w:proofErr w:type="spellEnd"/>
      <w:r>
        <w:t xml:space="preserve"> Acta (BBA) - Molecular and Cell Biology of Lipids 1861, 1746-1755 (2016). https://doi.org:10.1016/j.bbalip.2016.08.005</w:t>
      </w:r>
    </w:p>
    <w:p w14:paraId="1D1D4365" w14:textId="77777777" w:rsidR="00760C57" w:rsidRDefault="00760C57" w:rsidP="00760C57">
      <w:r>
        <w:t>74</w:t>
      </w:r>
      <w:r>
        <w:tab/>
        <w:t xml:space="preserve">Laer, L. V. et al. </w:t>
      </w:r>
      <w:proofErr w:type="spellStart"/>
      <w:r>
        <w:t>Nonsyndromic</w:t>
      </w:r>
      <w:proofErr w:type="spellEnd"/>
      <w:r>
        <w:t xml:space="preserve"> hearing impairment is associated with a mutation in DFNA5. Nature Genetics 20, 194-197 (1998). https://doi.org:10.1038/2503</w:t>
      </w:r>
    </w:p>
    <w:p w14:paraId="06AF4CCA" w14:textId="77777777" w:rsidR="00760C57" w:rsidRDefault="00760C57" w:rsidP="00760C57">
      <w:r>
        <w:t>75</w:t>
      </w:r>
      <w:r>
        <w:tab/>
        <w:t xml:space="preserve">Neel, D. V. et al. </w:t>
      </w:r>
      <w:proofErr w:type="spellStart"/>
      <w:r>
        <w:t>Gasdermin</w:t>
      </w:r>
      <w:proofErr w:type="spellEnd"/>
      <w:r>
        <w:t>-E mediates mitochondrial damage in axons and neurodegeneration. Neuron 111, 1222-1240.e1229 (2023). https://doi.org:10.1016/j.neuron.2023.02.019</w:t>
      </w:r>
    </w:p>
    <w:p w14:paraId="0E21A5B9" w14:textId="77777777" w:rsidR="00760C57" w:rsidRDefault="00760C57" w:rsidP="00760C57">
      <w:r>
        <w:t>76</w:t>
      </w:r>
      <w:r>
        <w:tab/>
      </w:r>
      <w:proofErr w:type="spellStart"/>
      <w:r>
        <w:t>Raemy</w:t>
      </w:r>
      <w:proofErr w:type="spellEnd"/>
      <w:r>
        <w:t xml:space="preserve">, E. &amp; </w:t>
      </w:r>
      <w:proofErr w:type="spellStart"/>
      <w:r>
        <w:t>Martinou</w:t>
      </w:r>
      <w:proofErr w:type="spellEnd"/>
      <w:r>
        <w:t xml:space="preserve">, J.-C. Involvement of cardiolipin in </w:t>
      </w:r>
      <w:proofErr w:type="spellStart"/>
      <w:r>
        <w:t>tBID</w:t>
      </w:r>
      <w:proofErr w:type="spellEnd"/>
      <w:r>
        <w:t>-induced activation of BAX during apoptosis. Chemistry and Physics of Lipids 179, 70-74 (2014). https://doi.org:10.1016/j.chemphyslip.2013.12.002</w:t>
      </w:r>
    </w:p>
    <w:p w14:paraId="3BDF507F" w14:textId="77777777" w:rsidR="00760C57" w:rsidRDefault="00760C57" w:rsidP="00760C57">
      <w:r>
        <w:t>77</w:t>
      </w:r>
      <w:r>
        <w:tab/>
        <w:t xml:space="preserve">Jiang, J. et al. Interplay between </w:t>
      </w:r>
      <w:proofErr w:type="spellStart"/>
      <w:r>
        <w:t>bax</w:t>
      </w:r>
      <w:proofErr w:type="spellEnd"/>
      <w:r>
        <w:t>, reactive oxygen species production, and cardiolipin oxidation during apoptosis. Biochemical and Biophysical Research Communications 368, 145-150 (2008). https://doi.org:10.1016/j.bbrc.2008.01.055</w:t>
      </w:r>
    </w:p>
    <w:p w14:paraId="011FEB03" w14:textId="77777777" w:rsidR="00760C57" w:rsidRDefault="00760C57" w:rsidP="00760C57">
      <w:r>
        <w:t>78</w:t>
      </w:r>
      <w:r>
        <w:tab/>
        <w:t>Zhu, M., Tang, X., Gong, Z., Tang, W. &amp; Zhang, Y. TAD1822-7 induces ROS-mediated apoptosis of HER2 positive breast cancer by decreasing E-cadherin in an EphB4 dependent manner. Life Sciences 285, 119954 (2021). https://doi.org:10.1016/j.lfs.2021.119954</w:t>
      </w:r>
    </w:p>
    <w:p w14:paraId="40878185" w14:textId="77777777" w:rsidR="00760C57" w:rsidRDefault="00760C57" w:rsidP="00760C57"/>
    <w:p w14:paraId="2980A456" w14:textId="77777777" w:rsidR="00760C57" w:rsidRDefault="00760C57" w:rsidP="00760C57">
      <w:r>
        <w:t>79</w:t>
      </w:r>
      <w:r>
        <w:tab/>
        <w:t xml:space="preserve">Shi, X. et al. </w:t>
      </w:r>
      <w:proofErr w:type="spellStart"/>
      <w:r>
        <w:t>Homoharringtonine</w:t>
      </w:r>
      <w:proofErr w:type="spellEnd"/>
      <w:r>
        <w:t xml:space="preserve"> suppresses </w:t>
      </w:r>
      <w:proofErr w:type="spellStart"/>
      <w:r>
        <w:t>LoVo</w:t>
      </w:r>
      <w:proofErr w:type="spellEnd"/>
      <w:r>
        <w:t xml:space="preserve"> cell growth by inhibiting EphB4 and the PI3K/AKT and MAPK/EKR1/2 signaling pathways. Food and Chemical Toxicology 136, 110960 (2020). https://doi.org:10.1016/j.fct.2019.110960</w:t>
      </w:r>
    </w:p>
    <w:p w14:paraId="472D2E17" w14:textId="77777777" w:rsidR="00760C57" w:rsidRDefault="00760C57" w:rsidP="00760C57">
      <w:r>
        <w:t>80</w:t>
      </w:r>
      <w:r>
        <w:tab/>
        <w:t xml:space="preserve">El </w:t>
      </w:r>
      <w:proofErr w:type="spellStart"/>
      <w:r>
        <w:t>Zawily</w:t>
      </w:r>
      <w:proofErr w:type="spellEnd"/>
      <w:r>
        <w:t xml:space="preserve">, A. M. et al. The intrinsically kinase-inactive EPHB6 receptor predisposes cancer cells to DR5-induced apoptosis by promoting mitochondrial fragmentation. </w:t>
      </w:r>
      <w:proofErr w:type="spellStart"/>
      <w:r>
        <w:t>Oncotarget</w:t>
      </w:r>
      <w:proofErr w:type="spellEnd"/>
      <w:r>
        <w:t xml:space="preserve"> 7, 77865-77877 (2016). https://doi.org:10.18632/oncotarget.12838</w:t>
      </w:r>
    </w:p>
    <w:p w14:paraId="2B4E00B3" w14:textId="77777777" w:rsidR="00760C57" w:rsidRDefault="00760C57" w:rsidP="00760C57">
      <w:r>
        <w:t>81</w:t>
      </w:r>
      <w:r>
        <w:tab/>
        <w:t xml:space="preserve">Ma, H. et al. Eph receptor A4 regulates motor neuron ferroptosis in spinal cord ischemia/reperfusion injury in rats. Neural Regeneration Research 18, 2219 (2023). </w:t>
      </w:r>
      <w:r>
        <w:lastRenderedPageBreak/>
        <w:t>https://doi.org:10.4103/1673-5374.369118</w:t>
      </w:r>
    </w:p>
    <w:p w14:paraId="6A7D8C6C" w14:textId="77777777" w:rsidR="00760C57" w:rsidRDefault="00760C57" w:rsidP="00760C57">
      <w:r>
        <w:t>82</w:t>
      </w:r>
      <w:r>
        <w:tab/>
        <w:t>Degen, M. et al. Structural basis of NINJ1-mediated plasma membrane rupture in cell death. Nature 618, 1065-1071 (2023). https://doi.org:10.1038/s41586-023-05991-z</w:t>
      </w:r>
    </w:p>
    <w:p w14:paraId="6D80EA51" w14:textId="77777777" w:rsidR="00760C57" w:rsidRDefault="00760C57" w:rsidP="00760C57">
      <w:r>
        <w:t>83</w:t>
      </w:r>
      <w:r>
        <w:tab/>
      </w:r>
      <w:proofErr w:type="spellStart"/>
      <w:r>
        <w:t>Schlame</w:t>
      </w:r>
      <w:proofErr w:type="spellEnd"/>
      <w:r>
        <w:t>, M. &amp; Ren, M. Barth syndrome, a human disorder of cardiolipin metabolism. FEBS Letters 580, 5450-5455 (2006). https://doi.org:10.1016/j.febslet.2006.07.022</w:t>
      </w:r>
    </w:p>
    <w:p w14:paraId="05AA1286" w14:textId="77777777" w:rsidR="00760C57" w:rsidRDefault="00760C57" w:rsidP="00760C57">
      <w:r>
        <w:t>84</w:t>
      </w:r>
      <w:r>
        <w:tab/>
        <w:t xml:space="preserve">Petit, J. M., </w:t>
      </w:r>
      <w:proofErr w:type="spellStart"/>
      <w:r>
        <w:t>Maftah</w:t>
      </w:r>
      <w:proofErr w:type="spellEnd"/>
      <w:r>
        <w:t xml:space="preserve">, A., </w:t>
      </w:r>
      <w:proofErr w:type="spellStart"/>
      <w:r>
        <w:t>Ratinaud</w:t>
      </w:r>
      <w:proofErr w:type="spellEnd"/>
      <w:r>
        <w:t>, M. H. &amp; Julien, R. 10&lt;</w:t>
      </w:r>
      <w:proofErr w:type="spellStart"/>
      <w:r>
        <w:t>i</w:t>
      </w:r>
      <w:proofErr w:type="spellEnd"/>
      <w:r>
        <w:t>&gt;N&lt;/</w:t>
      </w:r>
      <w:proofErr w:type="spellStart"/>
      <w:r>
        <w:t>i</w:t>
      </w:r>
      <w:proofErr w:type="spellEnd"/>
      <w:r>
        <w:t>&gt;‐Nonyl acridine orange interacts with cardiolipin and allows the quantification of this phospholipid in isolated mitochondria. European Journal of Biochemistry 209, 267-273 (1992). https://doi.org:10.1111/j.1432-1033.1992.tb17285.x</w:t>
      </w:r>
    </w:p>
    <w:p w14:paraId="68956423" w14:textId="77777777" w:rsidR="00760C57" w:rsidRDefault="00760C57" w:rsidP="00760C57">
      <w:r>
        <w:t>85</w:t>
      </w:r>
      <w:r>
        <w:tab/>
        <w:t xml:space="preserve">Branca, R. M. M. et al. </w:t>
      </w:r>
      <w:proofErr w:type="spellStart"/>
      <w:r>
        <w:t>HiRIEF</w:t>
      </w:r>
      <w:proofErr w:type="spellEnd"/>
      <w:r>
        <w:t xml:space="preserve"> LC-MS enables deep proteome coverage and unbiased </w:t>
      </w:r>
      <w:proofErr w:type="spellStart"/>
      <w:r>
        <w:t>proteogenomics</w:t>
      </w:r>
      <w:proofErr w:type="spellEnd"/>
      <w:r>
        <w:t>. Nature Methods 11, 59-62 (2013). https://doi.org:10.1038/nmeth.2732</w:t>
      </w:r>
    </w:p>
    <w:p w14:paraId="462F7B2A" w14:textId="77777777" w:rsidR="00760C57" w:rsidRDefault="00760C57" w:rsidP="00760C57">
      <w:r>
        <w:t>86</w:t>
      </w:r>
      <w:r>
        <w:tab/>
        <w:t>Ding, S. et al. Efficient transposition of the piggyBac (PB) transposon in mammalian cells and mice. Cell 122, 473-483 (2005). https://doi.org:10.1016/j.cell.2005.07.013</w:t>
      </w:r>
    </w:p>
    <w:p w14:paraId="2694DC0B" w14:textId="77777777" w:rsidR="00760C57" w:rsidRDefault="00760C57" w:rsidP="00760C57">
      <w:r>
        <w:t>87</w:t>
      </w:r>
      <w:r>
        <w:tab/>
        <w:t>Stein, E. et al. Eph receptors discriminate specific ligand oligomers to determine alternative signaling complexes, attachment, and assembly responses. Genes Dev 12, 667-678 (1998). https://doi.org:10.1101/gad.12.5.667</w:t>
      </w:r>
    </w:p>
    <w:p w14:paraId="37CA470C" w14:textId="77777777" w:rsidR="00760C57" w:rsidRDefault="00760C57" w:rsidP="00760C57">
      <w:r>
        <w:t>88</w:t>
      </w:r>
      <w:r>
        <w:tab/>
        <w:t xml:space="preserve">Livak, K. J. &amp; </w:t>
      </w:r>
      <w:proofErr w:type="spellStart"/>
      <w:r>
        <w:t>Schmittgen</w:t>
      </w:r>
      <w:proofErr w:type="spellEnd"/>
      <w:r>
        <w:t>, T. D. Analysis of relative gene expression data using real-time quantitative PCR and the 2&lt;SUP&gt;-ΔΔ&lt;</w:t>
      </w:r>
      <w:proofErr w:type="spellStart"/>
      <w:r>
        <w:t>i</w:t>
      </w:r>
      <w:proofErr w:type="spellEnd"/>
      <w:r>
        <w:t>&gt;C&lt;/</w:t>
      </w:r>
      <w:proofErr w:type="spellStart"/>
      <w:r>
        <w:t>i</w:t>
      </w:r>
      <w:proofErr w:type="spellEnd"/>
      <w:r>
        <w:t>&gt;&lt;/SUP&gt;&lt;sub&gt;T&lt;/sub&gt; method. Methods 25, 402-408 (2001). https://doi.org:10.1006/meth.2001.1262</w:t>
      </w:r>
    </w:p>
    <w:p w14:paraId="661461E9" w14:textId="77777777" w:rsidR="00760C57" w:rsidRDefault="00760C57" w:rsidP="00760C57">
      <w:r>
        <w:t>89</w:t>
      </w:r>
      <w:r>
        <w:tab/>
        <w:t xml:space="preserve">Bryant, J. D., Lei, Y., VanPortfliet, J. J., Winters, A. D. &amp; West, A. P. Assessing Mitochondrial DNA Release into the Cytosol and Subsequent Activation of Innate Immune-related Pathways in Mammalian Cells. Curr </w:t>
      </w:r>
      <w:proofErr w:type="spellStart"/>
      <w:r>
        <w:t>Protoc</w:t>
      </w:r>
      <w:proofErr w:type="spellEnd"/>
      <w:r>
        <w:t xml:space="preserve"> 2, e372 (2022). https://doi.org:10.1002/cpz1.372</w:t>
      </w:r>
    </w:p>
    <w:p w14:paraId="36FD1D95" w14:textId="77777777" w:rsidR="00760C57" w:rsidRDefault="00760C57" w:rsidP="00760C57">
      <w:r>
        <w:t>90</w:t>
      </w:r>
      <w:r>
        <w:tab/>
        <w:t xml:space="preserve">Zhang, W. et al. Cytosolic escape of mitochondrial DNA triggers cGAS-STING-NLRP3 axis-dependent nucleus pulposus cell </w:t>
      </w:r>
      <w:proofErr w:type="spellStart"/>
      <w:r>
        <w:t>pyroptosis</w:t>
      </w:r>
      <w:proofErr w:type="spellEnd"/>
      <w:r>
        <w:t>. Exp Mol Med 54, 129-142 (2022). https://doi.org:10.1038/s12276-022-00729-9</w:t>
      </w:r>
    </w:p>
    <w:p w14:paraId="2764B339" w14:textId="77777777" w:rsidR="00760C57" w:rsidRDefault="00760C57" w:rsidP="00760C57">
      <w:r>
        <w:t>91</w:t>
      </w:r>
      <w:r>
        <w:tab/>
        <w:t>Guo, X. et al. &lt;</w:t>
      </w:r>
      <w:proofErr w:type="spellStart"/>
      <w:r>
        <w:t>scp</w:t>
      </w:r>
      <w:proofErr w:type="spellEnd"/>
      <w:r>
        <w:t>&gt;BCAA&lt;/</w:t>
      </w:r>
      <w:proofErr w:type="spellStart"/>
      <w:r>
        <w:t>scp</w:t>
      </w:r>
      <w:proofErr w:type="spellEnd"/>
      <w:r>
        <w:t>&gt; insufficiency leads to premature ovarian insufficiency via ceramide‐induced elevation of &lt;</w:t>
      </w:r>
      <w:proofErr w:type="spellStart"/>
      <w:r>
        <w:t>scp</w:t>
      </w:r>
      <w:proofErr w:type="spellEnd"/>
      <w:r>
        <w:t>&gt;ROS&lt;/</w:t>
      </w:r>
      <w:proofErr w:type="spellStart"/>
      <w:r>
        <w:t>scp</w:t>
      </w:r>
      <w:proofErr w:type="spellEnd"/>
      <w:r>
        <w:t>&gt;. EMBO Molecular Medicine 15 (2023). https://doi.org:10.15252/emmm.202317450</w:t>
      </w:r>
    </w:p>
    <w:p w14:paraId="5D3C603B" w14:textId="77777777" w:rsidR="00760C57" w:rsidRDefault="00760C57" w:rsidP="00760C57">
      <w:r>
        <w:t>92</w:t>
      </w:r>
      <w:r>
        <w:tab/>
        <w:t xml:space="preserve">Rühl, S. et al. ESCRT-dependent membrane repair negatively regulates </w:t>
      </w:r>
      <w:proofErr w:type="spellStart"/>
      <w:r>
        <w:t>pyroptosis</w:t>
      </w:r>
      <w:proofErr w:type="spellEnd"/>
      <w:r>
        <w:t xml:space="preserve"> downstream of GSDMD activation. Science 362, 956-960 (2018). https://doi.org:10.1126/science.aar7607</w:t>
      </w:r>
    </w:p>
    <w:p w14:paraId="70449F0F" w14:textId="77777777" w:rsidR="00760C57" w:rsidRDefault="00760C57" w:rsidP="00760C57">
      <w:r>
        <w:t>93</w:t>
      </w:r>
      <w:r>
        <w:tab/>
        <w:t>Ying, C. Y. et al. MEF2B mutations lead to deregulated expression of the oncogene BCL6 in diffuse large B cell lymphoma. Nature Immunology 14, 1084-1092 (2013). https://doi.org:10.1038/ni.2688</w:t>
      </w:r>
    </w:p>
    <w:p w14:paraId="4C76DD66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57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0C5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443DC"/>
    <w:rsid w:val="00D556C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EAAD0"/>
  <w15:chartTrackingRefBased/>
  <w15:docId w15:val="{79AB6726-ECB4-9B49-A9C9-EFD7D67B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0C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C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C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C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C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C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C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C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0C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0C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0C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0C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0C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0C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0C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0C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C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0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C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0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0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0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2797</Words>
  <Characters>15947</Characters>
  <Application>Microsoft Office Word</Application>
  <DocSecurity>0</DocSecurity>
  <Lines>132</Lines>
  <Paragraphs>37</Paragraphs>
  <ScaleCrop>false</ScaleCrop>
  <Company/>
  <LinksUpToDate>false</LinksUpToDate>
  <CharactersWithSpaces>18707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2026-01-30T04:01:00Z</dcterms:created>
  <dcterms:modified xsi:type="dcterms:W3CDTF">2026-01-30T04:02:00Z</dcterms:modified>
</cp:coreProperties>
</file>