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DFECD" w14:textId="77777777" w:rsidR="00616B40" w:rsidRPr="00616B40" w:rsidRDefault="00D748A4" w:rsidP="00616B4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616B40">
        <w:rPr>
          <w:rFonts w:ascii="宋体" w:eastAsia="宋体" w:hAnsi="宋体" w:cs="宋体"/>
          <w:noProof/>
          <w:kern w:val="0"/>
          <w:sz w:val="24"/>
        </w:rPr>
        <w:pict w14:anchorId="700714AB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68E4EA4B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16B40">
        <w:rPr>
          <w:rFonts w:ascii="宋体" w:eastAsia="宋体" w:hAnsi="宋体" w:cs="宋体"/>
          <w:b/>
          <w:bCs/>
          <w:kern w:val="36"/>
          <w:sz w:val="48"/>
          <w:szCs w:val="48"/>
        </w:rPr>
        <w:t>增强脂肪组织可塑性：前体细胞在代谢健康中的作用</w:t>
      </w:r>
    </w:p>
    <w:p w14:paraId="30FD27B3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AE8B971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16B40">
        <w:rPr>
          <w:rFonts w:ascii="宋体" w:eastAsia="宋体" w:hAnsi="宋体" w:cs="宋体"/>
          <w:b/>
          <w:bCs/>
          <w:kern w:val="0"/>
          <w:sz w:val="36"/>
          <w:szCs w:val="36"/>
        </w:rPr>
        <w:t>脂肪组织可塑性调控代谢稳态</w:t>
      </w:r>
    </w:p>
    <w:p w14:paraId="4D1F25D3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EFB0092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16B40">
        <w:rPr>
          <w:rFonts w:ascii="宋体" w:eastAsia="宋体" w:hAnsi="宋体" w:cs="宋体"/>
          <w:b/>
          <w:bCs/>
          <w:kern w:val="0"/>
          <w:sz w:val="27"/>
          <w:szCs w:val="27"/>
        </w:rPr>
        <w:t>可塑性与异质性</w:t>
      </w:r>
    </w:p>
    <w:p w14:paraId="3E51B09D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EF14D20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16B40">
        <w:rPr>
          <w:rFonts w:ascii="宋体" w:eastAsia="宋体" w:hAnsi="宋体" w:cs="宋体"/>
          <w:kern w:val="0"/>
          <w:sz w:val="24"/>
        </w:rPr>
        <w:t>脂肪组织展现出显著的可塑性和异质性，能根据环境信号进行代谢、细胞和结构的适应性调节。</w:t>
      </w:r>
    </w:p>
    <w:p w14:paraId="6A28B983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16B40">
        <w:rPr>
          <w:rFonts w:ascii="宋体" w:eastAsia="宋体" w:hAnsi="宋体" w:cs="宋体"/>
          <w:kern w:val="0"/>
          <w:sz w:val="24"/>
        </w:rPr>
        <w:t>Adipose tissue demonstrates considerable plasticity and heterogeneity, enabling metabolic, cellular and structural adaptations to environmental signals.</w:t>
      </w:r>
    </w:p>
    <w:p w14:paraId="3761BE37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BCB25D6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16B40">
        <w:rPr>
          <w:rFonts w:ascii="宋体" w:eastAsia="宋体" w:hAnsi="宋体" w:cs="宋体"/>
          <w:b/>
          <w:bCs/>
          <w:kern w:val="0"/>
          <w:sz w:val="27"/>
          <w:szCs w:val="27"/>
        </w:rPr>
        <w:t>可塑性维持稳态</w:t>
      </w:r>
    </w:p>
    <w:p w14:paraId="7B77651F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E6F430F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16B40">
        <w:rPr>
          <w:rFonts w:ascii="宋体" w:eastAsia="宋体" w:hAnsi="宋体" w:cs="宋体"/>
          <w:kern w:val="0"/>
          <w:sz w:val="24"/>
        </w:rPr>
        <w:t>这种适应能力对维持代谢稳态至关重要。</w:t>
      </w:r>
    </w:p>
    <w:p w14:paraId="7D6C6665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16B40">
        <w:rPr>
          <w:rFonts w:ascii="宋体" w:eastAsia="宋体" w:hAnsi="宋体" w:cs="宋体"/>
          <w:kern w:val="0"/>
          <w:sz w:val="24"/>
        </w:rPr>
        <w:t>This adaptability is key for maintaining metabolic homeostasis.</w:t>
      </w:r>
    </w:p>
    <w:p w14:paraId="42A129A0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BC6BF69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16B40">
        <w:rPr>
          <w:rFonts w:ascii="宋体" w:eastAsia="宋体" w:hAnsi="宋体" w:cs="宋体"/>
          <w:b/>
          <w:bCs/>
          <w:kern w:val="0"/>
          <w:sz w:val="36"/>
          <w:szCs w:val="36"/>
        </w:rPr>
        <w:t>可塑性受损导致代谢病</w:t>
      </w:r>
    </w:p>
    <w:p w14:paraId="52A9E248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A5AB467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16B40">
        <w:rPr>
          <w:rFonts w:ascii="宋体" w:eastAsia="宋体" w:hAnsi="宋体" w:cs="宋体"/>
          <w:b/>
          <w:bCs/>
          <w:kern w:val="0"/>
          <w:sz w:val="27"/>
          <w:szCs w:val="27"/>
        </w:rPr>
        <w:t>异常代谢反应</w:t>
      </w:r>
    </w:p>
    <w:p w14:paraId="64C7C1DC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E650B15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616B40">
        <w:rPr>
          <w:rFonts w:ascii="宋体" w:eastAsia="宋体" w:hAnsi="宋体" w:cs="宋体"/>
          <w:b/>
          <w:bCs/>
          <w:kern w:val="0"/>
          <w:sz w:val="24"/>
        </w:rPr>
        <w:t>可塑性障碍导致脂肪组织异常响应</w:t>
      </w:r>
    </w:p>
    <w:p w14:paraId="65670FA0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DCF55A7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16B40">
        <w:rPr>
          <w:rFonts w:ascii="宋体" w:eastAsia="宋体" w:hAnsi="宋体" w:cs="宋体"/>
          <w:kern w:val="0"/>
          <w:sz w:val="24"/>
        </w:rPr>
        <w:t>脂肪组织可塑性受损会导致其对代谢信号产生异常反应，从而促进心代谢疾病的发展。</w:t>
      </w:r>
    </w:p>
    <w:p w14:paraId="5615AA0E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16B40">
        <w:rPr>
          <w:rFonts w:ascii="宋体" w:eastAsia="宋体" w:hAnsi="宋体" w:cs="宋体"/>
          <w:kern w:val="0"/>
          <w:sz w:val="24"/>
        </w:rPr>
        <w:t>Impaired adipose tissue plasticity can lead to abnormal adipose tissue responses to metabolic cues, which contributes to the development of cardiometabolic diseases.</w:t>
      </w:r>
    </w:p>
    <w:p w14:paraId="1829B261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12ACFE2B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16B40">
        <w:rPr>
          <w:rFonts w:ascii="宋体" w:eastAsia="宋体" w:hAnsi="宋体" w:cs="宋体"/>
          <w:b/>
          <w:bCs/>
          <w:kern w:val="0"/>
          <w:sz w:val="27"/>
          <w:szCs w:val="27"/>
        </w:rPr>
        <w:t>白脂肪病理重塑</w:t>
      </w:r>
    </w:p>
    <w:p w14:paraId="119F83AD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F8B4556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616B40">
        <w:rPr>
          <w:rFonts w:ascii="宋体" w:eastAsia="宋体" w:hAnsi="宋体" w:cs="宋体"/>
          <w:b/>
          <w:bCs/>
          <w:kern w:val="0"/>
          <w:sz w:val="24"/>
        </w:rPr>
        <w:t>肥胖诱导脂肪组织病理改变</w:t>
      </w:r>
    </w:p>
    <w:p w14:paraId="0CEFC4A5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65579D98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16B40">
        <w:rPr>
          <w:rFonts w:ascii="宋体" w:eastAsia="宋体" w:hAnsi="宋体" w:cs="宋体"/>
          <w:kern w:val="0"/>
          <w:sz w:val="24"/>
        </w:rPr>
        <w:t>在慢性肥胖状态下，白脂肪组织经历病理性重塑，表现为脂肪细胞肥大、慢性炎症和纤维化，</w:t>
      </w:r>
    </w:p>
    <w:p w14:paraId="6D45BE23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16B40">
        <w:rPr>
          <w:rFonts w:ascii="宋体" w:eastAsia="宋体" w:hAnsi="宋体" w:cs="宋体"/>
          <w:kern w:val="0"/>
          <w:sz w:val="24"/>
        </w:rPr>
        <w:t xml:space="preserve">In chronic obesity, white adipose tissue undergoes pathological </w:t>
      </w:r>
      <w:proofErr w:type="spellStart"/>
      <w:r w:rsidRPr="00616B40">
        <w:rPr>
          <w:rFonts w:ascii="宋体" w:eastAsia="宋体" w:hAnsi="宋体" w:cs="宋体"/>
          <w:kern w:val="0"/>
          <w:sz w:val="24"/>
        </w:rPr>
        <w:t>remodelling</w:t>
      </w:r>
      <w:proofErr w:type="spellEnd"/>
      <w:r w:rsidRPr="00616B40">
        <w:rPr>
          <w:rFonts w:ascii="宋体" w:eastAsia="宋体" w:hAnsi="宋体" w:cs="宋体"/>
          <w:kern w:val="0"/>
          <w:sz w:val="24"/>
        </w:rPr>
        <w:t xml:space="preserve"> marked by adipocyte hypertrophy, chronic inflammation and fibrosis,</w:t>
      </w:r>
    </w:p>
    <w:p w14:paraId="279C3077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DFC005A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616B40">
        <w:rPr>
          <w:rFonts w:ascii="宋体" w:eastAsia="宋体" w:hAnsi="宋体" w:cs="宋体"/>
          <w:b/>
          <w:bCs/>
          <w:kern w:val="0"/>
          <w:sz w:val="24"/>
        </w:rPr>
        <w:t>病理改变导致胰岛素抵抗</w:t>
      </w:r>
    </w:p>
    <w:p w14:paraId="37A63C3C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F61A4D5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16B40">
        <w:rPr>
          <w:rFonts w:ascii="宋体" w:eastAsia="宋体" w:hAnsi="宋体" w:cs="宋体"/>
          <w:kern w:val="0"/>
          <w:sz w:val="24"/>
        </w:rPr>
        <w:t>这些改变与局部和全身性胰岛素抵抗相关。</w:t>
      </w:r>
    </w:p>
    <w:p w14:paraId="5FFD73D1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16B40">
        <w:rPr>
          <w:rFonts w:ascii="宋体" w:eastAsia="宋体" w:hAnsi="宋体" w:cs="宋体"/>
          <w:kern w:val="0"/>
          <w:sz w:val="24"/>
        </w:rPr>
        <w:t>which are linked to local and systemic insulin resistance.</w:t>
      </w:r>
    </w:p>
    <w:p w14:paraId="1950FD1C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30AC907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16B40">
        <w:rPr>
          <w:rFonts w:ascii="宋体" w:eastAsia="宋体" w:hAnsi="宋体" w:cs="宋体"/>
          <w:b/>
          <w:bCs/>
          <w:kern w:val="0"/>
          <w:sz w:val="36"/>
          <w:szCs w:val="36"/>
        </w:rPr>
        <w:t>前体细胞决定重塑质量</w:t>
      </w:r>
    </w:p>
    <w:p w14:paraId="5FCEF1AD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11A556A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16B40">
        <w:rPr>
          <w:rFonts w:ascii="宋体" w:eastAsia="宋体" w:hAnsi="宋体" w:cs="宋体"/>
          <w:b/>
          <w:bCs/>
          <w:kern w:val="0"/>
          <w:sz w:val="27"/>
          <w:szCs w:val="27"/>
        </w:rPr>
        <w:t>APC多样性影响重塑</w:t>
      </w:r>
    </w:p>
    <w:p w14:paraId="0A4B75A3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BECB58D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616B40">
        <w:rPr>
          <w:rFonts w:ascii="宋体" w:eastAsia="宋体" w:hAnsi="宋体" w:cs="宋体"/>
          <w:b/>
          <w:bCs/>
          <w:kern w:val="0"/>
          <w:sz w:val="24"/>
        </w:rPr>
        <w:t>APC内在异质性影响重塑方向</w:t>
      </w:r>
    </w:p>
    <w:p w14:paraId="12FD92B4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4F1CAE0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16B40">
        <w:rPr>
          <w:rFonts w:ascii="宋体" w:eastAsia="宋体" w:hAnsi="宋体" w:cs="宋体"/>
          <w:kern w:val="0"/>
          <w:sz w:val="24"/>
        </w:rPr>
        <w:t>研究数据显示，白脂肪组织健康或不健康重塑的能力可能取决于脂肪前体细胞（APCs）的内在多样性，</w:t>
      </w:r>
    </w:p>
    <w:p w14:paraId="6B00B1CA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16B40">
        <w:rPr>
          <w:rFonts w:ascii="宋体" w:eastAsia="宋体" w:hAnsi="宋体" w:cs="宋体"/>
          <w:kern w:val="0"/>
          <w:sz w:val="24"/>
        </w:rPr>
        <w:t xml:space="preserve">Research data suggest that the capacity for healthy or unhealthy white adipose tissue </w:t>
      </w:r>
      <w:proofErr w:type="spellStart"/>
      <w:r w:rsidRPr="00616B40">
        <w:rPr>
          <w:rFonts w:ascii="宋体" w:eastAsia="宋体" w:hAnsi="宋体" w:cs="宋体"/>
          <w:kern w:val="0"/>
          <w:sz w:val="24"/>
        </w:rPr>
        <w:t>remodelling</w:t>
      </w:r>
      <w:proofErr w:type="spellEnd"/>
      <w:r w:rsidRPr="00616B40">
        <w:rPr>
          <w:rFonts w:ascii="宋体" w:eastAsia="宋体" w:hAnsi="宋体" w:cs="宋体"/>
          <w:kern w:val="0"/>
          <w:sz w:val="24"/>
        </w:rPr>
        <w:t xml:space="preserve"> might depend on the intrinsic diversity of adipose progenitor cells (APCs),</w:t>
      </w:r>
    </w:p>
    <w:p w14:paraId="14B177FD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754E412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616B40">
        <w:rPr>
          <w:rFonts w:ascii="宋体" w:eastAsia="宋体" w:hAnsi="宋体" w:cs="宋体"/>
          <w:b/>
          <w:bCs/>
          <w:kern w:val="0"/>
          <w:sz w:val="24"/>
        </w:rPr>
        <w:t>APC能感知代谢信号</w:t>
      </w:r>
    </w:p>
    <w:p w14:paraId="0EBE8B77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EF9108C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16B40">
        <w:rPr>
          <w:rFonts w:ascii="宋体" w:eastAsia="宋体" w:hAnsi="宋体" w:cs="宋体"/>
          <w:kern w:val="0"/>
          <w:sz w:val="24"/>
        </w:rPr>
        <w:t>这些前体细胞能够感知并响应代谢信号。</w:t>
      </w:r>
    </w:p>
    <w:p w14:paraId="73FCAD2A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16B40">
        <w:rPr>
          <w:rFonts w:ascii="宋体" w:eastAsia="宋体" w:hAnsi="宋体" w:cs="宋体"/>
          <w:kern w:val="0"/>
          <w:sz w:val="24"/>
        </w:rPr>
        <w:t>which sense and respond to metabolic cues.</w:t>
      </w:r>
    </w:p>
    <w:p w14:paraId="3F8C0A16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A6BC222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16B40">
        <w:rPr>
          <w:rFonts w:ascii="宋体" w:eastAsia="宋体" w:hAnsi="宋体" w:cs="宋体"/>
          <w:b/>
          <w:bCs/>
          <w:kern w:val="0"/>
          <w:sz w:val="36"/>
          <w:szCs w:val="36"/>
        </w:rPr>
        <w:t>调控APC改善脂肪功能</w:t>
      </w:r>
    </w:p>
    <w:p w14:paraId="130391E2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B00446D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16B40">
        <w:rPr>
          <w:rFonts w:ascii="宋体" w:eastAsia="宋体" w:hAnsi="宋体" w:cs="宋体"/>
          <w:b/>
          <w:bCs/>
          <w:kern w:val="0"/>
          <w:sz w:val="27"/>
          <w:szCs w:val="27"/>
        </w:rPr>
        <w:t>不同脂肪库中的APC作用</w:t>
      </w:r>
    </w:p>
    <w:p w14:paraId="244DBB5A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519368C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616B40">
        <w:rPr>
          <w:rFonts w:ascii="宋体" w:eastAsia="宋体" w:hAnsi="宋体" w:cs="宋体"/>
          <w:b/>
          <w:bCs/>
          <w:kern w:val="0"/>
          <w:sz w:val="24"/>
        </w:rPr>
        <w:t>APC决定不同脂肪库可塑性</w:t>
      </w:r>
    </w:p>
    <w:p w14:paraId="434E844F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636904F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16B40">
        <w:rPr>
          <w:rFonts w:ascii="宋体" w:eastAsia="宋体" w:hAnsi="宋体" w:cs="宋体"/>
          <w:kern w:val="0"/>
          <w:sz w:val="24"/>
        </w:rPr>
        <w:t>本综述重点讨论APCs作为脂肪组织可塑性关键决定因素的研究，</w:t>
      </w:r>
    </w:p>
    <w:p w14:paraId="664AF6B8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16B40">
        <w:rPr>
          <w:rFonts w:ascii="宋体" w:eastAsia="宋体" w:hAnsi="宋体" w:cs="宋体"/>
          <w:kern w:val="0"/>
          <w:sz w:val="24"/>
        </w:rPr>
        <w:t>This Review highlights studies on APCs as key determinants of adipose tissue plasticity,</w:t>
      </w:r>
    </w:p>
    <w:p w14:paraId="64E7F0BF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10BAB8D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 w:rsidRPr="00616B40">
        <w:rPr>
          <w:rFonts w:ascii="宋体" w:eastAsia="宋体" w:hAnsi="宋体" w:cs="宋体"/>
          <w:b/>
          <w:bCs/>
          <w:kern w:val="0"/>
          <w:sz w:val="24"/>
        </w:rPr>
        <w:t>比较皮下与内脏脂肪组织差异</w:t>
      </w:r>
    </w:p>
    <w:p w14:paraId="27C103BC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2B91006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16B40">
        <w:rPr>
          <w:rFonts w:ascii="宋体" w:eastAsia="宋体" w:hAnsi="宋体" w:cs="宋体"/>
          <w:kern w:val="0"/>
          <w:sz w:val="24"/>
        </w:rPr>
        <w:t>涵盖皮下与内脏脂肪组织在发育、生长及肥胖过程中的差异。</w:t>
      </w:r>
    </w:p>
    <w:p w14:paraId="00A89006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16B40">
        <w:rPr>
          <w:rFonts w:ascii="宋体" w:eastAsia="宋体" w:hAnsi="宋体" w:cs="宋体"/>
          <w:kern w:val="0"/>
          <w:sz w:val="24"/>
        </w:rPr>
        <w:t>discussing differences between subcutaneous and visceral adipose tissue depots during development, growth and obesity.</w:t>
      </w:r>
    </w:p>
    <w:p w14:paraId="5DA9E17D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93C51CD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16B40">
        <w:rPr>
          <w:rFonts w:ascii="宋体" w:eastAsia="宋体" w:hAnsi="宋体" w:cs="宋体"/>
          <w:b/>
          <w:bCs/>
          <w:kern w:val="0"/>
          <w:sz w:val="27"/>
          <w:szCs w:val="27"/>
        </w:rPr>
        <w:t>治疗策略前景</w:t>
      </w:r>
    </w:p>
    <w:p w14:paraId="7A1AFF29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8BBB1FD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16B40">
        <w:rPr>
          <w:rFonts w:ascii="宋体" w:eastAsia="宋体" w:hAnsi="宋体" w:cs="宋体"/>
          <w:kern w:val="0"/>
          <w:sz w:val="24"/>
        </w:rPr>
        <w:t>通过调控APC功能，有望改善脂肪组织功能障碍并用于治疗肥胖相关代谢疾病。</w:t>
      </w:r>
    </w:p>
    <w:p w14:paraId="53A83EE7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16B40">
        <w:rPr>
          <w:rFonts w:ascii="宋体" w:eastAsia="宋体" w:hAnsi="宋体" w:cs="宋体"/>
          <w:kern w:val="0"/>
          <w:sz w:val="24"/>
        </w:rPr>
        <w:t>Modulating APC functions could improve strategies for treating adipose tissue dysfunction and metabolic diseases in obesity.</w:t>
      </w:r>
    </w:p>
    <w:p w14:paraId="788217D4" w14:textId="77777777" w:rsidR="00616B40" w:rsidRPr="00616B40" w:rsidRDefault="00616B40" w:rsidP="00616B4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616B40">
        <w:rPr>
          <w:rFonts w:ascii="宋体" w:eastAsia="宋体" w:hAnsi="宋体" w:cs="宋体"/>
          <w:kern w:val="0"/>
          <w:sz w:val="24"/>
        </w:rPr>
        <w:pict w14:anchorId="5AB0D63C">
          <v:rect id="_x0000_i1026" style="width:0;height:1.5pt" o:hralign="center" o:hrstd="t" o:hr="t" fillcolor="#a0a0a0" stroked="f"/>
        </w:pict>
      </w:r>
    </w:p>
    <w:p w14:paraId="31D92025" w14:textId="77777777" w:rsidR="00616B40" w:rsidRPr="00616B40" w:rsidRDefault="00616B40" w:rsidP="00616B4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16B40">
        <w:rPr>
          <w:rFonts w:ascii="宋体" w:eastAsia="宋体" w:hAnsi="宋体" w:cs="宋体"/>
          <w:kern w:val="0"/>
          <w:sz w:val="24"/>
        </w:rPr>
        <w:t>如需继续处理正文段落或拓展各部分内容为论文段落结构，我可继续协助。</w:t>
      </w:r>
    </w:p>
    <w:p w14:paraId="652165A7" w14:textId="77777777" w:rsidR="00463DF9" w:rsidRPr="00616B40" w:rsidRDefault="00463DF9" w:rsidP="00495D6D"/>
    <w:sectPr w:rsidR="00463DF9" w:rsidRPr="00616B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369B4"/>
    <w:multiLevelType w:val="multilevel"/>
    <w:tmpl w:val="D78E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F13AD"/>
    <w:multiLevelType w:val="multilevel"/>
    <w:tmpl w:val="0F7C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5D2059"/>
    <w:multiLevelType w:val="multilevel"/>
    <w:tmpl w:val="4FE2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301257"/>
    <w:multiLevelType w:val="multilevel"/>
    <w:tmpl w:val="6C80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C266D8"/>
    <w:multiLevelType w:val="multilevel"/>
    <w:tmpl w:val="7462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427406">
    <w:abstractNumId w:val="0"/>
  </w:num>
  <w:num w:numId="2" w16cid:durableId="358160985">
    <w:abstractNumId w:val="1"/>
  </w:num>
  <w:num w:numId="3" w16cid:durableId="707683717">
    <w:abstractNumId w:val="2"/>
  </w:num>
  <w:num w:numId="4" w16cid:durableId="1041976974">
    <w:abstractNumId w:val="3"/>
  </w:num>
  <w:num w:numId="5" w16cid:durableId="16994326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4D1"/>
    <w:rsid w:val="00001E7B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A489F"/>
    <w:rsid w:val="000C2AC2"/>
    <w:rsid w:val="000C6F00"/>
    <w:rsid w:val="000E09D1"/>
    <w:rsid w:val="000E0F2C"/>
    <w:rsid w:val="000E3D5E"/>
    <w:rsid w:val="000E6975"/>
    <w:rsid w:val="000F0D86"/>
    <w:rsid w:val="000F43C3"/>
    <w:rsid w:val="000F6A60"/>
    <w:rsid w:val="00106F35"/>
    <w:rsid w:val="0014470F"/>
    <w:rsid w:val="001664D1"/>
    <w:rsid w:val="0017462E"/>
    <w:rsid w:val="001938EF"/>
    <w:rsid w:val="001C4FB9"/>
    <w:rsid w:val="001C50A3"/>
    <w:rsid w:val="001E21A4"/>
    <w:rsid w:val="001F5BE1"/>
    <w:rsid w:val="001F7A77"/>
    <w:rsid w:val="00201566"/>
    <w:rsid w:val="002206C4"/>
    <w:rsid w:val="00231277"/>
    <w:rsid w:val="00236C37"/>
    <w:rsid w:val="00272A8D"/>
    <w:rsid w:val="00281785"/>
    <w:rsid w:val="0028676B"/>
    <w:rsid w:val="002B5973"/>
    <w:rsid w:val="002C4673"/>
    <w:rsid w:val="002E0BDE"/>
    <w:rsid w:val="002F1FAC"/>
    <w:rsid w:val="002F4CF8"/>
    <w:rsid w:val="00302F84"/>
    <w:rsid w:val="00305224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34D0"/>
    <w:rsid w:val="00434C44"/>
    <w:rsid w:val="00440E00"/>
    <w:rsid w:val="00441FD0"/>
    <w:rsid w:val="00463DF9"/>
    <w:rsid w:val="00476282"/>
    <w:rsid w:val="0048412F"/>
    <w:rsid w:val="00495308"/>
    <w:rsid w:val="00495D6D"/>
    <w:rsid w:val="004A7C10"/>
    <w:rsid w:val="004C413E"/>
    <w:rsid w:val="004C7695"/>
    <w:rsid w:val="004D3EE6"/>
    <w:rsid w:val="004F12A5"/>
    <w:rsid w:val="004F5E5B"/>
    <w:rsid w:val="00500D84"/>
    <w:rsid w:val="00534A8B"/>
    <w:rsid w:val="00537323"/>
    <w:rsid w:val="0054786E"/>
    <w:rsid w:val="00562FB8"/>
    <w:rsid w:val="0056545A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16B40"/>
    <w:rsid w:val="00624D82"/>
    <w:rsid w:val="006257B1"/>
    <w:rsid w:val="006308B7"/>
    <w:rsid w:val="00642724"/>
    <w:rsid w:val="00673294"/>
    <w:rsid w:val="0067402E"/>
    <w:rsid w:val="00686107"/>
    <w:rsid w:val="00686B85"/>
    <w:rsid w:val="006903AC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3357"/>
    <w:rsid w:val="007B20F9"/>
    <w:rsid w:val="007C1735"/>
    <w:rsid w:val="007C58C1"/>
    <w:rsid w:val="007D19A9"/>
    <w:rsid w:val="007D383E"/>
    <w:rsid w:val="007E2601"/>
    <w:rsid w:val="007E4867"/>
    <w:rsid w:val="008018C6"/>
    <w:rsid w:val="00803D72"/>
    <w:rsid w:val="00807D79"/>
    <w:rsid w:val="008271AF"/>
    <w:rsid w:val="00827228"/>
    <w:rsid w:val="00835C03"/>
    <w:rsid w:val="008406E2"/>
    <w:rsid w:val="008420D5"/>
    <w:rsid w:val="0085320B"/>
    <w:rsid w:val="00853F55"/>
    <w:rsid w:val="00857419"/>
    <w:rsid w:val="008815CF"/>
    <w:rsid w:val="00890C7D"/>
    <w:rsid w:val="008937FD"/>
    <w:rsid w:val="008A191A"/>
    <w:rsid w:val="008A6346"/>
    <w:rsid w:val="008B25AC"/>
    <w:rsid w:val="008C73D3"/>
    <w:rsid w:val="008D2C0B"/>
    <w:rsid w:val="008D5B63"/>
    <w:rsid w:val="00905B7D"/>
    <w:rsid w:val="009069B5"/>
    <w:rsid w:val="00927438"/>
    <w:rsid w:val="00932676"/>
    <w:rsid w:val="0094641C"/>
    <w:rsid w:val="0095525B"/>
    <w:rsid w:val="00982442"/>
    <w:rsid w:val="009A1D94"/>
    <w:rsid w:val="009A657E"/>
    <w:rsid w:val="009B3429"/>
    <w:rsid w:val="009B76BB"/>
    <w:rsid w:val="009E0488"/>
    <w:rsid w:val="009E6C1F"/>
    <w:rsid w:val="009F20A2"/>
    <w:rsid w:val="00A01FF3"/>
    <w:rsid w:val="00A04ABB"/>
    <w:rsid w:val="00A37549"/>
    <w:rsid w:val="00A404A9"/>
    <w:rsid w:val="00A41188"/>
    <w:rsid w:val="00A43C86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D5BFC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6880"/>
    <w:rsid w:val="00B947EA"/>
    <w:rsid w:val="00B97CB0"/>
    <w:rsid w:val="00BA4AAC"/>
    <w:rsid w:val="00BB6E02"/>
    <w:rsid w:val="00BD5A6A"/>
    <w:rsid w:val="00BF2B8F"/>
    <w:rsid w:val="00BF36A7"/>
    <w:rsid w:val="00BF5AAE"/>
    <w:rsid w:val="00C12EC1"/>
    <w:rsid w:val="00C14708"/>
    <w:rsid w:val="00C20FAC"/>
    <w:rsid w:val="00C215FA"/>
    <w:rsid w:val="00C2666A"/>
    <w:rsid w:val="00C30750"/>
    <w:rsid w:val="00C64E1F"/>
    <w:rsid w:val="00C717A2"/>
    <w:rsid w:val="00CB3E5A"/>
    <w:rsid w:val="00CE0CC3"/>
    <w:rsid w:val="00CE1993"/>
    <w:rsid w:val="00CE5631"/>
    <w:rsid w:val="00D03346"/>
    <w:rsid w:val="00D03654"/>
    <w:rsid w:val="00D13E88"/>
    <w:rsid w:val="00D36EA9"/>
    <w:rsid w:val="00D443DC"/>
    <w:rsid w:val="00D57CA8"/>
    <w:rsid w:val="00D63F90"/>
    <w:rsid w:val="00D748A4"/>
    <w:rsid w:val="00D7765D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F79B5"/>
    <w:rsid w:val="00E50085"/>
    <w:rsid w:val="00E51A59"/>
    <w:rsid w:val="00E70EF1"/>
    <w:rsid w:val="00E73746"/>
    <w:rsid w:val="00E91ABC"/>
    <w:rsid w:val="00EA4F0C"/>
    <w:rsid w:val="00EE1553"/>
    <w:rsid w:val="00EE2C88"/>
    <w:rsid w:val="00EF6A35"/>
    <w:rsid w:val="00F04750"/>
    <w:rsid w:val="00F20AD3"/>
    <w:rsid w:val="00F24FA6"/>
    <w:rsid w:val="00F71715"/>
    <w:rsid w:val="00F727EF"/>
    <w:rsid w:val="00F80E39"/>
    <w:rsid w:val="00F81503"/>
    <w:rsid w:val="00F97C66"/>
    <w:rsid w:val="00FA0293"/>
    <w:rsid w:val="00FB2F35"/>
    <w:rsid w:val="00FC4E03"/>
    <w:rsid w:val="00FE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EE8DC"/>
  <w15:chartTrackingRefBased/>
  <w15:docId w15:val="{8B4090A9-EA8D-274C-AAA7-F8B5DBEB3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64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66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664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664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4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4D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4D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4D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4D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64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66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66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664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64D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64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64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64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64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64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6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4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64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64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64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64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64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6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64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64D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1664D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2">
    <w:name w:val="p2"/>
    <w:basedOn w:val="a"/>
    <w:rsid w:val="001664D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495D6D"/>
  </w:style>
  <w:style w:type="paragraph" w:customStyle="1" w:styleId="p3">
    <w:name w:val="p3"/>
    <w:basedOn w:val="a"/>
    <w:rsid w:val="00616B4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1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3</cp:revision>
  <dcterms:created xsi:type="dcterms:W3CDTF">2025-07-31T07:59:00Z</dcterms:created>
  <dcterms:modified xsi:type="dcterms:W3CDTF">2025-07-31T08:10:00Z</dcterms:modified>
</cp:coreProperties>
</file>